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520" w:lineRule="exact"/>
        <w:jc w:val="left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证券代码：6</w:t>
      </w:r>
      <w:r>
        <w:rPr>
          <w:rFonts w:ascii="楷体" w:hAnsi="楷体" w:eastAsia="楷体"/>
          <w:sz w:val="24"/>
        </w:rPr>
        <w:t xml:space="preserve">00968   </w:t>
      </w:r>
      <w:r>
        <w:rPr>
          <w:rFonts w:hint="eastAsia" w:ascii="楷体" w:hAnsi="楷体" w:eastAsia="楷体"/>
          <w:sz w:val="24"/>
        </w:rPr>
        <w:t xml:space="preserve">                              证券简称：海油发展 </w:t>
      </w:r>
      <w:r>
        <w:rPr>
          <w:rFonts w:ascii="楷体" w:hAnsi="楷体" w:eastAsia="楷体"/>
          <w:sz w:val="24"/>
        </w:rPr>
        <w:t xml:space="preserve"> </w:t>
      </w:r>
    </w:p>
    <w:p>
      <w:pPr>
        <w:spacing w:line="480" w:lineRule="exact"/>
        <w:jc w:val="center"/>
        <w:rPr>
          <w:rFonts w:ascii="宋体" w:hAnsi="宋体"/>
          <w:b/>
          <w:bCs/>
          <w:sz w:val="28"/>
          <w:szCs w:val="30"/>
        </w:rPr>
      </w:pPr>
      <w:r>
        <w:rPr>
          <w:rFonts w:hint="eastAsia" w:ascii="宋体" w:hAnsi="宋体"/>
          <w:b/>
          <w:bCs/>
          <w:sz w:val="28"/>
          <w:szCs w:val="30"/>
        </w:rPr>
        <w:t>中海油能源发展股份有限公司</w:t>
      </w:r>
    </w:p>
    <w:p>
      <w:pPr>
        <w:spacing w:line="480" w:lineRule="exact"/>
        <w:jc w:val="center"/>
        <w:outlineLvl w:val="0"/>
        <w:rPr>
          <w:rFonts w:ascii="宋体" w:hAnsi="宋体"/>
          <w:b/>
          <w:bCs/>
          <w:sz w:val="28"/>
          <w:szCs w:val="30"/>
        </w:rPr>
      </w:pPr>
      <w:r>
        <w:rPr>
          <w:rFonts w:hint="eastAsia" w:ascii="宋体" w:hAnsi="宋体"/>
          <w:b/>
          <w:bCs/>
          <w:sz w:val="28"/>
          <w:szCs w:val="30"/>
        </w:rPr>
        <w:t>投资者关系活动记录表</w:t>
      </w:r>
    </w:p>
    <w:tbl>
      <w:tblPr>
        <w:tblStyle w:val="11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7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>投资者关系活动类别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 xml:space="preserve">□特定对象调研 </w:t>
            </w:r>
            <w:r>
              <w:rPr>
                <w:rFonts w:hint="eastAsia" w:ascii="Arial" w:hAnsi="Arial"/>
                <w:bCs/>
                <w:sz w:val="24"/>
              </w:rPr>
              <w:sym w:font="Wingdings 2" w:char="00A3"/>
            </w:r>
            <w:r>
              <w:rPr>
                <w:rFonts w:hint="eastAsia" w:ascii="Arial" w:hAnsi="Arial"/>
                <w:bCs/>
                <w:sz w:val="24"/>
              </w:rPr>
              <w:t>分析师会议</w:t>
            </w:r>
          </w:p>
          <w:p>
            <w:pPr>
              <w:spacing w:line="400" w:lineRule="exact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 xml:space="preserve">□媒体采访 </w:t>
            </w:r>
            <w:r>
              <w:rPr>
                <w:rFonts w:ascii="Arial" w:hAnsi="Arial"/>
                <w:bCs/>
                <w:sz w:val="24"/>
              </w:rPr>
              <w:t xml:space="preserve">   </w:t>
            </w:r>
            <w:r>
              <w:rPr>
                <w:rFonts w:hint="eastAsia" w:ascii="Arial" w:hAnsi="Arial"/>
                <w:bCs/>
                <w:sz w:val="24"/>
              </w:rPr>
              <w:t xml:space="preserve"> </w:t>
            </w:r>
            <w:r>
              <w:rPr>
                <w:rFonts w:hint="eastAsia" w:ascii="Arial" w:hAnsi="Arial"/>
                <w:bCs/>
                <w:sz w:val="24"/>
              </w:rPr>
              <w:sym w:font="Wingdings 2" w:char="0052"/>
            </w:r>
            <w:r>
              <w:rPr>
                <w:rFonts w:hint="eastAsia" w:ascii="Arial" w:hAnsi="Arial"/>
                <w:bCs/>
                <w:sz w:val="24"/>
              </w:rPr>
              <w:t>业绩说明会</w:t>
            </w:r>
          </w:p>
          <w:p>
            <w:pPr>
              <w:spacing w:line="400" w:lineRule="exact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 xml:space="preserve">□新闻发布会 </w:t>
            </w:r>
            <w:r>
              <w:rPr>
                <w:rFonts w:ascii="Arial" w:hAnsi="Arial"/>
                <w:bCs/>
                <w:sz w:val="24"/>
              </w:rPr>
              <w:t xml:space="preserve">  </w:t>
            </w:r>
            <w:r>
              <w:rPr>
                <w:rFonts w:hint="eastAsia" w:ascii="Arial" w:hAnsi="Arial"/>
                <w:bCs/>
                <w:sz w:val="24"/>
              </w:rPr>
              <w:t>□路演活动</w:t>
            </w:r>
          </w:p>
          <w:p>
            <w:pPr>
              <w:spacing w:line="400" w:lineRule="exact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>□现场参观</w:t>
            </w:r>
          </w:p>
          <w:p>
            <w:pPr>
              <w:spacing w:line="400" w:lineRule="exact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>□其他（请文字说明其他活动内容）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>时间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default" w:ascii="Arial" w:hAnsi="Arial" w:eastAsia="宋体" w:cs="Arial"/>
                <w:sz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/>
                <w:sz w:val="24"/>
              </w:rPr>
              <w:t>年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31</w:t>
            </w:r>
            <w:r>
              <w:rPr>
                <w:rFonts w:ascii="Times New Roman" w:hAnsi="Times New Roman"/>
                <w:sz w:val="24"/>
              </w:rPr>
              <w:t>日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15:00-16:00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>地点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Arial" w:hAnsi="Arial" w:eastAsia="宋体" w:cs="Arial"/>
                <w:sz w:val="24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lang w:val="en-US" w:eastAsia="zh-CN"/>
              </w:rPr>
              <w:t>全景网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>上市公司接待人员姓名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tbl>
            <w:tblPr>
              <w:tblStyle w:val="11"/>
              <w:tblW w:w="5000" w:type="pct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95"/>
              <w:gridCol w:w="5882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1013" w:type="pct"/>
                  <w:shd w:val="clear" w:color="auto" w:fill="auto"/>
                  <w:noWrap/>
                  <w:vAlign w:val="bottom"/>
                </w:tcPr>
                <w:p>
                  <w:pPr>
                    <w:spacing w:line="276" w:lineRule="auto"/>
                    <w:rPr>
                      <w:rFonts w:hint="eastAsia" w:ascii="Arial" w:hAnsi="Arial" w:eastAsia="宋体" w:cs="Arial"/>
                      <w:sz w:val="24"/>
                      <w:lang w:val="en-US" w:eastAsia="zh-CN"/>
                    </w:rPr>
                  </w:pPr>
                  <w:r>
                    <w:rPr>
                      <w:rFonts w:hint="eastAsia" w:ascii="Arial" w:hAnsi="Arial" w:cs="Arial"/>
                      <w:sz w:val="24"/>
                      <w:lang w:val="en-US" w:eastAsia="zh-CN"/>
                    </w:rPr>
                    <w:t>周天育</w:t>
                  </w:r>
                </w:p>
              </w:tc>
              <w:tc>
                <w:tcPr>
                  <w:tcW w:w="3986" w:type="pct"/>
                  <w:shd w:val="clear" w:color="auto" w:fill="auto"/>
                  <w:noWrap/>
                  <w:vAlign w:val="center"/>
                </w:tcPr>
                <w:p>
                  <w:pPr>
                    <w:spacing w:line="276" w:lineRule="auto"/>
                    <w:rPr>
                      <w:rFonts w:hint="eastAsia" w:ascii="Arial" w:hAnsi="Arial" w:eastAsia="宋体" w:cs="Arial"/>
                      <w:sz w:val="24"/>
                      <w:lang w:val="en-US" w:eastAsia="zh-CN"/>
                    </w:rPr>
                  </w:pPr>
                  <w:r>
                    <w:rPr>
                      <w:rFonts w:hint="eastAsia" w:ascii="Arial" w:hAnsi="Arial" w:cs="Arial"/>
                      <w:sz w:val="24"/>
                      <w:lang w:val="en-US" w:eastAsia="zh-CN"/>
                    </w:rPr>
                    <w:t>总经理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1013" w:type="pct"/>
                  <w:shd w:val="clear" w:color="auto" w:fill="auto"/>
                  <w:noWrap/>
                  <w:vAlign w:val="bottom"/>
                </w:tcPr>
                <w:p>
                  <w:pPr>
                    <w:spacing w:line="276" w:lineRule="auto"/>
                    <w:rPr>
                      <w:rFonts w:hint="default" w:ascii="Arial" w:hAnsi="Arial" w:eastAsia="宋体" w:cs="Arial"/>
                      <w:sz w:val="24"/>
                      <w:lang w:val="en-US" w:eastAsia="zh-CN"/>
                    </w:rPr>
                  </w:pPr>
                  <w:r>
                    <w:rPr>
                      <w:rFonts w:hint="eastAsia" w:ascii="Arial" w:hAnsi="Arial" w:cs="Arial"/>
                      <w:sz w:val="24"/>
                      <w:lang w:val="en-US" w:eastAsia="zh-CN"/>
                    </w:rPr>
                    <w:t>宗文龙</w:t>
                  </w:r>
                </w:p>
              </w:tc>
              <w:tc>
                <w:tcPr>
                  <w:tcW w:w="3986" w:type="pct"/>
                  <w:shd w:val="clear" w:color="auto" w:fill="auto"/>
                  <w:noWrap/>
                  <w:vAlign w:val="center"/>
                </w:tcPr>
                <w:p>
                  <w:pPr>
                    <w:spacing w:line="276" w:lineRule="auto"/>
                    <w:rPr>
                      <w:rFonts w:hint="eastAsia" w:ascii="Arial" w:hAnsi="Arial" w:eastAsia="宋体" w:cs="Arial"/>
                      <w:sz w:val="24"/>
                      <w:lang w:val="en-US" w:eastAsia="zh-CN"/>
                    </w:rPr>
                  </w:pPr>
                  <w:r>
                    <w:rPr>
                      <w:rFonts w:hint="eastAsia" w:ascii="Arial" w:hAnsi="Arial" w:cs="Arial"/>
                      <w:sz w:val="24"/>
                      <w:lang w:val="en-US" w:eastAsia="zh-CN"/>
                    </w:rPr>
                    <w:t>独立董事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1013" w:type="pct"/>
                  <w:shd w:val="clear" w:color="auto" w:fill="auto"/>
                  <w:noWrap/>
                  <w:vAlign w:val="bottom"/>
                </w:tcPr>
                <w:p>
                  <w:pPr>
                    <w:spacing w:line="276" w:lineRule="auto"/>
                    <w:rPr>
                      <w:rFonts w:hint="default" w:ascii="Arial" w:hAnsi="Arial" w:eastAsia="宋体" w:cs="Arial"/>
                      <w:sz w:val="24"/>
                      <w:lang w:val="en-US" w:eastAsia="zh-CN"/>
                    </w:rPr>
                  </w:pPr>
                  <w:r>
                    <w:rPr>
                      <w:rFonts w:hint="eastAsia" w:ascii="Arial" w:hAnsi="Arial" w:cs="Arial"/>
                      <w:sz w:val="24"/>
                      <w:lang w:val="en-US" w:eastAsia="zh-CN"/>
                    </w:rPr>
                    <w:t>种晓洁</w:t>
                  </w:r>
                </w:p>
              </w:tc>
              <w:tc>
                <w:tcPr>
                  <w:tcW w:w="3986" w:type="pct"/>
                  <w:shd w:val="clear" w:color="auto" w:fill="auto"/>
                  <w:noWrap/>
                  <w:vAlign w:val="center"/>
                </w:tcPr>
                <w:p>
                  <w:pPr>
                    <w:spacing w:line="276" w:lineRule="auto"/>
                    <w:rPr>
                      <w:rFonts w:ascii="Arial" w:hAnsi="Arial" w:cs="Arial"/>
                      <w:sz w:val="24"/>
                    </w:rPr>
                  </w:pPr>
                  <w:r>
                    <w:rPr>
                      <w:rFonts w:hint="eastAsia" w:ascii="Arial" w:hAnsi="Arial" w:cs="Arial"/>
                      <w:sz w:val="24"/>
                    </w:rPr>
                    <w:t>财务总监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1013" w:type="pct"/>
                  <w:shd w:val="clear" w:color="auto" w:fill="auto"/>
                  <w:noWrap/>
                  <w:vAlign w:val="bottom"/>
                </w:tcPr>
                <w:p>
                  <w:pPr>
                    <w:spacing w:line="276" w:lineRule="auto"/>
                    <w:rPr>
                      <w:rFonts w:ascii="Arial" w:hAnsi="Arial" w:cs="Arial"/>
                      <w:sz w:val="24"/>
                    </w:rPr>
                  </w:pPr>
                  <w:r>
                    <w:rPr>
                      <w:rFonts w:hint="eastAsia" w:ascii="Arial" w:hAnsi="Arial" w:cs="Arial"/>
                      <w:sz w:val="24"/>
                    </w:rPr>
                    <w:t>肖德斌</w:t>
                  </w:r>
                </w:p>
              </w:tc>
              <w:tc>
                <w:tcPr>
                  <w:tcW w:w="3986" w:type="pct"/>
                  <w:shd w:val="clear" w:color="auto" w:fill="auto"/>
                  <w:noWrap/>
                  <w:vAlign w:val="center"/>
                </w:tcPr>
                <w:p>
                  <w:pPr>
                    <w:spacing w:line="276" w:lineRule="auto"/>
                    <w:rPr>
                      <w:rFonts w:ascii="Arial" w:hAnsi="Arial" w:cs="Arial"/>
                      <w:sz w:val="24"/>
                    </w:rPr>
                  </w:pPr>
                  <w:r>
                    <w:rPr>
                      <w:rFonts w:hint="eastAsia" w:ascii="Arial" w:hAnsi="Arial" w:cs="Arial"/>
                      <w:sz w:val="24"/>
                    </w:rPr>
                    <w:t>董事会秘书、总法律顾问</w:t>
                  </w:r>
                </w:p>
              </w:tc>
            </w:tr>
          </w:tbl>
          <w:p>
            <w:pPr>
              <w:spacing w:line="276" w:lineRule="auto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>投资者关系活动主要内容介绍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bookmarkStart w:id="0" w:name="_Toc2358"/>
            <w:r>
              <w:rPr>
                <w:rFonts w:hint="default"/>
                <w:lang w:val="en-US" w:eastAsia="zh-CN"/>
              </w:rPr>
              <w:t>Q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default"/>
                <w:lang w:val="en-US" w:eastAsia="zh-CN"/>
              </w:rPr>
              <w:t>：</w:t>
            </w:r>
            <w:bookmarkEnd w:id="0"/>
            <w:r>
              <w:rPr>
                <w:rFonts w:hint="default"/>
                <w:lang w:val="en-US" w:eastAsia="zh-CN"/>
              </w:rPr>
              <w:t>2025年三季度，公司实现营业收入113.50亿元，同比下降5.75%，请介绍下具体情况及原因？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default"/>
                <w:lang w:val="en-US" w:eastAsia="zh-CN"/>
              </w:rPr>
              <w:t>:首先是国际油价波动导致凝析油、LPG等油气副产品价格下跌。同时，受三季度台风及甲方生产设施维修（高栏港终端检修）影响，凝析油、LPG副产品销量下降。叠加平台运维、管道涂敷等客观原因，导致甲方作业计划调整。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bookmarkStart w:id="1" w:name="_Toc22235"/>
            <w:r>
              <w:rPr>
                <w:rFonts w:hint="default"/>
                <w:lang w:val="en-US" w:eastAsia="zh-CN"/>
              </w:rPr>
              <w:t>Q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default"/>
                <w:lang w:val="en-US" w:eastAsia="zh-CN"/>
              </w:rPr>
              <w:t>：</w:t>
            </w:r>
            <w:bookmarkEnd w:id="1"/>
            <w:r>
              <w:rPr>
                <w:rFonts w:hint="default"/>
                <w:lang w:val="en-US" w:eastAsia="zh-CN"/>
              </w:rPr>
              <w:t>2025年三季度，公司实现归母净利润10.23亿元，同比下降4.51%，请介绍下具体原因？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</w:t>
            </w:r>
            <w:r>
              <w:rPr>
                <w:rFonts w:hint="eastAsia"/>
                <w:lang w:val="en-US" w:eastAsia="zh-CN"/>
              </w:rPr>
              <w:t>2：经营方面，国际油价波动导致凝析油、LPG等油气副产品价格下跌。叠加受三季度台风及甲方生产设施维修（高栏港终端检修）影响，凝析油、LPG副产品销量下降。受台风等客观原因，导致甲方作业计划调整影响了三季度的利润。</w:t>
            </w:r>
          </w:p>
          <w:p>
            <w:pPr>
              <w:ind w:firstLine="42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非经常损益方面，去年三季度确认CCER销售收益0.6亿。本年三季度确认FPSO修理费用。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bookmarkStart w:id="2" w:name="_Toc20548"/>
            <w:r>
              <w:rPr>
                <w:rFonts w:hint="default"/>
                <w:lang w:val="en-US" w:eastAsia="zh-CN"/>
              </w:rPr>
              <w:t>Q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  <w:lang w:val="en-US" w:eastAsia="zh-CN"/>
              </w:rPr>
              <w:t>：</w:t>
            </w:r>
            <w:bookmarkEnd w:id="2"/>
            <w:r>
              <w:rPr>
                <w:rFonts w:hint="default"/>
                <w:lang w:val="en-US" w:eastAsia="zh-CN"/>
              </w:rPr>
              <w:t>公司今年1-9月的经营活动现金流量净额同比下降80%，请介绍一下具体原因，对公司运营和发展有什么影响？预计全年该指标能得到改善吗？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  <w:lang w:val="en-US" w:eastAsia="zh-CN"/>
              </w:rPr>
              <w:t>：公司的经营活动现金流量净额实现转正，同比下降主要是部分业务仍在结算期。其中经营活动现金流入较上年同期增加7.85亿元，主要是销售商品、提供劳务收到的现金同比增加9.41亿元；经营活动现金流出较上年同期增加21.13亿元，主要是购买商品、接受劳务支付的现金同比增加18.09亿元，支付各项税费及职工相关支出的现金同比增加3.51亿元。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Q4：海油发展2025年三季报披露，前三季度实现归母净利28.5亿元，同比增长6.1%，扣非归母净利润28.6亿元，同比增长14.5%。请介绍一下非经常性损益影响情况？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4：今年前三季度，公司扣非归母净利润同比增幅14.5%，总体符合预期；归母净利润同比增幅6.1%，低于扣非归母净利润增幅8.4个百分点，主要是两年非经常性损益变化，拉低了利润增幅。一是本年前三季度存在海洋石油116台风受损修复支出1.8亿元；二是上年同期存在CCER资产处置一次性收益0.7亿元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bookmarkStart w:id="3" w:name="_Toc22609"/>
            <w:bookmarkStart w:id="4" w:name="_Toc20529"/>
            <w:r>
              <w:rPr>
                <w:rFonts w:hint="default"/>
                <w:lang w:val="en-US" w:eastAsia="zh-CN"/>
              </w:rPr>
              <w:t>Q5：</w:t>
            </w:r>
            <w:bookmarkEnd w:id="3"/>
            <w:bookmarkEnd w:id="4"/>
            <w:r>
              <w:rPr>
                <w:rFonts w:hint="default"/>
                <w:lang w:val="en-US" w:eastAsia="zh-CN"/>
              </w:rPr>
              <w:t>公司自上市以来坚持实施积极的现金分红政策，股息率处于行业上游水平。请问未来3-5年，公司分红政策的具体规划是什么？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A5：海油发展高度重视股东回报，一直努力保持稳定和可持续的现金分红政策。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近年来，公司持续加强现金流管理，总体处于现金充裕状态，公司资产质量较高、盈利稳定、资产负债率处于合理水平，具备较强的融资能力，可以有效支撑公司未来的资本性开支和稳定的分红支出。公司将持续努力提升经营业绩和经营质量，努力为股东争取更大、更稳定、更可持续的回报。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bookmarkStart w:id="5" w:name="_Toc20140"/>
            <w:r>
              <w:rPr>
                <w:rFonts w:hint="default"/>
                <w:lang w:val="en-US" w:eastAsia="zh-CN"/>
              </w:rPr>
              <w:t>Q6：</w:t>
            </w:r>
            <w:bookmarkEnd w:id="5"/>
            <w:r>
              <w:rPr>
                <w:rFonts w:hint="default"/>
                <w:lang w:val="en-US" w:eastAsia="zh-CN"/>
              </w:rPr>
              <w:t>国际油价波动对油服行业影响显著，根据花旗预测，第四季布伦特油价有可能会持续走低。请问公司如何应对油价波动风险？是否有具体的风险管理策略？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6：公司业务侧重于油田生产阶段，对油价波动敏感度相对较低。但如果油价长期处于低位，公司也将面临市场需求增量放缓以及经营压力增大的风险。面对上述风险，公司将聚焦价值创造能力提升，围绕企业功能定位，突出提高采收率等关键领域，加大核心能力攻坚，通过提供专业化、定制化的服务，提升盈利能力。同时持续开展降本增效，坚持科技创新和精益管理“双轮驱动”，深化质量效率变革，持续推进系统性、结构性降本，全面提高经营质效。另外，不断健全外部市场政策措施，全面加强品牌建设，拓展业务网络，抓好外部市场开拓攻坚。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Q7：今年行情不错，为什么海油发展的股价一直没涨，请问公司如何看待海油发展的股价？有市值管理吗？考虑过回购股票吗？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default"/>
                <w:lang w:val="en-US" w:eastAsia="zh-CN"/>
              </w:rPr>
              <w:t xml:space="preserve">：您好，二级市场股价波动受到宏观经济、行业表现、市场风格变化等多重复杂因素影响。公司将持续加强核心能力建设，并开展提质降本增效行动，发展新质生产力，提升公司业绩，为投资者创造更大的价值。 对公司来说，无论是董事会还是管理层，对市值管理工作都高度重视，持续做好价值创造和价值传递。在价值创造方面，公司围绕核心能力建设，大力推进“卡脖子”技术、深度塑造一体化服务能力，打造比较优势，持续提升产业竞争力。在价值传递方面，公司也是主动跟踪并及时回应投资者关切，分级分类开展常态化、多样化的投资者交流，近年来资本市场的认知度显著提升。通过以上的“内外兼修”举措，在资本市场树立稳健经营、稳定分红的公司形象，精准对接价值投资者的投资偏好，在公司估值上寻求与经营业绩的更加匹配。 </w:t>
            </w: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目前公司暂无回购计划，公司将持续关注回购政策，按照监管要求履行披露义务。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bookmarkStart w:id="6" w:name="_Toc21135"/>
            <w:r>
              <w:rPr>
                <w:rFonts w:hint="default"/>
                <w:lang w:val="en-US" w:eastAsia="zh-CN"/>
              </w:rPr>
              <w:t>Q8：</w:t>
            </w:r>
            <w:bookmarkEnd w:id="6"/>
            <w:r>
              <w:rPr>
                <w:rFonts w:hint="default"/>
                <w:lang w:val="en-US" w:eastAsia="zh-CN"/>
              </w:rPr>
              <w:t>想问一下，公司在ESG治理方面有哪些举措？在乡村振兴方面有哪些成果？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8：公司高度重视ESG工作，持续完善ESG治理体系，连续十五年编制可持续发展报告（上市前开始编制）。从2022年的报告中开始，增加SDGs对标并引入第三方审验，有效提升报告的国际性和公信力。制定《海油发展ESG指标体系管理手册》，包括26项实质性议题，99项二级指标以及429项三级指标，ESG治理走出创新新路径。</w:t>
            </w: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同时，在不断完善ESG信息披露以外，公司高度重视ESG实践。2025年上半年，公司深入落实“双碳”目标，探索建立公司碳足迹管理体系，推动建立油化药剂、隔水套管等11类重点产品碳足迹背景数据库。深入开展设备设施更新改造专项行动，完成1,436台/套设备设施更新改造。实施节能降碳技改项目5个，节能1634吨标煤。公司坚持产业帮扶与消费帮扶双轮驱动，在全面推进乡村振兴工作中展现新作为。围绕“治未病”大健康理念，公司持续做好出海人员和高风险岗位等重点人群的健康适岗管理，推动心理减压室应用，促进全员身心健康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Q9：公司在发展新质生产力上如何布局，目前的成果如何？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A9：公司充分认识和把握培育发展海洋能源新质生产力的重大意义，致力于加速传统产业优化升级，大力布局发展战略性新兴产业和未来产业，扎实推进公司现代化产业体系建设。</w:t>
            </w: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公司围绕新一代信息技术、海洋装备、新材料、新能源、节能环保、相关服务业等六大战新领域，有序推进重点方向布局与项目落地，为公司构建新增长极、强化发展新动能提供坚实支撑。</w:t>
            </w: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能源技术服务板块，围绕海洋装备制造领域，聚焦低品位油田高效开发、老油田稳产增产、设备设施更新改造等需求，在产品端持续攻关水下采油树、智能注采工具、永磁电泵、PDC钻头、微透平、边际油田开发装备等中高端产品，提升“卡脖子”技术产品自主可控力；在服务端优化创新设备设施运维、边际油田开发、稠油移动热采等一体化服务模式。</w:t>
            </w: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低碳环保与数字化板块，在新能源领域，重点围绕海上风电、光伏、储能、氢能、LNG运输加注等方向，以设计为龙头在能源供给端开辟“技术+装备/产品+服务”新赛道，打造差异化EPCI+运维一体化能力。在新材料领域，以市场需求为导向，聚焦特色化、差异化、高值化新材料技术与产品的开发，做好DPC催化剂（重油碱催化增产化学品）、重防腐涂料等核心产品产能建设与市场开拓。在节能环保产业领域，聚焦零碳绿色油田、园区、工厂等建设场景，提升双碳运营管理服务能力，全力构建“监测+咨询+产品+工程+运营”绿色低碳一体化、定制化服务模式。</w:t>
            </w: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在能源物流服务板块，将充分收益于国内增储上产带来的工作量和产量的增长利好因素，采取积极措施，主动研判市场趋势，对冲销售价格同比下降的影响。</w:t>
            </w: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公司将以科学编制“十五五”发展规划为抓手，进一步深化战新产业、未来产业发展趋势与路径的研究，健全产业发展保障机制，推动智能制造基地、新材料生产基地的投资布局，逐步扩大微透平、永磁电泵、DPC催化剂、功能膜材料等高端产品的供给，加快培育发展海洋能源新质生产力。</w:t>
            </w:r>
          </w:p>
          <w:p>
            <w:pPr>
              <w:ind w:firstLine="420" w:firstLineChars="20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default" w:eastAsia="宋体" w:cs="Times New Roman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lang w:val="en-US" w:eastAsia="zh-CN"/>
              </w:rPr>
              <w:t>10</w:t>
            </w:r>
            <w:r>
              <w:rPr>
                <w:rFonts w:hint="default" w:eastAsia="宋体" w:cs="Times New Roman"/>
                <w:lang w:val="en-US" w:eastAsia="zh-CN"/>
              </w:rPr>
              <w:t>：公司海外业务拓展思路，目前取得的成效，包括区域，服务业务等情况。</w:t>
            </w:r>
          </w:p>
          <w:p>
            <w:pPr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default" w:eastAsia="宋体" w:cs="Times New Roman"/>
                <w:lang w:val="en-US" w:eastAsia="zh-CN"/>
              </w:rPr>
              <w:t>A</w:t>
            </w:r>
            <w:r>
              <w:rPr>
                <w:rFonts w:hint="eastAsia" w:eastAsia="宋体" w:cs="Times New Roman"/>
                <w:lang w:val="en-US" w:eastAsia="zh-CN"/>
              </w:rPr>
              <w:t>10</w:t>
            </w:r>
            <w:r>
              <w:rPr>
                <w:rFonts w:hint="default" w:eastAsia="宋体" w:cs="Times New Roman"/>
                <w:lang w:val="en-US" w:eastAsia="zh-CN"/>
              </w:rPr>
              <w:t>：公司坚持“聚焦主业、强内拓外”发展思路，通过内部市场积累海外业绩资质，提升国际业务开发能力与项目执行水平，加强外部市场的开发开拓，聚焦重点客户、重点市场，践行产品战略及一体化发展战略。目前，公司海外市场分布在四个区域，分别是中东、非洲、北美和亚太，主要业务包括主要业务包括油田操作运维、工程EPC、监督技术、井下技术、增产技术、QHSE咨询、PMC、IT运维、培训、物流等技术服务，以及油田化学药剂、电潜泵、井下工具、涂敷配重、油套管、催化剂、涂料等产品销售。</w:t>
            </w:r>
          </w:p>
          <w:p>
            <w:pPr>
              <w:rPr>
                <w:rFonts w:hint="default" w:eastAsia="宋体" w:cs="Times New Roman"/>
                <w:lang w:val="en-US" w:eastAsia="zh-CN"/>
              </w:rPr>
            </w:pPr>
            <w:bookmarkStart w:id="7" w:name="_Toc19691"/>
            <w:r>
              <w:rPr>
                <w:rFonts w:hint="default"/>
                <w:lang w:val="en-US" w:eastAsia="zh-CN"/>
              </w:rPr>
              <w:t>Q</w:t>
            </w:r>
            <w:r>
              <w:rPr>
                <w:rFonts w:hint="eastAsia"/>
                <w:lang w:val="en-US" w:eastAsia="zh-CN"/>
              </w:rPr>
              <w:t>11</w:t>
            </w:r>
            <w:r>
              <w:rPr>
                <w:rFonts w:hint="default"/>
                <w:lang w:val="en-US" w:eastAsia="zh-CN"/>
              </w:rPr>
              <w:t>：</w:t>
            </w:r>
            <w:bookmarkEnd w:id="7"/>
            <w:r>
              <w:rPr>
                <w:rFonts w:hint="default" w:eastAsia="宋体" w:cs="Times New Roman"/>
                <w:lang w:val="en-US" w:eastAsia="zh-CN"/>
              </w:rPr>
              <w:t>关于2025年的全年预计？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 w:eastAsia="宋体" w:cs="Times New Roman"/>
                <w:lang w:val="en-US" w:eastAsia="zh-CN"/>
              </w:rPr>
              <w:t>A</w:t>
            </w:r>
            <w:r>
              <w:rPr>
                <w:rFonts w:hint="eastAsia" w:eastAsia="宋体" w:cs="Times New Roman"/>
                <w:lang w:val="en-US" w:eastAsia="zh-CN"/>
              </w:rPr>
              <w:t>11</w:t>
            </w:r>
            <w:r>
              <w:rPr>
                <w:rFonts w:hint="default" w:eastAsia="宋体" w:cs="Times New Roman"/>
                <w:lang w:val="en-US" w:eastAsia="zh-CN"/>
              </w:rPr>
              <w:t>：公司第四季度经营</w:t>
            </w:r>
            <w:r>
              <w:rPr>
                <w:rFonts w:hint="eastAsia" w:cs="Times New Roman"/>
                <w:lang w:val="en-US" w:eastAsia="zh-CN"/>
              </w:rPr>
              <w:t>情况稳中有进，</w:t>
            </w:r>
            <w:bookmarkStart w:id="8" w:name="_GoBack"/>
            <w:bookmarkEnd w:id="8"/>
            <w:r>
              <w:rPr>
                <w:rFonts w:hint="default" w:eastAsia="宋体" w:cs="Times New Roman"/>
                <w:lang w:val="en-US" w:eastAsia="zh-CN"/>
              </w:rPr>
              <w:t>预计全年实现稳增长的目标。具体请关注公司相关公告。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>附件清单（如有）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Arial" w:hAnsi="Arial"/>
                <w:bCs/>
                <w:sz w:val="24"/>
              </w:rPr>
            </w:pPr>
          </w:p>
          <w:p>
            <w:pPr>
              <w:spacing w:line="360" w:lineRule="auto"/>
              <w:rPr>
                <w:rFonts w:ascii="Arial" w:hAnsi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Arial" w:hAnsi="Arial"/>
                <w:bCs/>
                <w:sz w:val="24"/>
              </w:rPr>
            </w:pPr>
            <w:r>
              <w:rPr>
                <w:rFonts w:hint="eastAsia" w:ascii="Arial" w:hAnsi="Arial"/>
                <w:bCs/>
                <w:sz w:val="24"/>
              </w:rPr>
              <w:t>备注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Arial" w:hAnsi="Arial"/>
                <w:bCs/>
                <w:sz w:val="24"/>
              </w:rPr>
            </w:pPr>
          </w:p>
          <w:p>
            <w:pPr>
              <w:spacing w:line="360" w:lineRule="auto"/>
              <w:rPr>
                <w:rFonts w:ascii="Arial" w:hAnsi="Arial"/>
                <w:bCs/>
                <w:sz w:val="24"/>
              </w:rPr>
            </w:pPr>
          </w:p>
        </w:tc>
      </w:tr>
    </w:tbl>
    <w:p>
      <w:pPr>
        <w:spacing w:line="360" w:lineRule="auto"/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6AF"/>
    <w:rsid w:val="000064E8"/>
    <w:rsid w:val="00014730"/>
    <w:rsid w:val="0001671F"/>
    <w:rsid w:val="000249CF"/>
    <w:rsid w:val="000322B8"/>
    <w:rsid w:val="000514E2"/>
    <w:rsid w:val="00064957"/>
    <w:rsid w:val="0007152A"/>
    <w:rsid w:val="00092E77"/>
    <w:rsid w:val="000959C1"/>
    <w:rsid w:val="00095F49"/>
    <w:rsid w:val="000B2D26"/>
    <w:rsid w:val="000B5A0A"/>
    <w:rsid w:val="000C39CE"/>
    <w:rsid w:val="000C4415"/>
    <w:rsid w:val="000E3B6B"/>
    <w:rsid w:val="000F0D13"/>
    <w:rsid w:val="000F3391"/>
    <w:rsid w:val="00102C7B"/>
    <w:rsid w:val="00120BE7"/>
    <w:rsid w:val="00131336"/>
    <w:rsid w:val="00133145"/>
    <w:rsid w:val="00133934"/>
    <w:rsid w:val="00145654"/>
    <w:rsid w:val="00145874"/>
    <w:rsid w:val="0015176B"/>
    <w:rsid w:val="001640C6"/>
    <w:rsid w:val="00166E1D"/>
    <w:rsid w:val="00172322"/>
    <w:rsid w:val="00196E68"/>
    <w:rsid w:val="001B5980"/>
    <w:rsid w:val="001C3EE5"/>
    <w:rsid w:val="001C5E58"/>
    <w:rsid w:val="001C7FAB"/>
    <w:rsid w:val="001E701A"/>
    <w:rsid w:val="001F2BC6"/>
    <w:rsid w:val="001F53CD"/>
    <w:rsid w:val="00201181"/>
    <w:rsid w:val="00205C9B"/>
    <w:rsid w:val="002138F3"/>
    <w:rsid w:val="00217AD1"/>
    <w:rsid w:val="002234F1"/>
    <w:rsid w:val="00225F72"/>
    <w:rsid w:val="00231B7C"/>
    <w:rsid w:val="00232F5E"/>
    <w:rsid w:val="00251396"/>
    <w:rsid w:val="00262377"/>
    <w:rsid w:val="002917B0"/>
    <w:rsid w:val="00295886"/>
    <w:rsid w:val="0029714B"/>
    <w:rsid w:val="002A2354"/>
    <w:rsid w:val="002A7C64"/>
    <w:rsid w:val="002B3178"/>
    <w:rsid w:val="002B4C51"/>
    <w:rsid w:val="002C37B7"/>
    <w:rsid w:val="002D2D15"/>
    <w:rsid w:val="002D7106"/>
    <w:rsid w:val="002D71D3"/>
    <w:rsid w:val="002F08B5"/>
    <w:rsid w:val="002F105B"/>
    <w:rsid w:val="002F5019"/>
    <w:rsid w:val="002F57FB"/>
    <w:rsid w:val="003045BD"/>
    <w:rsid w:val="00337B48"/>
    <w:rsid w:val="00375169"/>
    <w:rsid w:val="00381350"/>
    <w:rsid w:val="0038279B"/>
    <w:rsid w:val="0038654F"/>
    <w:rsid w:val="00392023"/>
    <w:rsid w:val="00392EE5"/>
    <w:rsid w:val="003932E8"/>
    <w:rsid w:val="00396048"/>
    <w:rsid w:val="003A38F1"/>
    <w:rsid w:val="003B0A80"/>
    <w:rsid w:val="003C2D07"/>
    <w:rsid w:val="003C3CB2"/>
    <w:rsid w:val="003D4279"/>
    <w:rsid w:val="003D4E0A"/>
    <w:rsid w:val="003E0FCB"/>
    <w:rsid w:val="003E50AE"/>
    <w:rsid w:val="003F0C6C"/>
    <w:rsid w:val="0040026C"/>
    <w:rsid w:val="004115C5"/>
    <w:rsid w:val="00420C25"/>
    <w:rsid w:val="00425AD3"/>
    <w:rsid w:val="004261A5"/>
    <w:rsid w:val="00456B57"/>
    <w:rsid w:val="00461F34"/>
    <w:rsid w:val="00483104"/>
    <w:rsid w:val="0049413B"/>
    <w:rsid w:val="004A2313"/>
    <w:rsid w:val="004A48AF"/>
    <w:rsid w:val="004A5953"/>
    <w:rsid w:val="004A5CD1"/>
    <w:rsid w:val="004B64F0"/>
    <w:rsid w:val="004B6CCB"/>
    <w:rsid w:val="004C68C2"/>
    <w:rsid w:val="004E1560"/>
    <w:rsid w:val="004F6986"/>
    <w:rsid w:val="005028F2"/>
    <w:rsid w:val="00502AC1"/>
    <w:rsid w:val="00505C7F"/>
    <w:rsid w:val="00513939"/>
    <w:rsid w:val="00516029"/>
    <w:rsid w:val="0051704B"/>
    <w:rsid w:val="00520481"/>
    <w:rsid w:val="005306D2"/>
    <w:rsid w:val="005329E3"/>
    <w:rsid w:val="0053346B"/>
    <w:rsid w:val="00540D89"/>
    <w:rsid w:val="005415B8"/>
    <w:rsid w:val="005569B7"/>
    <w:rsid w:val="00576C16"/>
    <w:rsid w:val="005A675E"/>
    <w:rsid w:val="005B2535"/>
    <w:rsid w:val="005B2C08"/>
    <w:rsid w:val="005C0791"/>
    <w:rsid w:val="005F7998"/>
    <w:rsid w:val="006061B0"/>
    <w:rsid w:val="00613CB3"/>
    <w:rsid w:val="006339AA"/>
    <w:rsid w:val="00640637"/>
    <w:rsid w:val="006408CD"/>
    <w:rsid w:val="00642E5E"/>
    <w:rsid w:val="00647EF4"/>
    <w:rsid w:val="00667668"/>
    <w:rsid w:val="00670515"/>
    <w:rsid w:val="006A672C"/>
    <w:rsid w:val="006B23BF"/>
    <w:rsid w:val="006B31D9"/>
    <w:rsid w:val="006C55E7"/>
    <w:rsid w:val="006D0D9C"/>
    <w:rsid w:val="006D497F"/>
    <w:rsid w:val="006E211A"/>
    <w:rsid w:val="006E3954"/>
    <w:rsid w:val="00700F38"/>
    <w:rsid w:val="007207CB"/>
    <w:rsid w:val="0074245B"/>
    <w:rsid w:val="007500D3"/>
    <w:rsid w:val="00767BBE"/>
    <w:rsid w:val="007740D1"/>
    <w:rsid w:val="00781232"/>
    <w:rsid w:val="0078494D"/>
    <w:rsid w:val="00791A85"/>
    <w:rsid w:val="007A4BB1"/>
    <w:rsid w:val="007B4526"/>
    <w:rsid w:val="007B4B1C"/>
    <w:rsid w:val="007D2AA9"/>
    <w:rsid w:val="007D2DAD"/>
    <w:rsid w:val="007D6C5F"/>
    <w:rsid w:val="007F3F8D"/>
    <w:rsid w:val="007F52F9"/>
    <w:rsid w:val="00814B49"/>
    <w:rsid w:val="00820A07"/>
    <w:rsid w:val="0084183B"/>
    <w:rsid w:val="008418D3"/>
    <w:rsid w:val="00841B87"/>
    <w:rsid w:val="00842582"/>
    <w:rsid w:val="00852F42"/>
    <w:rsid w:val="00857736"/>
    <w:rsid w:val="00870841"/>
    <w:rsid w:val="00870E6D"/>
    <w:rsid w:val="00894C66"/>
    <w:rsid w:val="008A52A1"/>
    <w:rsid w:val="008D6D3B"/>
    <w:rsid w:val="008E16D4"/>
    <w:rsid w:val="008F33BB"/>
    <w:rsid w:val="0090720B"/>
    <w:rsid w:val="00915626"/>
    <w:rsid w:val="0092052F"/>
    <w:rsid w:val="00920A70"/>
    <w:rsid w:val="00931DF2"/>
    <w:rsid w:val="0094094D"/>
    <w:rsid w:val="00951C25"/>
    <w:rsid w:val="00952E2F"/>
    <w:rsid w:val="00953621"/>
    <w:rsid w:val="00955BD4"/>
    <w:rsid w:val="009734F6"/>
    <w:rsid w:val="0097646C"/>
    <w:rsid w:val="00982303"/>
    <w:rsid w:val="009A0AA8"/>
    <w:rsid w:val="009A0FDB"/>
    <w:rsid w:val="009A667A"/>
    <w:rsid w:val="009A6897"/>
    <w:rsid w:val="009A7E7D"/>
    <w:rsid w:val="009B0E27"/>
    <w:rsid w:val="009D0879"/>
    <w:rsid w:val="009D50D4"/>
    <w:rsid w:val="009F1F15"/>
    <w:rsid w:val="009F2007"/>
    <w:rsid w:val="009F4A15"/>
    <w:rsid w:val="00A016D7"/>
    <w:rsid w:val="00A06781"/>
    <w:rsid w:val="00A2008F"/>
    <w:rsid w:val="00A2669E"/>
    <w:rsid w:val="00A27FDB"/>
    <w:rsid w:val="00A32E27"/>
    <w:rsid w:val="00A46331"/>
    <w:rsid w:val="00A54A1D"/>
    <w:rsid w:val="00A56E13"/>
    <w:rsid w:val="00A64E11"/>
    <w:rsid w:val="00A7677A"/>
    <w:rsid w:val="00A80C96"/>
    <w:rsid w:val="00A9782D"/>
    <w:rsid w:val="00AA30E5"/>
    <w:rsid w:val="00AA751C"/>
    <w:rsid w:val="00AB1D47"/>
    <w:rsid w:val="00AE00F9"/>
    <w:rsid w:val="00AE6AAD"/>
    <w:rsid w:val="00AF0540"/>
    <w:rsid w:val="00B146C4"/>
    <w:rsid w:val="00B266A9"/>
    <w:rsid w:val="00B32FB4"/>
    <w:rsid w:val="00B34808"/>
    <w:rsid w:val="00B57DE2"/>
    <w:rsid w:val="00B61024"/>
    <w:rsid w:val="00B62DBF"/>
    <w:rsid w:val="00B63DDA"/>
    <w:rsid w:val="00B64A83"/>
    <w:rsid w:val="00B94426"/>
    <w:rsid w:val="00BA29F6"/>
    <w:rsid w:val="00BB6048"/>
    <w:rsid w:val="00BC06D0"/>
    <w:rsid w:val="00BD605B"/>
    <w:rsid w:val="00C2418C"/>
    <w:rsid w:val="00C31F14"/>
    <w:rsid w:val="00C42181"/>
    <w:rsid w:val="00C622EA"/>
    <w:rsid w:val="00C7176C"/>
    <w:rsid w:val="00C818BD"/>
    <w:rsid w:val="00C81F5B"/>
    <w:rsid w:val="00CA2C89"/>
    <w:rsid w:val="00CA3859"/>
    <w:rsid w:val="00CD0EC1"/>
    <w:rsid w:val="00CE53D2"/>
    <w:rsid w:val="00D02FF1"/>
    <w:rsid w:val="00D07FB4"/>
    <w:rsid w:val="00D12A2E"/>
    <w:rsid w:val="00D140C0"/>
    <w:rsid w:val="00D459BA"/>
    <w:rsid w:val="00D6600B"/>
    <w:rsid w:val="00D67300"/>
    <w:rsid w:val="00D67AA4"/>
    <w:rsid w:val="00D72A6F"/>
    <w:rsid w:val="00D75EFF"/>
    <w:rsid w:val="00D762C1"/>
    <w:rsid w:val="00D87F10"/>
    <w:rsid w:val="00D915CA"/>
    <w:rsid w:val="00D91F02"/>
    <w:rsid w:val="00D9302B"/>
    <w:rsid w:val="00DA2171"/>
    <w:rsid w:val="00DA3392"/>
    <w:rsid w:val="00DA34B0"/>
    <w:rsid w:val="00DA6434"/>
    <w:rsid w:val="00DB0F03"/>
    <w:rsid w:val="00DB3D89"/>
    <w:rsid w:val="00DC1EC5"/>
    <w:rsid w:val="00DC26ED"/>
    <w:rsid w:val="00DD156D"/>
    <w:rsid w:val="00DE5486"/>
    <w:rsid w:val="00DF4270"/>
    <w:rsid w:val="00E1402E"/>
    <w:rsid w:val="00E2445B"/>
    <w:rsid w:val="00E26F36"/>
    <w:rsid w:val="00E27AE2"/>
    <w:rsid w:val="00E54867"/>
    <w:rsid w:val="00E65FD5"/>
    <w:rsid w:val="00E878A5"/>
    <w:rsid w:val="00E947C4"/>
    <w:rsid w:val="00EB501A"/>
    <w:rsid w:val="00EC087B"/>
    <w:rsid w:val="00EC140C"/>
    <w:rsid w:val="00EC4B5E"/>
    <w:rsid w:val="00ED2FEA"/>
    <w:rsid w:val="00ED5B82"/>
    <w:rsid w:val="00EF595C"/>
    <w:rsid w:val="00EF63B5"/>
    <w:rsid w:val="00F065EA"/>
    <w:rsid w:val="00F12982"/>
    <w:rsid w:val="00F46311"/>
    <w:rsid w:val="00F54829"/>
    <w:rsid w:val="00F55C2F"/>
    <w:rsid w:val="00F5728D"/>
    <w:rsid w:val="00F76932"/>
    <w:rsid w:val="00F804AA"/>
    <w:rsid w:val="00F8256E"/>
    <w:rsid w:val="00F828C0"/>
    <w:rsid w:val="00F84A96"/>
    <w:rsid w:val="00F91EC5"/>
    <w:rsid w:val="00F930C8"/>
    <w:rsid w:val="00F9390C"/>
    <w:rsid w:val="00F959DE"/>
    <w:rsid w:val="00FB2757"/>
    <w:rsid w:val="00FB2E13"/>
    <w:rsid w:val="00FB36AF"/>
    <w:rsid w:val="00FD7CDB"/>
    <w:rsid w:val="00FE4171"/>
    <w:rsid w:val="0130215C"/>
    <w:rsid w:val="06DC7859"/>
    <w:rsid w:val="07F118A7"/>
    <w:rsid w:val="09780FE6"/>
    <w:rsid w:val="108E0C2E"/>
    <w:rsid w:val="11E00E28"/>
    <w:rsid w:val="14B8165B"/>
    <w:rsid w:val="18931874"/>
    <w:rsid w:val="1CB01AE5"/>
    <w:rsid w:val="20564F67"/>
    <w:rsid w:val="22903F40"/>
    <w:rsid w:val="2428786F"/>
    <w:rsid w:val="250E6BFE"/>
    <w:rsid w:val="253C3156"/>
    <w:rsid w:val="2FC015D3"/>
    <w:rsid w:val="300F2202"/>
    <w:rsid w:val="30E8054D"/>
    <w:rsid w:val="33C01926"/>
    <w:rsid w:val="34584414"/>
    <w:rsid w:val="370D1705"/>
    <w:rsid w:val="37697DF6"/>
    <w:rsid w:val="3C9E1F83"/>
    <w:rsid w:val="3FE42117"/>
    <w:rsid w:val="40190FE2"/>
    <w:rsid w:val="40516596"/>
    <w:rsid w:val="424413B5"/>
    <w:rsid w:val="430420E0"/>
    <w:rsid w:val="579266F5"/>
    <w:rsid w:val="5B6B7E52"/>
    <w:rsid w:val="5C9B4908"/>
    <w:rsid w:val="5E0D31DF"/>
    <w:rsid w:val="5E831ACF"/>
    <w:rsid w:val="5F331135"/>
    <w:rsid w:val="5FCE799C"/>
    <w:rsid w:val="60A9304C"/>
    <w:rsid w:val="60D72176"/>
    <w:rsid w:val="61727C75"/>
    <w:rsid w:val="6C4876F4"/>
    <w:rsid w:val="72724C57"/>
    <w:rsid w:val="73194621"/>
    <w:rsid w:val="73D357FF"/>
    <w:rsid w:val="73E21972"/>
    <w:rsid w:val="76901005"/>
    <w:rsid w:val="793A669D"/>
    <w:rsid w:val="799646AA"/>
    <w:rsid w:val="7AF74291"/>
    <w:rsid w:val="7DB33A51"/>
    <w:rsid w:val="7E9F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1"/>
        <w:tab w:val="left" w:pos="5041"/>
        <w:tab w:val="left" w:pos="5761"/>
        <w:tab w:val="left" w:pos="6481"/>
        <w:tab w:val="left" w:pos="7201"/>
        <w:tab w:val="left" w:pos="7921"/>
      </w:tabs>
      <w:autoSpaceDE w:val="0"/>
      <w:autoSpaceDN w:val="0"/>
      <w:spacing w:after="120"/>
    </w:p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5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6">
    <w:name w:val="Body Text Indent 2"/>
    <w:basedOn w:val="1"/>
    <w:qFormat/>
    <w:uiPriority w:val="0"/>
    <w:pPr>
      <w:ind w:left="420"/>
    </w:pPr>
    <w:rPr>
      <w:rFonts w:asciiTheme="minorHAnsi" w:hAnsiTheme="minorHAnsi" w:eastAsiaTheme="minorEastAsia" w:cstheme="minorBidi"/>
      <w:b/>
      <w:sz w:val="24"/>
    </w:rPr>
  </w:style>
  <w:style w:type="paragraph" w:styleId="7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5"/>
    <w:next w:val="5"/>
    <w:link w:val="19"/>
    <w:semiHidden/>
    <w:unhideWhenUsed/>
    <w:qFormat/>
    <w:uiPriority w:val="99"/>
    <w:rPr>
      <w:b/>
      <w:bCs/>
    </w:rPr>
  </w:style>
  <w:style w:type="character" w:styleId="13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4">
    <w:name w:val="批注框文本 字符"/>
    <w:basedOn w:val="12"/>
    <w:link w:val="7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眉 字符"/>
    <w:basedOn w:val="12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脚 字符"/>
    <w:basedOn w:val="12"/>
    <w:link w:val="8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8">
    <w:name w:val="批注文字 字符"/>
    <w:basedOn w:val="12"/>
    <w:link w:val="5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9">
    <w:name w:val="批注主题 字符"/>
    <w:basedOn w:val="18"/>
    <w:link w:val="10"/>
    <w:semiHidden/>
    <w:qFormat/>
    <w:uiPriority w:val="99"/>
    <w:rPr>
      <w:rFonts w:ascii="Calibri" w:hAnsi="Calibri" w:eastAsia="宋体" w:cs="Times New Roman"/>
      <w:b/>
      <w:bCs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393</Words>
  <Characters>2243</Characters>
  <Lines>18</Lines>
  <Paragraphs>5</Paragraphs>
  <TotalTime>1</TotalTime>
  <ScaleCrop>false</ScaleCrop>
  <LinksUpToDate>false</LinksUpToDate>
  <CharactersWithSpaces>2631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2023-06-07T07:24:00Z</dcterms:created>
  <dc:creator>Xu Zhengrong</dc:creator>
  <cp:lastModifiedBy>高 静</cp:lastModifiedBy>
  <cp:lastPrinted>2021-04-22T01:41:00Z</cp:lastPrinted>
  <dcterms:modified xsi:type="dcterms:W3CDTF">2025-11-04T00:46:20Z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C669EAE0FCB645A7A12D50F238193B77</vt:lpwstr>
  </property>
</Properties>
</file>