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02E120">
      <w:pPr>
        <w:snapToGrid w:val="0"/>
        <w:spacing w:line="360" w:lineRule="auto"/>
        <w:rPr>
          <w:rFonts w:eastAsiaTheme="minorEastAsia"/>
          <w:b/>
          <w:iCs/>
          <w:color w:val="000000"/>
          <w:sz w:val="24"/>
          <w:szCs w:val="24"/>
        </w:rPr>
      </w:pPr>
      <w:r>
        <w:rPr>
          <w:rFonts w:eastAsiaTheme="minorEastAsia"/>
          <w:b/>
          <w:iCs/>
          <w:color w:val="000000"/>
          <w:sz w:val="24"/>
          <w:szCs w:val="24"/>
        </w:rPr>
        <w:t>证券代码：605086                                  证券简称：龙高股份</w:t>
      </w:r>
    </w:p>
    <w:p w14:paraId="268351C2">
      <w:pPr>
        <w:snapToGrid w:val="0"/>
        <w:spacing w:before="156" w:beforeLines="50" w:after="156" w:afterLines="50" w:line="360" w:lineRule="auto"/>
        <w:jc w:val="center"/>
        <w:rPr>
          <w:rFonts w:eastAsia="黑体"/>
          <w:b/>
          <w:bCs/>
          <w:iCs/>
          <w:color w:val="000000"/>
          <w:sz w:val="32"/>
          <w:szCs w:val="32"/>
        </w:rPr>
      </w:pPr>
      <w:r>
        <w:rPr>
          <w:rFonts w:eastAsia="黑体"/>
          <w:b/>
          <w:bCs/>
          <w:iCs/>
          <w:color w:val="000000"/>
          <w:sz w:val="32"/>
          <w:szCs w:val="32"/>
        </w:rPr>
        <w:t>龙岩高岭土股份有限公司投资者关系活动记录表</w:t>
      </w:r>
    </w:p>
    <w:p w14:paraId="16E43DBF">
      <w:pPr>
        <w:spacing w:line="360" w:lineRule="auto"/>
        <w:rPr>
          <w:rFonts w:hint="default" w:eastAsia="仿宋"/>
          <w:bCs/>
          <w:iCs/>
          <w:color w:val="000000"/>
          <w:sz w:val="24"/>
          <w:szCs w:val="24"/>
          <w:lang w:val="en-US" w:eastAsia="zh-CN"/>
        </w:rPr>
      </w:pPr>
      <w:r>
        <w:rPr>
          <w:rFonts w:eastAsia="仿宋"/>
          <w:bCs/>
          <w:iCs/>
          <w:color w:val="000000"/>
          <w:sz w:val="28"/>
          <w:szCs w:val="28"/>
        </w:rPr>
        <w:t xml:space="preserve">                                                </w:t>
      </w:r>
      <w:r>
        <w:rPr>
          <w:rFonts w:asciiTheme="minorEastAsia" w:hAnsiTheme="minorEastAsia" w:eastAsiaTheme="minorEastAsia"/>
          <w:bCs/>
          <w:iCs/>
          <w:color w:val="000000"/>
          <w:sz w:val="24"/>
          <w:szCs w:val="24"/>
        </w:rPr>
        <w:t>编号：</w:t>
      </w:r>
      <w:r>
        <w:rPr>
          <w:rFonts w:eastAsia="仿宋"/>
          <w:bCs/>
          <w:iCs/>
          <w:color w:val="000000"/>
          <w:sz w:val="24"/>
          <w:szCs w:val="24"/>
        </w:rPr>
        <w:t>20</w:t>
      </w:r>
      <w:r>
        <w:rPr>
          <w:rFonts w:hint="eastAsia" w:eastAsia="仿宋"/>
          <w:bCs/>
          <w:iCs/>
          <w:color w:val="000000"/>
          <w:sz w:val="24"/>
          <w:szCs w:val="24"/>
        </w:rPr>
        <w:t>25-</w:t>
      </w:r>
      <w:r>
        <w:rPr>
          <w:rFonts w:hint="eastAsia" w:eastAsia="仿宋"/>
          <w:bCs/>
          <w:iCs/>
          <w:color w:val="000000"/>
          <w:sz w:val="24"/>
          <w:szCs w:val="24"/>
          <w:lang w:val="en-US" w:eastAsia="zh-CN"/>
        </w:rPr>
        <w:t>10</w:t>
      </w:r>
    </w:p>
    <w:tbl>
      <w:tblPr>
        <w:tblStyle w:val="8"/>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6379"/>
      </w:tblGrid>
      <w:tr w14:paraId="55A4D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7" w:hRule="atLeast"/>
        </w:trPr>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14:paraId="184642B6">
            <w:pPr>
              <w:spacing w:line="360" w:lineRule="auto"/>
              <w:jc w:val="center"/>
              <w:rPr>
                <w:bCs/>
                <w:iCs/>
                <w:color w:val="000000"/>
                <w:sz w:val="24"/>
                <w:szCs w:val="24"/>
              </w:rPr>
            </w:pPr>
            <w:r>
              <w:rPr>
                <w:bCs/>
                <w:iCs/>
                <w:color w:val="000000"/>
                <w:sz w:val="24"/>
                <w:szCs w:val="24"/>
              </w:rPr>
              <w:t>投资者关系活动类别</w:t>
            </w:r>
          </w:p>
        </w:tc>
        <w:tc>
          <w:tcPr>
            <w:tcW w:w="6379" w:type="dxa"/>
            <w:tcBorders>
              <w:top w:val="single" w:color="auto" w:sz="4" w:space="0"/>
              <w:left w:val="single" w:color="auto" w:sz="4" w:space="0"/>
              <w:bottom w:val="single" w:color="auto" w:sz="4" w:space="0"/>
              <w:right w:val="single" w:color="auto" w:sz="4" w:space="0"/>
            </w:tcBorders>
            <w:shd w:val="clear" w:color="auto" w:fill="auto"/>
            <w:vAlign w:val="center"/>
          </w:tcPr>
          <w:p w14:paraId="7367F36B">
            <w:pPr>
              <w:spacing w:line="360" w:lineRule="auto"/>
              <w:rPr>
                <w:rFonts w:ascii="宋体" w:hAnsi="宋体"/>
                <w:bCs/>
                <w:iCs/>
                <w:color w:val="000000"/>
                <w:sz w:val="24"/>
                <w:szCs w:val="24"/>
              </w:rPr>
            </w:pPr>
            <w:r>
              <w:rPr>
                <w:rFonts w:ascii="宋体" w:hAnsi="宋体"/>
                <w:bCs/>
                <w:iCs/>
                <w:color w:val="000000"/>
                <w:sz w:val="24"/>
                <w:szCs w:val="24"/>
              </w:rPr>
              <w:t>□</w:t>
            </w:r>
            <w:r>
              <w:rPr>
                <w:rFonts w:ascii="宋体" w:hAnsi="宋体"/>
                <w:color w:val="000000"/>
                <w:sz w:val="24"/>
                <w:szCs w:val="24"/>
              </w:rPr>
              <w:t xml:space="preserve">特定对象调研      </w:t>
            </w:r>
            <w:r>
              <w:rPr>
                <w:rFonts w:ascii="宋体" w:hAnsi="宋体"/>
                <w:bCs/>
                <w:iCs/>
                <w:color w:val="000000"/>
                <w:sz w:val="24"/>
                <w:szCs w:val="24"/>
              </w:rPr>
              <w:t>□</w:t>
            </w:r>
            <w:r>
              <w:rPr>
                <w:rFonts w:ascii="宋体" w:hAnsi="宋体"/>
                <w:color w:val="000000"/>
                <w:sz w:val="24"/>
                <w:szCs w:val="24"/>
              </w:rPr>
              <w:t>分析师会议</w:t>
            </w:r>
            <w:r>
              <w:rPr>
                <w:rFonts w:hint="eastAsia" w:ascii="宋体" w:hAnsi="宋体"/>
                <w:color w:val="000000"/>
                <w:sz w:val="24"/>
                <w:szCs w:val="24"/>
              </w:rPr>
              <w:t xml:space="preserve"> </w:t>
            </w:r>
            <w:r>
              <w:rPr>
                <w:rFonts w:ascii="宋体" w:hAnsi="宋体"/>
                <w:color w:val="000000"/>
                <w:sz w:val="24"/>
                <w:szCs w:val="24"/>
              </w:rPr>
              <w:t xml:space="preserve">      </w:t>
            </w:r>
            <w:r>
              <w:rPr>
                <w:rFonts w:ascii="宋体" w:hAnsi="宋体"/>
                <w:bCs/>
                <w:iCs/>
                <w:color w:val="000000"/>
                <w:sz w:val="24"/>
                <w:szCs w:val="24"/>
              </w:rPr>
              <w:t>□</w:t>
            </w:r>
            <w:r>
              <w:rPr>
                <w:rFonts w:ascii="宋体" w:hAnsi="宋体"/>
                <w:color w:val="000000"/>
                <w:sz w:val="24"/>
                <w:szCs w:val="24"/>
              </w:rPr>
              <w:t xml:space="preserve">媒体采访      </w:t>
            </w:r>
            <w:r>
              <w:rPr>
                <w:rFonts w:ascii="宋体" w:hAnsi="宋体"/>
                <w:bCs/>
                <w:iCs/>
                <w:color w:val="000000"/>
                <w:sz w:val="24"/>
                <w:szCs w:val="24"/>
              </w:rPr>
              <w:t>□</w:t>
            </w:r>
            <w:r>
              <w:rPr>
                <w:rFonts w:ascii="宋体" w:hAnsi="宋体"/>
                <w:color w:val="000000"/>
                <w:sz w:val="24"/>
                <w:szCs w:val="24"/>
              </w:rPr>
              <w:t xml:space="preserve">业绩说明会         </w:t>
            </w:r>
            <w:r>
              <w:rPr>
                <w:rFonts w:ascii="宋体" w:hAnsi="宋体"/>
                <w:bCs/>
                <w:iCs/>
                <w:color w:val="000000"/>
                <w:sz w:val="24"/>
                <w:szCs w:val="24"/>
              </w:rPr>
              <w:t>□</w:t>
            </w:r>
            <w:r>
              <w:rPr>
                <w:rFonts w:ascii="宋体" w:hAnsi="宋体"/>
                <w:color w:val="000000"/>
                <w:sz w:val="24"/>
                <w:szCs w:val="24"/>
              </w:rPr>
              <w:t xml:space="preserve">新闻发布会        </w:t>
            </w:r>
            <w:r>
              <w:rPr>
                <w:rFonts w:ascii="宋体" w:hAnsi="宋体"/>
                <w:bCs/>
                <w:iCs/>
                <w:color w:val="000000"/>
                <w:sz w:val="24"/>
                <w:szCs w:val="24"/>
              </w:rPr>
              <w:t>□</w:t>
            </w:r>
            <w:r>
              <w:rPr>
                <w:rFonts w:ascii="宋体" w:hAnsi="宋体"/>
                <w:color w:val="000000"/>
                <w:sz w:val="24"/>
                <w:szCs w:val="24"/>
              </w:rPr>
              <w:t>路演活动</w:t>
            </w:r>
          </w:p>
          <w:p w14:paraId="6D32EC6C">
            <w:pPr>
              <w:tabs>
                <w:tab w:val="left" w:pos="3045"/>
                <w:tab w:val="center" w:pos="3199"/>
              </w:tabs>
              <w:spacing w:line="360" w:lineRule="auto"/>
              <w:rPr>
                <w:bCs/>
                <w:iCs/>
                <w:color w:val="000000"/>
                <w:sz w:val="24"/>
                <w:szCs w:val="24"/>
              </w:rPr>
            </w:pPr>
            <w:r>
              <w:rPr>
                <w:rFonts w:ascii="宋体" w:hAnsi="宋体"/>
                <w:bCs/>
                <w:iCs/>
                <w:color w:val="000000"/>
                <w:sz w:val="24"/>
                <w:szCs w:val="24"/>
              </w:rPr>
              <w:t>√</w:t>
            </w:r>
            <w:r>
              <w:rPr>
                <w:rFonts w:ascii="宋体" w:hAnsi="宋体"/>
                <w:color w:val="000000"/>
                <w:sz w:val="24"/>
                <w:szCs w:val="24"/>
              </w:rPr>
              <w:t>现场参观</w:t>
            </w:r>
            <w:r>
              <w:rPr>
                <w:rFonts w:hint="eastAsia" w:ascii="宋体" w:hAnsi="宋体"/>
                <w:color w:val="000000"/>
                <w:sz w:val="24"/>
                <w:szCs w:val="24"/>
              </w:rPr>
              <w:t xml:space="preserve"> </w:t>
            </w:r>
            <w:r>
              <w:rPr>
                <w:rFonts w:ascii="宋体" w:hAnsi="宋体"/>
                <w:color w:val="000000"/>
                <w:sz w:val="24"/>
                <w:szCs w:val="24"/>
              </w:rPr>
              <w:t xml:space="preserve">          </w:t>
            </w:r>
            <w:r>
              <w:rPr>
                <w:rFonts w:ascii="宋体" w:hAnsi="宋体"/>
                <w:bCs/>
                <w:iCs/>
                <w:color w:val="000000"/>
                <w:sz w:val="24"/>
                <w:szCs w:val="24"/>
              </w:rPr>
              <w:t>□</w:t>
            </w:r>
            <w:r>
              <w:rPr>
                <w:rFonts w:ascii="宋体" w:hAnsi="宋体"/>
                <w:color w:val="000000"/>
                <w:sz w:val="24"/>
                <w:szCs w:val="24"/>
              </w:rPr>
              <w:t>其他</w:t>
            </w:r>
          </w:p>
        </w:tc>
      </w:tr>
      <w:tr w14:paraId="558C5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14:paraId="5D7DAD22">
            <w:pPr>
              <w:spacing w:line="360" w:lineRule="auto"/>
              <w:jc w:val="center"/>
              <w:rPr>
                <w:bCs/>
                <w:iCs/>
                <w:color w:val="000000"/>
                <w:sz w:val="24"/>
                <w:szCs w:val="24"/>
              </w:rPr>
            </w:pPr>
            <w:r>
              <w:rPr>
                <w:bCs/>
                <w:iCs/>
                <w:color w:val="000000"/>
                <w:sz w:val="24"/>
                <w:szCs w:val="24"/>
              </w:rPr>
              <w:t>参与单位名称</w:t>
            </w:r>
          </w:p>
          <w:p w14:paraId="2F34641D">
            <w:pPr>
              <w:spacing w:line="360" w:lineRule="auto"/>
              <w:jc w:val="center"/>
              <w:rPr>
                <w:bCs/>
                <w:iCs/>
                <w:color w:val="000000"/>
                <w:sz w:val="24"/>
                <w:szCs w:val="24"/>
              </w:rPr>
            </w:pPr>
            <w:r>
              <w:rPr>
                <w:bCs/>
                <w:iCs/>
                <w:color w:val="000000"/>
                <w:sz w:val="24"/>
                <w:szCs w:val="24"/>
              </w:rPr>
              <w:t>及人员姓名</w:t>
            </w:r>
          </w:p>
        </w:tc>
        <w:tc>
          <w:tcPr>
            <w:tcW w:w="6379" w:type="dxa"/>
            <w:tcBorders>
              <w:top w:val="single" w:color="auto" w:sz="4" w:space="0"/>
              <w:left w:val="single" w:color="auto" w:sz="4" w:space="0"/>
              <w:bottom w:val="single" w:color="auto" w:sz="4" w:space="0"/>
              <w:right w:val="single" w:color="auto" w:sz="4" w:space="0"/>
            </w:tcBorders>
            <w:shd w:val="clear" w:color="auto" w:fill="auto"/>
            <w:vAlign w:val="center"/>
          </w:tcPr>
          <w:p w14:paraId="07F177C4">
            <w:pPr>
              <w:spacing w:line="360" w:lineRule="auto"/>
              <w:rPr>
                <w:rFonts w:hint="eastAsia" w:eastAsia="宋体"/>
                <w:bCs/>
                <w:iCs/>
                <w:color w:val="000000"/>
                <w:sz w:val="24"/>
                <w:szCs w:val="24"/>
                <w:lang w:val="en-US" w:eastAsia="zh-CN"/>
              </w:rPr>
            </w:pPr>
            <w:r>
              <w:rPr>
                <w:rFonts w:hint="eastAsia"/>
                <w:bCs/>
                <w:iCs/>
                <w:color w:val="000000"/>
                <w:sz w:val="24"/>
                <w:szCs w:val="24"/>
              </w:rPr>
              <w:t>福建省德丰汇资产管理有限公司</w:t>
            </w:r>
            <w:r>
              <w:rPr>
                <w:rFonts w:hint="eastAsia"/>
                <w:bCs/>
                <w:iCs/>
                <w:color w:val="000000"/>
                <w:sz w:val="24"/>
                <w:szCs w:val="24"/>
                <w:lang w:val="en-US" w:eastAsia="zh-CN"/>
              </w:rPr>
              <w:t xml:space="preserve"> 林永棠</w:t>
            </w:r>
          </w:p>
        </w:tc>
      </w:tr>
      <w:tr w14:paraId="390F9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14:paraId="04A94593">
            <w:pPr>
              <w:spacing w:line="360" w:lineRule="auto"/>
              <w:jc w:val="center"/>
              <w:rPr>
                <w:bCs/>
                <w:iCs/>
                <w:color w:val="000000"/>
                <w:sz w:val="24"/>
                <w:szCs w:val="24"/>
              </w:rPr>
            </w:pPr>
            <w:r>
              <w:rPr>
                <w:bCs/>
                <w:iCs/>
                <w:color w:val="000000"/>
                <w:sz w:val="24"/>
                <w:szCs w:val="24"/>
              </w:rPr>
              <w:t>时间</w:t>
            </w:r>
          </w:p>
        </w:tc>
        <w:tc>
          <w:tcPr>
            <w:tcW w:w="6379" w:type="dxa"/>
            <w:tcBorders>
              <w:top w:val="single" w:color="auto" w:sz="4" w:space="0"/>
              <w:left w:val="single" w:color="auto" w:sz="4" w:space="0"/>
              <w:bottom w:val="single" w:color="auto" w:sz="4" w:space="0"/>
              <w:right w:val="single" w:color="auto" w:sz="4" w:space="0"/>
            </w:tcBorders>
            <w:shd w:val="clear" w:color="auto" w:fill="auto"/>
            <w:vAlign w:val="center"/>
          </w:tcPr>
          <w:p w14:paraId="6CDEC3EF">
            <w:pPr>
              <w:spacing w:line="360" w:lineRule="auto"/>
              <w:rPr>
                <w:bCs/>
                <w:iCs/>
                <w:color w:val="000000"/>
                <w:sz w:val="24"/>
                <w:szCs w:val="24"/>
              </w:rPr>
            </w:pPr>
            <w:r>
              <w:rPr>
                <w:bCs/>
                <w:iCs/>
                <w:color w:val="000000"/>
                <w:sz w:val="24"/>
                <w:szCs w:val="24"/>
              </w:rPr>
              <w:t>202</w:t>
            </w:r>
            <w:r>
              <w:rPr>
                <w:rFonts w:hint="eastAsia"/>
                <w:bCs/>
                <w:iCs/>
                <w:color w:val="000000"/>
                <w:sz w:val="24"/>
                <w:szCs w:val="24"/>
              </w:rPr>
              <w:t>5</w:t>
            </w:r>
            <w:r>
              <w:rPr>
                <w:bCs/>
                <w:iCs/>
                <w:color w:val="000000"/>
                <w:sz w:val="24"/>
                <w:szCs w:val="24"/>
              </w:rPr>
              <w:t>年</w:t>
            </w:r>
            <w:r>
              <w:rPr>
                <w:rFonts w:hint="eastAsia"/>
                <w:bCs/>
                <w:iCs/>
                <w:color w:val="000000"/>
                <w:sz w:val="24"/>
                <w:szCs w:val="24"/>
                <w:lang w:val="en-US" w:eastAsia="zh-CN"/>
              </w:rPr>
              <w:t>11</w:t>
            </w:r>
            <w:r>
              <w:rPr>
                <w:bCs/>
                <w:iCs/>
                <w:color w:val="000000"/>
                <w:sz w:val="24"/>
                <w:szCs w:val="24"/>
              </w:rPr>
              <w:t>月</w:t>
            </w:r>
            <w:r>
              <w:rPr>
                <w:rFonts w:hint="eastAsia"/>
                <w:bCs/>
                <w:iCs/>
                <w:color w:val="000000"/>
                <w:sz w:val="24"/>
                <w:szCs w:val="24"/>
                <w:lang w:val="en-US" w:eastAsia="zh-CN"/>
              </w:rPr>
              <w:t>3</w:t>
            </w:r>
            <w:r>
              <w:rPr>
                <w:bCs/>
                <w:iCs/>
                <w:color w:val="000000"/>
                <w:sz w:val="24"/>
                <w:szCs w:val="24"/>
              </w:rPr>
              <w:t>日</w:t>
            </w:r>
            <w:r>
              <w:rPr>
                <w:bCs/>
                <w:iCs/>
                <w:sz w:val="24"/>
                <w:szCs w:val="24"/>
              </w:rPr>
              <w:t>1</w:t>
            </w:r>
            <w:r>
              <w:rPr>
                <w:rFonts w:hint="eastAsia"/>
                <w:bCs/>
                <w:iCs/>
                <w:sz w:val="24"/>
                <w:szCs w:val="24"/>
                <w:lang w:val="en-US" w:eastAsia="zh-CN"/>
              </w:rPr>
              <w:t>5</w:t>
            </w:r>
            <w:r>
              <w:rPr>
                <w:bCs/>
                <w:iCs/>
                <w:sz w:val="24"/>
                <w:szCs w:val="24"/>
              </w:rPr>
              <w:t>:</w:t>
            </w:r>
            <w:r>
              <w:rPr>
                <w:rFonts w:hint="eastAsia"/>
                <w:bCs/>
                <w:iCs/>
                <w:sz w:val="24"/>
                <w:szCs w:val="24"/>
              </w:rPr>
              <w:t>30</w:t>
            </w:r>
            <w:r>
              <w:rPr>
                <w:bCs/>
                <w:iCs/>
                <w:sz w:val="24"/>
                <w:szCs w:val="24"/>
              </w:rPr>
              <w:t>-1</w:t>
            </w:r>
            <w:r>
              <w:rPr>
                <w:rFonts w:hint="eastAsia"/>
                <w:bCs/>
                <w:iCs/>
                <w:sz w:val="24"/>
                <w:szCs w:val="24"/>
                <w:lang w:val="en-US" w:eastAsia="zh-CN"/>
              </w:rPr>
              <w:t>7</w:t>
            </w:r>
            <w:r>
              <w:rPr>
                <w:rFonts w:hint="eastAsia"/>
                <w:bCs/>
                <w:iCs/>
                <w:sz w:val="24"/>
                <w:szCs w:val="24"/>
              </w:rPr>
              <w:t>:</w:t>
            </w:r>
            <w:r>
              <w:rPr>
                <w:rFonts w:hint="eastAsia"/>
                <w:bCs/>
                <w:iCs/>
                <w:sz w:val="24"/>
                <w:szCs w:val="24"/>
                <w:lang w:val="en-US" w:eastAsia="zh-CN"/>
              </w:rPr>
              <w:t>0</w:t>
            </w:r>
            <w:r>
              <w:rPr>
                <w:rFonts w:hint="eastAsia"/>
                <w:bCs/>
                <w:iCs/>
                <w:sz w:val="24"/>
                <w:szCs w:val="24"/>
              </w:rPr>
              <w:t>0</w:t>
            </w:r>
          </w:p>
        </w:tc>
      </w:tr>
      <w:tr w14:paraId="6C471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14:paraId="25FEE520">
            <w:pPr>
              <w:spacing w:line="360" w:lineRule="auto"/>
              <w:jc w:val="center"/>
              <w:rPr>
                <w:bCs/>
                <w:iCs/>
                <w:color w:val="000000"/>
                <w:sz w:val="24"/>
                <w:szCs w:val="24"/>
              </w:rPr>
            </w:pPr>
            <w:r>
              <w:rPr>
                <w:bCs/>
                <w:iCs/>
                <w:color w:val="000000"/>
                <w:sz w:val="24"/>
                <w:szCs w:val="24"/>
              </w:rPr>
              <w:t>地点</w:t>
            </w:r>
          </w:p>
        </w:tc>
        <w:tc>
          <w:tcPr>
            <w:tcW w:w="6379" w:type="dxa"/>
            <w:tcBorders>
              <w:top w:val="single" w:color="auto" w:sz="4" w:space="0"/>
              <w:left w:val="single" w:color="auto" w:sz="4" w:space="0"/>
              <w:bottom w:val="single" w:color="auto" w:sz="4" w:space="0"/>
              <w:right w:val="single" w:color="auto" w:sz="4" w:space="0"/>
            </w:tcBorders>
            <w:shd w:val="clear" w:color="auto" w:fill="auto"/>
            <w:vAlign w:val="center"/>
          </w:tcPr>
          <w:p w14:paraId="3EA8C980">
            <w:pPr>
              <w:spacing w:line="360" w:lineRule="auto"/>
              <w:rPr>
                <w:bCs/>
                <w:iCs/>
                <w:color w:val="000000"/>
                <w:sz w:val="24"/>
                <w:szCs w:val="24"/>
              </w:rPr>
            </w:pPr>
            <w:r>
              <w:rPr>
                <w:rFonts w:hint="eastAsia"/>
                <w:bCs/>
                <w:iCs/>
                <w:color w:val="000000"/>
                <w:sz w:val="24"/>
                <w:szCs w:val="24"/>
              </w:rPr>
              <w:t>龙岩高岭土股份有限公司</w:t>
            </w:r>
          </w:p>
        </w:tc>
      </w:tr>
      <w:tr w14:paraId="6E23B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14:paraId="6154C128">
            <w:pPr>
              <w:spacing w:line="360" w:lineRule="auto"/>
              <w:jc w:val="center"/>
              <w:rPr>
                <w:bCs/>
                <w:iCs/>
                <w:color w:val="000000"/>
                <w:sz w:val="24"/>
                <w:szCs w:val="24"/>
              </w:rPr>
            </w:pPr>
            <w:r>
              <w:rPr>
                <w:bCs/>
                <w:iCs/>
                <w:color w:val="000000"/>
                <w:sz w:val="24"/>
                <w:szCs w:val="24"/>
              </w:rPr>
              <w:t>上市公司接待</w:t>
            </w:r>
          </w:p>
          <w:p w14:paraId="7EEE3C38">
            <w:pPr>
              <w:spacing w:line="360" w:lineRule="auto"/>
              <w:jc w:val="center"/>
              <w:rPr>
                <w:bCs/>
                <w:iCs/>
                <w:color w:val="000000"/>
                <w:sz w:val="24"/>
                <w:szCs w:val="24"/>
              </w:rPr>
            </w:pPr>
            <w:r>
              <w:rPr>
                <w:bCs/>
                <w:iCs/>
                <w:color w:val="000000"/>
                <w:sz w:val="24"/>
                <w:szCs w:val="24"/>
              </w:rPr>
              <w:t>人员姓名</w:t>
            </w:r>
          </w:p>
        </w:tc>
        <w:tc>
          <w:tcPr>
            <w:tcW w:w="6379" w:type="dxa"/>
            <w:tcBorders>
              <w:top w:val="single" w:color="auto" w:sz="4" w:space="0"/>
              <w:left w:val="single" w:color="auto" w:sz="4" w:space="0"/>
              <w:bottom w:val="single" w:color="auto" w:sz="4" w:space="0"/>
              <w:right w:val="single" w:color="auto" w:sz="4" w:space="0"/>
            </w:tcBorders>
            <w:shd w:val="clear" w:color="auto" w:fill="auto"/>
            <w:vAlign w:val="center"/>
          </w:tcPr>
          <w:p w14:paraId="148930D9">
            <w:pPr>
              <w:spacing w:line="360" w:lineRule="auto"/>
              <w:rPr>
                <w:rFonts w:hint="default" w:eastAsia="宋体"/>
                <w:bCs/>
                <w:iCs/>
                <w:color w:val="000000"/>
                <w:sz w:val="24"/>
                <w:szCs w:val="24"/>
                <w:lang w:val="en-US" w:eastAsia="zh-CN"/>
              </w:rPr>
            </w:pPr>
            <w:r>
              <w:rPr>
                <w:rFonts w:hint="eastAsia"/>
                <w:bCs/>
                <w:iCs/>
                <w:color w:val="000000"/>
                <w:sz w:val="24"/>
                <w:szCs w:val="24"/>
                <w:lang w:val="en-US" w:eastAsia="zh-CN"/>
              </w:rPr>
              <w:t>公司董事长袁俊、董秘熊斌、证券事务代表黄伟斌</w:t>
            </w:r>
          </w:p>
        </w:tc>
      </w:tr>
      <w:tr w14:paraId="41EED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2" w:hRule="atLeast"/>
        </w:trPr>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14:paraId="79A4392F">
            <w:pPr>
              <w:spacing w:line="360" w:lineRule="auto"/>
              <w:jc w:val="center"/>
              <w:rPr>
                <w:bCs/>
                <w:iCs/>
                <w:color w:val="000000"/>
                <w:sz w:val="24"/>
                <w:szCs w:val="24"/>
              </w:rPr>
            </w:pPr>
            <w:r>
              <w:rPr>
                <w:bCs/>
                <w:iCs/>
                <w:color w:val="000000"/>
                <w:sz w:val="24"/>
                <w:szCs w:val="24"/>
              </w:rPr>
              <w:t>投资者关系活动主要内容介绍</w:t>
            </w:r>
          </w:p>
        </w:tc>
        <w:tc>
          <w:tcPr>
            <w:tcW w:w="6379" w:type="dxa"/>
            <w:tcBorders>
              <w:top w:val="single" w:color="auto" w:sz="4" w:space="0"/>
              <w:left w:val="single" w:color="auto" w:sz="4" w:space="0"/>
              <w:bottom w:val="single" w:color="auto" w:sz="4" w:space="0"/>
              <w:right w:val="single" w:color="auto" w:sz="4" w:space="0"/>
            </w:tcBorders>
            <w:shd w:val="clear" w:color="auto" w:fill="auto"/>
            <w:vAlign w:val="center"/>
          </w:tcPr>
          <w:p w14:paraId="4E7CDB6F">
            <w:pPr>
              <w:widowControl/>
              <w:spacing w:line="360" w:lineRule="auto"/>
              <w:ind w:firstLine="482" w:firstLineChars="200"/>
              <w:rPr>
                <w:b/>
                <w:bCs/>
                <w:sz w:val="24"/>
              </w:rPr>
            </w:pPr>
            <w:r>
              <w:rPr>
                <w:rFonts w:hint="eastAsia"/>
                <w:b/>
                <w:bCs/>
                <w:sz w:val="24"/>
              </w:rPr>
              <w:t>交流情况：</w:t>
            </w:r>
          </w:p>
          <w:p w14:paraId="29DA7240">
            <w:pPr>
              <w:spacing w:line="460" w:lineRule="exact"/>
              <w:ind w:firstLine="482" w:firstLineChars="200"/>
              <w:textAlignment w:val="center"/>
              <w:rPr>
                <w:b/>
                <w:bCs/>
                <w:color w:val="000000"/>
                <w:sz w:val="24"/>
                <w:szCs w:val="24"/>
              </w:rPr>
            </w:pPr>
            <w:r>
              <w:rPr>
                <w:rFonts w:hint="eastAsia"/>
                <w:b/>
                <w:bCs/>
                <w:color w:val="000000"/>
                <w:sz w:val="24"/>
                <w:szCs w:val="24"/>
              </w:rPr>
              <w:t>1</w:t>
            </w:r>
            <w:r>
              <w:rPr>
                <w:b/>
                <w:bCs/>
                <w:color w:val="000000"/>
                <w:sz w:val="24"/>
                <w:szCs w:val="24"/>
              </w:rPr>
              <w:t>、</w:t>
            </w:r>
            <w:r>
              <w:rPr>
                <w:rFonts w:hint="eastAsia"/>
                <w:b/>
                <w:bCs/>
                <w:color w:val="000000"/>
                <w:sz w:val="24"/>
                <w:szCs w:val="24"/>
              </w:rPr>
              <w:t>请介绍</w:t>
            </w:r>
            <w:r>
              <w:rPr>
                <w:b/>
                <w:bCs/>
                <w:color w:val="000000"/>
                <w:sz w:val="24"/>
                <w:szCs w:val="24"/>
              </w:rPr>
              <w:t>公司</w:t>
            </w:r>
            <w:r>
              <w:rPr>
                <w:rFonts w:hint="eastAsia"/>
                <w:b/>
                <w:bCs/>
                <w:color w:val="000000"/>
                <w:sz w:val="24"/>
                <w:szCs w:val="24"/>
              </w:rPr>
              <w:t>的主要产品</w:t>
            </w:r>
          </w:p>
          <w:p w14:paraId="60B04A7F">
            <w:pPr>
              <w:spacing w:line="460" w:lineRule="exact"/>
              <w:ind w:firstLine="480" w:firstLineChars="200"/>
              <w:textAlignment w:val="center"/>
              <w:rPr>
                <w:color w:val="000000"/>
                <w:sz w:val="24"/>
                <w:szCs w:val="24"/>
              </w:rPr>
            </w:pPr>
            <w:r>
              <w:rPr>
                <w:rFonts w:hint="eastAsia"/>
                <w:color w:val="000000"/>
                <w:sz w:val="24"/>
                <w:szCs w:val="24"/>
              </w:rPr>
              <w:t>回复：公司产品主要分为高岭土原矿、325目高岭土精矿、超级龙岩高岭土、改性高岭土、综合利用产品五大类，其中，高岭土原矿是从矿山直接产出的产品，高岭土精矿是从采场开采出的高岭土原矿经过制浆、分选、除铁、磨矿、压滤脱水等一系列选矿工艺后，将高岭土原矿加工成品质更好、纯度更高、更具有附加值的一种产品。</w:t>
            </w:r>
          </w:p>
          <w:p w14:paraId="3E170141">
            <w:pPr>
              <w:spacing w:line="460" w:lineRule="exact"/>
              <w:ind w:firstLine="480" w:firstLineChars="200"/>
              <w:textAlignment w:val="center"/>
              <w:rPr>
                <w:color w:val="000000"/>
                <w:sz w:val="24"/>
                <w:szCs w:val="24"/>
              </w:rPr>
            </w:pPr>
            <w:r>
              <w:rPr>
                <w:rFonts w:hint="eastAsia"/>
                <w:color w:val="000000"/>
                <w:sz w:val="24"/>
                <w:szCs w:val="24"/>
              </w:rPr>
              <w:t>公司开发了高岭土尾矿综合利用技术和东宫下瓷石/高硅石的开发利用技术，综合利用高岭土的尾矿及瓷石/高硅石，利用破碎机将块状瓷石/高硅石经过粗碎和细碎两道工序破碎后，经筛分后得到小颗粒产品包装为成品，较粗颗粒的瓷石/高硅石返回细碎工序，再经破碎成为小颗粒产品，以提高产品的附加值，推动产品结构优化升级。</w:t>
            </w:r>
          </w:p>
          <w:p w14:paraId="5E08B11F">
            <w:pPr>
              <w:widowControl/>
              <w:spacing w:line="460" w:lineRule="exact"/>
              <w:ind w:firstLine="482" w:firstLineChars="200"/>
              <w:textAlignment w:val="center"/>
              <w:rPr>
                <w:b/>
                <w:bCs/>
                <w:color w:val="000000"/>
                <w:sz w:val="24"/>
                <w:szCs w:val="24"/>
              </w:rPr>
            </w:pPr>
            <w:r>
              <w:rPr>
                <w:rFonts w:hint="eastAsia"/>
                <w:b/>
                <w:bCs/>
                <w:color w:val="000000"/>
                <w:sz w:val="24"/>
                <w:szCs w:val="24"/>
                <w:lang w:val="en-US" w:eastAsia="zh-CN"/>
              </w:rPr>
              <w:t>2</w:t>
            </w:r>
            <w:r>
              <w:rPr>
                <w:rFonts w:hint="eastAsia"/>
                <w:b/>
                <w:bCs/>
                <w:color w:val="000000"/>
                <w:sz w:val="24"/>
                <w:szCs w:val="24"/>
              </w:rPr>
              <w:t>、请问公司资源优势体现在哪些方面？</w:t>
            </w:r>
          </w:p>
          <w:p w14:paraId="36040D96">
            <w:pPr>
              <w:widowControl/>
              <w:spacing w:line="460" w:lineRule="exact"/>
              <w:ind w:firstLine="480" w:firstLineChars="200"/>
              <w:textAlignment w:val="center"/>
              <w:rPr>
                <w:color w:val="000000"/>
                <w:sz w:val="24"/>
                <w:szCs w:val="24"/>
              </w:rPr>
            </w:pPr>
            <w:r>
              <w:rPr>
                <w:rFonts w:hint="eastAsia"/>
                <w:color w:val="000000"/>
                <w:sz w:val="24"/>
                <w:szCs w:val="24"/>
              </w:rPr>
              <w:t>回复：我国高岭土储量丰富，但优质矿偏少，公司下属的龙岩东宫下矿区已探明原矿总储量4,976.03万吨，</w:t>
            </w:r>
            <w:r>
              <w:rPr>
                <w:sz w:val="24"/>
              </w:rPr>
              <w:t>截至2024年12月31日，东宫下高岭土矿保有资源储量3,028.04万吨</w:t>
            </w:r>
            <w:r>
              <w:rPr>
                <w:rFonts w:hint="eastAsia"/>
                <w:color w:val="000000"/>
                <w:sz w:val="24"/>
                <w:szCs w:val="24"/>
              </w:rPr>
              <w:t>，为国内特大型优质高岭土矿床，适宜露天开采。</w:t>
            </w:r>
          </w:p>
          <w:p w14:paraId="66146565">
            <w:pPr>
              <w:widowControl/>
              <w:spacing w:line="460" w:lineRule="exact"/>
              <w:ind w:firstLine="480" w:firstLineChars="200"/>
              <w:textAlignment w:val="center"/>
              <w:rPr>
                <w:color w:val="000000"/>
                <w:sz w:val="24"/>
                <w:szCs w:val="24"/>
              </w:rPr>
            </w:pPr>
            <w:r>
              <w:rPr>
                <w:rFonts w:hint="eastAsia"/>
                <w:color w:val="000000"/>
                <w:sz w:val="24"/>
                <w:szCs w:val="24"/>
              </w:rPr>
              <w:t>我国高岭土主要可分成煤系高岭土和非煤系高岭土，公司高岭土属于非煤系高岭土，公司高岭土产品具有自然白度高、杂质含量低、烧成白度和强度高、成瓷性能好等优点，是中、高档日用陶瓷、工艺美术瓷和高档建筑陶瓷的优质原材料。</w:t>
            </w:r>
          </w:p>
          <w:p w14:paraId="33772D97">
            <w:pPr>
              <w:spacing w:line="460" w:lineRule="exact"/>
              <w:ind w:firstLine="482" w:firstLineChars="200"/>
              <w:textAlignment w:val="center"/>
              <w:rPr>
                <w:b/>
                <w:bCs/>
                <w:color w:val="000000"/>
                <w:sz w:val="24"/>
                <w:szCs w:val="24"/>
              </w:rPr>
            </w:pPr>
            <w:r>
              <w:rPr>
                <w:rFonts w:hint="eastAsia"/>
                <w:b/>
                <w:bCs/>
                <w:color w:val="000000"/>
                <w:sz w:val="24"/>
                <w:szCs w:val="24"/>
                <w:lang w:val="en-US" w:eastAsia="zh-CN"/>
              </w:rPr>
              <w:t>3</w:t>
            </w:r>
            <w:r>
              <w:rPr>
                <w:rFonts w:hint="eastAsia"/>
                <w:b/>
                <w:bCs/>
                <w:color w:val="000000"/>
                <w:sz w:val="24"/>
                <w:szCs w:val="24"/>
              </w:rPr>
              <w:t>、公司主要客户是哪些群体？分布在哪些省市？</w:t>
            </w:r>
          </w:p>
          <w:p w14:paraId="38A10C9A">
            <w:pPr>
              <w:widowControl/>
              <w:spacing w:line="460" w:lineRule="exact"/>
              <w:ind w:firstLine="480" w:firstLineChars="200"/>
              <w:textAlignment w:val="center"/>
              <w:rPr>
                <w:color w:val="000000"/>
                <w:sz w:val="24"/>
                <w:szCs w:val="24"/>
              </w:rPr>
            </w:pPr>
            <w:r>
              <w:rPr>
                <w:rFonts w:hint="eastAsia"/>
                <w:color w:val="000000"/>
                <w:sz w:val="24"/>
                <w:szCs w:val="24"/>
              </w:rPr>
              <w:t>回复：公司客户包含中、高档日用陶瓷、工艺美术瓷和高档建筑陶瓷等产业客户，工艺美术瓷与日用陶瓷对陶瓷产品品质要求高，主要采购精矿产品和原矿产品；建筑陶瓷与卫生洁具产量大，质量要求较低，主要采购综合利用产品。</w:t>
            </w:r>
          </w:p>
          <w:p w14:paraId="3351B405">
            <w:pPr>
              <w:widowControl/>
              <w:spacing w:line="460" w:lineRule="exact"/>
              <w:ind w:firstLine="480" w:firstLineChars="200"/>
              <w:textAlignment w:val="center"/>
              <w:rPr>
                <w:rFonts w:hint="eastAsia"/>
                <w:color w:val="000000"/>
                <w:sz w:val="24"/>
                <w:szCs w:val="24"/>
              </w:rPr>
            </w:pPr>
            <w:r>
              <w:rPr>
                <w:rFonts w:hint="eastAsia"/>
                <w:color w:val="000000"/>
                <w:sz w:val="24"/>
                <w:szCs w:val="24"/>
              </w:rPr>
              <w:t>公司产品主要客户群体分布在福建省、广东省、山东省等国内重要陶瓷产区。</w:t>
            </w:r>
          </w:p>
          <w:p w14:paraId="6B457D17">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ajorEastAsia"/>
                <w:b/>
                <w:bCs/>
                <w:sz w:val="24"/>
                <w:szCs w:val="24"/>
                <w:lang w:val="en-US" w:eastAsia="zh-CN"/>
              </w:rPr>
            </w:pPr>
            <w:r>
              <w:rPr>
                <w:rFonts w:hint="eastAsia" w:cs="Times New Roman" w:eastAsiaTheme="majorEastAsia"/>
                <w:b/>
                <w:bCs/>
                <w:sz w:val="24"/>
                <w:szCs w:val="24"/>
                <w:lang w:val="en-US" w:eastAsia="zh-CN"/>
              </w:rPr>
              <w:t>4、</w:t>
            </w:r>
            <w:r>
              <w:rPr>
                <w:rFonts w:hint="default" w:ascii="Times New Roman" w:hAnsi="Times New Roman" w:cs="Times New Roman" w:eastAsiaTheme="majorEastAsia"/>
                <w:b/>
                <w:bCs/>
                <w:sz w:val="24"/>
                <w:szCs w:val="24"/>
                <w:lang w:val="en-US" w:eastAsia="zh-CN"/>
              </w:rPr>
              <w:t>公司第三季度</w:t>
            </w:r>
            <w:r>
              <w:rPr>
                <w:rFonts w:hint="eastAsia" w:cs="Times New Roman" w:eastAsiaTheme="majorEastAsia"/>
                <w:b/>
                <w:bCs/>
                <w:sz w:val="24"/>
                <w:szCs w:val="24"/>
                <w:lang w:val="en-US" w:eastAsia="zh-CN"/>
              </w:rPr>
              <w:t>业绩</w:t>
            </w:r>
            <w:r>
              <w:rPr>
                <w:rFonts w:hint="default" w:ascii="Times New Roman" w:hAnsi="Times New Roman" w:cs="Times New Roman" w:eastAsiaTheme="majorEastAsia"/>
                <w:b/>
                <w:bCs/>
                <w:sz w:val="24"/>
                <w:szCs w:val="24"/>
                <w:lang w:val="en-US" w:eastAsia="zh-CN"/>
              </w:rPr>
              <w:t>有所下降，请问主要</w:t>
            </w:r>
            <w:r>
              <w:rPr>
                <w:rFonts w:hint="eastAsia" w:cs="Times New Roman" w:eastAsiaTheme="majorEastAsia"/>
                <w:b/>
                <w:bCs/>
                <w:sz w:val="24"/>
                <w:szCs w:val="24"/>
                <w:lang w:val="en-US" w:eastAsia="zh-CN"/>
              </w:rPr>
              <w:t>原因是</w:t>
            </w:r>
            <w:r>
              <w:rPr>
                <w:rFonts w:hint="default" w:ascii="Times New Roman" w:hAnsi="Times New Roman" w:cs="Times New Roman" w:eastAsiaTheme="majorEastAsia"/>
                <w:b/>
                <w:bCs/>
                <w:sz w:val="24"/>
                <w:szCs w:val="24"/>
                <w:lang w:val="en-US" w:eastAsia="zh-CN"/>
              </w:rPr>
              <w:t>？</w:t>
            </w:r>
          </w:p>
          <w:p w14:paraId="5DF4D999">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color w:val="000000"/>
                <w:sz w:val="24"/>
                <w:szCs w:val="24"/>
              </w:rPr>
            </w:pPr>
            <w:r>
              <w:rPr>
                <w:rFonts w:hint="default" w:ascii="Times New Roman" w:hAnsi="Times New Roman" w:cs="Times New Roman" w:eastAsiaTheme="majorEastAsia"/>
                <w:b w:val="0"/>
                <w:bCs w:val="0"/>
                <w:sz w:val="24"/>
                <w:szCs w:val="24"/>
                <w:lang w:val="en-US" w:eastAsia="zh-CN"/>
              </w:rPr>
              <w:t>回复：</w:t>
            </w:r>
            <w:r>
              <w:rPr>
                <w:rFonts w:hint="eastAsia" w:cs="Times New Roman" w:eastAsiaTheme="majorEastAsia"/>
                <w:b w:val="0"/>
                <w:bCs w:val="0"/>
                <w:sz w:val="24"/>
                <w:szCs w:val="24"/>
                <w:lang w:val="en-US" w:eastAsia="zh-CN"/>
              </w:rPr>
              <w:t>主要</w:t>
            </w:r>
            <w:r>
              <w:rPr>
                <w:rFonts w:hint="default" w:ascii="Times New Roman" w:hAnsi="Times New Roman" w:cs="Times New Roman" w:eastAsiaTheme="majorEastAsia"/>
                <w:b w:val="0"/>
                <w:bCs w:val="0"/>
                <w:sz w:val="24"/>
                <w:szCs w:val="24"/>
                <w:lang w:val="en-US" w:eastAsia="zh-CN"/>
              </w:rPr>
              <w:t>受国际市场经济下行、国际贸易形势严峻、国内陶瓷行业竞争加剧以及国内陶瓷市场整体下行的影响，陶瓷行业订单大幅减少，日用陶瓷行业产品原材料采购结构出现阶段性下行变化，导致公司第三季度产品销售量下滑，营业收入和净利润下降。公司目前已采取更加积极的销售策略、推行降本增效、加快推进投资并购项目等多种措施，尽量降低下游市场对公司经营的影响。</w:t>
            </w:r>
          </w:p>
          <w:p w14:paraId="177507AE">
            <w:pPr>
              <w:adjustRightInd w:val="0"/>
              <w:snapToGrid w:val="0"/>
              <w:spacing w:line="460" w:lineRule="exact"/>
              <w:ind w:firstLine="482" w:firstLineChars="200"/>
              <w:textAlignment w:val="center"/>
              <w:rPr>
                <w:b/>
                <w:bCs/>
                <w:color w:val="000000"/>
                <w:sz w:val="24"/>
                <w:szCs w:val="24"/>
              </w:rPr>
            </w:pPr>
            <w:r>
              <w:rPr>
                <w:rFonts w:hint="eastAsia"/>
                <w:b/>
                <w:bCs/>
                <w:color w:val="000000"/>
                <w:sz w:val="24"/>
                <w:szCs w:val="24"/>
                <w:lang w:val="en-US" w:eastAsia="zh-CN"/>
              </w:rPr>
              <w:t>5</w:t>
            </w:r>
            <w:r>
              <w:rPr>
                <w:rFonts w:hint="eastAsia"/>
                <w:b/>
                <w:bCs/>
                <w:color w:val="000000"/>
                <w:sz w:val="24"/>
                <w:szCs w:val="24"/>
              </w:rPr>
              <w:t>、公司的发展战略是什么方向？</w:t>
            </w:r>
          </w:p>
          <w:p w14:paraId="48116C3D">
            <w:pPr>
              <w:spacing w:line="460" w:lineRule="exact"/>
              <w:ind w:firstLine="480" w:firstLineChars="200"/>
              <w:textAlignment w:val="center"/>
              <w:rPr>
                <w:color w:val="000000"/>
                <w:sz w:val="24"/>
                <w:szCs w:val="24"/>
              </w:rPr>
            </w:pPr>
            <w:r>
              <w:rPr>
                <w:rFonts w:hint="eastAsia"/>
                <w:color w:val="000000"/>
                <w:sz w:val="24"/>
                <w:szCs w:val="24"/>
              </w:rPr>
              <w:t>回复：</w:t>
            </w:r>
            <w:r>
              <w:rPr>
                <w:rFonts w:ascii="宋体" w:hAnsi="宋体" w:cs="宋体"/>
                <w:sz w:val="24"/>
                <w:szCs w:val="24"/>
              </w:rPr>
              <w:t>公司以打造全国高岭土行业领军企业和非金属矿行业龙头企业为战略目标，积极谋划企业长远发展，坚持“深度开发，综合利用，做大产业群，延伸非金属矿产业链”的发展方向，制定了“产业延伸走下去，资源布局走出去”并举、“实业经营+资本运营”并重的发展策略</w:t>
            </w:r>
            <w:r>
              <w:rPr>
                <w:rFonts w:hint="eastAsia"/>
                <w:color w:val="000000"/>
                <w:sz w:val="24"/>
                <w:szCs w:val="24"/>
              </w:rPr>
              <w:t>。</w:t>
            </w:r>
          </w:p>
          <w:p w14:paraId="634E66F9">
            <w:pPr>
              <w:widowControl/>
              <w:spacing w:line="360" w:lineRule="auto"/>
              <w:ind w:firstLine="480" w:firstLineChars="200"/>
              <w:rPr>
                <w:rFonts w:hint="eastAsia"/>
                <w:color w:val="000000"/>
                <w:sz w:val="24"/>
                <w:szCs w:val="24"/>
              </w:rPr>
            </w:pPr>
            <w:r>
              <w:rPr>
                <w:rFonts w:hint="eastAsia"/>
                <w:color w:val="000000"/>
                <w:sz w:val="24"/>
                <w:szCs w:val="24"/>
              </w:rPr>
              <w:t>未来几年，公司将继续秉持上述发展策略，借力资本市场，力争在对现有东宫下矿山资源“吃干榨净”，强化高岭土产品在行业内的领先优势地位，提高营收和净利水平的同时，积极寻找符合上市公司发展战略的优质投资项目，争取实现重大项目、重大资源投资并购新突破。一方面，公司将进一步增加包括但不限于高岭土、石灰石、萤石矿等非金属矿产资源储备。另一方面，公司将围绕非金属矿产业链延伸至</w:t>
            </w:r>
            <w:r>
              <w:rPr>
                <w:rFonts w:hint="eastAsia"/>
                <w:color w:val="000000"/>
                <w:sz w:val="24"/>
                <w:szCs w:val="24"/>
                <w:lang w:val="en-US" w:eastAsia="zh-CN"/>
              </w:rPr>
              <w:t>应用</w:t>
            </w:r>
            <w:r>
              <w:rPr>
                <w:rFonts w:hint="eastAsia"/>
                <w:color w:val="000000"/>
                <w:sz w:val="24"/>
                <w:szCs w:val="24"/>
              </w:rPr>
              <w:t>领域相关深加工产业，通过自主研发筹建、联合研发、合作经营、组建并购基金或产业引导基金参投、直接股权投资等方式并购非金属矿产业链上下游优质企业，重点关注高端陶瓷加工、石英石（硅）材料的深加工（高纯石英砂/板材方向）、膨润土材料的深加工、氟化工制造等新材料方向的多元化业务，努力拓展科技属性高及成长性稳定的新主业。</w:t>
            </w:r>
          </w:p>
          <w:p w14:paraId="738626A9">
            <w:pPr>
              <w:widowControl/>
              <w:spacing w:line="360" w:lineRule="auto"/>
              <w:ind w:firstLine="480" w:firstLineChars="200"/>
              <w:rPr>
                <w:sz w:val="24"/>
              </w:rPr>
            </w:pPr>
          </w:p>
          <w:p w14:paraId="171CF94D">
            <w:pPr>
              <w:widowControl/>
              <w:spacing w:line="360" w:lineRule="auto"/>
              <w:ind w:firstLine="480" w:firstLineChars="200"/>
              <w:rPr>
                <w:sz w:val="24"/>
              </w:rPr>
            </w:pPr>
          </w:p>
          <w:p w14:paraId="4A226A1A">
            <w:pPr>
              <w:widowControl/>
              <w:spacing w:line="360" w:lineRule="auto"/>
              <w:ind w:firstLine="480" w:firstLineChars="200"/>
              <w:rPr>
                <w:sz w:val="24"/>
              </w:rPr>
            </w:pPr>
          </w:p>
          <w:p w14:paraId="3E11DB5E">
            <w:pPr>
              <w:widowControl/>
              <w:spacing w:line="360" w:lineRule="auto"/>
              <w:ind w:firstLine="480" w:firstLineChars="200"/>
              <w:rPr>
                <w:sz w:val="24"/>
              </w:rPr>
            </w:pPr>
          </w:p>
          <w:p w14:paraId="7F41D9AC">
            <w:pPr>
              <w:widowControl/>
              <w:spacing w:line="360" w:lineRule="auto"/>
              <w:rPr>
                <w:sz w:val="24"/>
              </w:rPr>
            </w:pPr>
          </w:p>
          <w:p w14:paraId="5827D042">
            <w:pPr>
              <w:widowControl/>
              <w:spacing w:line="360" w:lineRule="auto"/>
              <w:rPr>
                <w:sz w:val="24"/>
              </w:rPr>
            </w:pPr>
          </w:p>
          <w:p w14:paraId="700E7B78">
            <w:pPr>
              <w:widowControl/>
              <w:spacing w:line="360" w:lineRule="auto"/>
              <w:rPr>
                <w:sz w:val="24"/>
              </w:rPr>
            </w:pPr>
          </w:p>
          <w:p w14:paraId="63DBF849">
            <w:pPr>
              <w:widowControl/>
              <w:spacing w:line="360" w:lineRule="auto"/>
              <w:rPr>
                <w:sz w:val="24"/>
              </w:rPr>
            </w:pPr>
            <w:bookmarkStart w:id="0" w:name="_GoBack"/>
            <w:bookmarkEnd w:id="0"/>
          </w:p>
          <w:p w14:paraId="27980B8D">
            <w:pPr>
              <w:widowControl/>
              <w:spacing w:line="360" w:lineRule="auto"/>
              <w:ind w:firstLine="480" w:firstLineChars="200"/>
              <w:rPr>
                <w:sz w:val="24"/>
              </w:rPr>
            </w:pPr>
          </w:p>
          <w:p w14:paraId="35315DF9">
            <w:pPr>
              <w:widowControl/>
              <w:spacing w:line="360" w:lineRule="auto"/>
              <w:rPr>
                <w:sz w:val="24"/>
              </w:rPr>
            </w:pPr>
          </w:p>
        </w:tc>
      </w:tr>
    </w:tbl>
    <w:p w14:paraId="76CB2574">
      <w:pPr>
        <w:rPr>
          <w:rFonts w:ascii="仿宋" w:hAnsi="仿宋" w:eastAsia="仿宋"/>
          <w:sz w:val="28"/>
          <w:szCs w:val="28"/>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75851402"/>
    </w:sdtPr>
    <w:sdtContent>
      <w:p w14:paraId="6BC8FDB0">
        <w:pPr>
          <w:pStyle w:val="4"/>
          <w:jc w:val="center"/>
        </w:pPr>
        <w:r>
          <w:fldChar w:fldCharType="begin"/>
        </w:r>
        <w:r>
          <w:instrText xml:space="preserve">PAGE   \* MERGEFORMAT</w:instrText>
        </w:r>
        <w:r>
          <w:fldChar w:fldCharType="separate"/>
        </w:r>
        <w:r>
          <w:rPr>
            <w:lang w:val="zh-CN"/>
          </w:rPr>
          <w:t>3</w:t>
        </w:r>
        <w:r>
          <w:fldChar w:fldCharType="end"/>
        </w:r>
      </w:p>
    </w:sdtContent>
  </w:sdt>
  <w:p w14:paraId="18B93EBA">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EC7"/>
    <w:rsid w:val="00000760"/>
    <w:rsid w:val="00017330"/>
    <w:rsid w:val="00020FEE"/>
    <w:rsid w:val="00021249"/>
    <w:rsid w:val="000217CC"/>
    <w:rsid w:val="0002650B"/>
    <w:rsid w:val="00031BA3"/>
    <w:rsid w:val="000342E6"/>
    <w:rsid w:val="00036C31"/>
    <w:rsid w:val="00040B0B"/>
    <w:rsid w:val="00047460"/>
    <w:rsid w:val="000534FF"/>
    <w:rsid w:val="0005646B"/>
    <w:rsid w:val="0005684D"/>
    <w:rsid w:val="000570DC"/>
    <w:rsid w:val="00067C77"/>
    <w:rsid w:val="00071393"/>
    <w:rsid w:val="000850E0"/>
    <w:rsid w:val="00090D31"/>
    <w:rsid w:val="0009135D"/>
    <w:rsid w:val="00096403"/>
    <w:rsid w:val="000B1696"/>
    <w:rsid w:val="000B616A"/>
    <w:rsid w:val="000B6D71"/>
    <w:rsid w:val="000C0420"/>
    <w:rsid w:val="000C19BA"/>
    <w:rsid w:val="000C4C0C"/>
    <w:rsid w:val="000C52C5"/>
    <w:rsid w:val="000D4F18"/>
    <w:rsid w:val="000D6EEC"/>
    <w:rsid w:val="000E016E"/>
    <w:rsid w:val="000E03EE"/>
    <w:rsid w:val="000E1BDC"/>
    <w:rsid w:val="000E41FD"/>
    <w:rsid w:val="000E46D1"/>
    <w:rsid w:val="000F0620"/>
    <w:rsid w:val="000F2663"/>
    <w:rsid w:val="000F3C01"/>
    <w:rsid w:val="00101B6B"/>
    <w:rsid w:val="00101E58"/>
    <w:rsid w:val="001038FD"/>
    <w:rsid w:val="001049D8"/>
    <w:rsid w:val="00106D64"/>
    <w:rsid w:val="001224BC"/>
    <w:rsid w:val="00130FB3"/>
    <w:rsid w:val="00133DB5"/>
    <w:rsid w:val="00151D20"/>
    <w:rsid w:val="00157EA2"/>
    <w:rsid w:val="0016222E"/>
    <w:rsid w:val="001641E0"/>
    <w:rsid w:val="00172591"/>
    <w:rsid w:val="001877B1"/>
    <w:rsid w:val="001C19F3"/>
    <w:rsid w:val="001D0D0B"/>
    <w:rsid w:val="001E3FA8"/>
    <w:rsid w:val="001E4AF9"/>
    <w:rsid w:val="001F4C14"/>
    <w:rsid w:val="0020392E"/>
    <w:rsid w:val="00204EEF"/>
    <w:rsid w:val="00215B8A"/>
    <w:rsid w:val="002339BD"/>
    <w:rsid w:val="002350AC"/>
    <w:rsid w:val="00236C10"/>
    <w:rsid w:val="00253294"/>
    <w:rsid w:val="0026345A"/>
    <w:rsid w:val="00264E51"/>
    <w:rsid w:val="00267812"/>
    <w:rsid w:val="0029551D"/>
    <w:rsid w:val="00296064"/>
    <w:rsid w:val="00297CCB"/>
    <w:rsid w:val="002A6FA0"/>
    <w:rsid w:val="002B4E1F"/>
    <w:rsid w:val="002C1BE8"/>
    <w:rsid w:val="002C296A"/>
    <w:rsid w:val="002C5F88"/>
    <w:rsid w:val="002D0E08"/>
    <w:rsid w:val="002D4FC2"/>
    <w:rsid w:val="002F2C8D"/>
    <w:rsid w:val="002F2D8C"/>
    <w:rsid w:val="002F4F0B"/>
    <w:rsid w:val="0030167B"/>
    <w:rsid w:val="00310141"/>
    <w:rsid w:val="003129D3"/>
    <w:rsid w:val="00320369"/>
    <w:rsid w:val="00322DBA"/>
    <w:rsid w:val="00340453"/>
    <w:rsid w:val="003426EA"/>
    <w:rsid w:val="0034598B"/>
    <w:rsid w:val="003464F5"/>
    <w:rsid w:val="00347C77"/>
    <w:rsid w:val="00352BCB"/>
    <w:rsid w:val="00357937"/>
    <w:rsid w:val="00362520"/>
    <w:rsid w:val="00376505"/>
    <w:rsid w:val="00376B2F"/>
    <w:rsid w:val="00381E11"/>
    <w:rsid w:val="00385F13"/>
    <w:rsid w:val="00392FE0"/>
    <w:rsid w:val="003A53BB"/>
    <w:rsid w:val="003B0604"/>
    <w:rsid w:val="003B11B2"/>
    <w:rsid w:val="003B11C4"/>
    <w:rsid w:val="003B5EA6"/>
    <w:rsid w:val="003B6D9E"/>
    <w:rsid w:val="003B6F32"/>
    <w:rsid w:val="003C3E62"/>
    <w:rsid w:val="003C5681"/>
    <w:rsid w:val="003D0493"/>
    <w:rsid w:val="003D3AF0"/>
    <w:rsid w:val="003D6140"/>
    <w:rsid w:val="003D715F"/>
    <w:rsid w:val="003F0D3D"/>
    <w:rsid w:val="003F1393"/>
    <w:rsid w:val="003F5E71"/>
    <w:rsid w:val="003F7368"/>
    <w:rsid w:val="003F7511"/>
    <w:rsid w:val="0040048E"/>
    <w:rsid w:val="004026EF"/>
    <w:rsid w:val="00404B8E"/>
    <w:rsid w:val="00404D87"/>
    <w:rsid w:val="00406DCD"/>
    <w:rsid w:val="004146FA"/>
    <w:rsid w:val="0042526C"/>
    <w:rsid w:val="0042585F"/>
    <w:rsid w:val="00427880"/>
    <w:rsid w:val="0043137E"/>
    <w:rsid w:val="00431EDB"/>
    <w:rsid w:val="00436CAC"/>
    <w:rsid w:val="00436D53"/>
    <w:rsid w:val="00450949"/>
    <w:rsid w:val="00451231"/>
    <w:rsid w:val="00455715"/>
    <w:rsid w:val="004641D2"/>
    <w:rsid w:val="00465195"/>
    <w:rsid w:val="0046708E"/>
    <w:rsid w:val="00474BFE"/>
    <w:rsid w:val="004758C4"/>
    <w:rsid w:val="00476BD9"/>
    <w:rsid w:val="004820FB"/>
    <w:rsid w:val="004845FF"/>
    <w:rsid w:val="004951B3"/>
    <w:rsid w:val="004952AC"/>
    <w:rsid w:val="00496355"/>
    <w:rsid w:val="004B1627"/>
    <w:rsid w:val="004B1C85"/>
    <w:rsid w:val="004B3739"/>
    <w:rsid w:val="004C12E4"/>
    <w:rsid w:val="004C666E"/>
    <w:rsid w:val="004D5D8B"/>
    <w:rsid w:val="004F0042"/>
    <w:rsid w:val="004F7080"/>
    <w:rsid w:val="005006EF"/>
    <w:rsid w:val="0050072E"/>
    <w:rsid w:val="0050512C"/>
    <w:rsid w:val="0050536A"/>
    <w:rsid w:val="005107BE"/>
    <w:rsid w:val="005307C1"/>
    <w:rsid w:val="00532060"/>
    <w:rsid w:val="00534EC7"/>
    <w:rsid w:val="00556A58"/>
    <w:rsid w:val="00563A78"/>
    <w:rsid w:val="005652E9"/>
    <w:rsid w:val="005675B4"/>
    <w:rsid w:val="00570820"/>
    <w:rsid w:val="00585797"/>
    <w:rsid w:val="00590E90"/>
    <w:rsid w:val="00591585"/>
    <w:rsid w:val="00593BFF"/>
    <w:rsid w:val="00594F2B"/>
    <w:rsid w:val="00595098"/>
    <w:rsid w:val="005B5E8B"/>
    <w:rsid w:val="005B60A9"/>
    <w:rsid w:val="005B71F1"/>
    <w:rsid w:val="005C3518"/>
    <w:rsid w:val="005C7B9D"/>
    <w:rsid w:val="005D5F2D"/>
    <w:rsid w:val="005D6FA2"/>
    <w:rsid w:val="005E4E09"/>
    <w:rsid w:val="005F15A9"/>
    <w:rsid w:val="005F229B"/>
    <w:rsid w:val="0060389B"/>
    <w:rsid w:val="00612FEE"/>
    <w:rsid w:val="00614381"/>
    <w:rsid w:val="00626F4A"/>
    <w:rsid w:val="006317A3"/>
    <w:rsid w:val="00640553"/>
    <w:rsid w:val="00643070"/>
    <w:rsid w:val="0064406A"/>
    <w:rsid w:val="006444E7"/>
    <w:rsid w:val="00651303"/>
    <w:rsid w:val="006529B5"/>
    <w:rsid w:val="00653185"/>
    <w:rsid w:val="00655CFE"/>
    <w:rsid w:val="00664B9B"/>
    <w:rsid w:val="006701A6"/>
    <w:rsid w:val="00672FE9"/>
    <w:rsid w:val="00681B40"/>
    <w:rsid w:val="0068649B"/>
    <w:rsid w:val="00695107"/>
    <w:rsid w:val="00696AAE"/>
    <w:rsid w:val="00697323"/>
    <w:rsid w:val="0069776F"/>
    <w:rsid w:val="00697FFD"/>
    <w:rsid w:val="006B4337"/>
    <w:rsid w:val="006B78C9"/>
    <w:rsid w:val="006B7EA5"/>
    <w:rsid w:val="006C7D25"/>
    <w:rsid w:val="006D3B78"/>
    <w:rsid w:val="006D5C12"/>
    <w:rsid w:val="006E09CB"/>
    <w:rsid w:val="006E359C"/>
    <w:rsid w:val="006F6D59"/>
    <w:rsid w:val="00700F95"/>
    <w:rsid w:val="00701E0D"/>
    <w:rsid w:val="00714657"/>
    <w:rsid w:val="00717CD8"/>
    <w:rsid w:val="007229E7"/>
    <w:rsid w:val="007259C2"/>
    <w:rsid w:val="00734314"/>
    <w:rsid w:val="00736E19"/>
    <w:rsid w:val="0074205A"/>
    <w:rsid w:val="007423AC"/>
    <w:rsid w:val="007459B0"/>
    <w:rsid w:val="00745D47"/>
    <w:rsid w:val="00751CCA"/>
    <w:rsid w:val="00756FD4"/>
    <w:rsid w:val="00760F70"/>
    <w:rsid w:val="00760F78"/>
    <w:rsid w:val="00764C7B"/>
    <w:rsid w:val="00772232"/>
    <w:rsid w:val="007767AC"/>
    <w:rsid w:val="00782B9A"/>
    <w:rsid w:val="007870FF"/>
    <w:rsid w:val="00794F7B"/>
    <w:rsid w:val="007954EA"/>
    <w:rsid w:val="007A438D"/>
    <w:rsid w:val="007A51E5"/>
    <w:rsid w:val="007A56FB"/>
    <w:rsid w:val="007B1D0B"/>
    <w:rsid w:val="007B444F"/>
    <w:rsid w:val="007C4E45"/>
    <w:rsid w:val="007D134E"/>
    <w:rsid w:val="007D2DDF"/>
    <w:rsid w:val="007D7159"/>
    <w:rsid w:val="007E6063"/>
    <w:rsid w:val="007E7E36"/>
    <w:rsid w:val="00801341"/>
    <w:rsid w:val="00803137"/>
    <w:rsid w:val="008101D5"/>
    <w:rsid w:val="008144B3"/>
    <w:rsid w:val="00814D71"/>
    <w:rsid w:val="00814EE5"/>
    <w:rsid w:val="008322D0"/>
    <w:rsid w:val="00832EA1"/>
    <w:rsid w:val="00834BC5"/>
    <w:rsid w:val="00837906"/>
    <w:rsid w:val="008445DE"/>
    <w:rsid w:val="00855980"/>
    <w:rsid w:val="00856D91"/>
    <w:rsid w:val="00857664"/>
    <w:rsid w:val="008729B5"/>
    <w:rsid w:val="0087479E"/>
    <w:rsid w:val="00877228"/>
    <w:rsid w:val="008840A3"/>
    <w:rsid w:val="00884AD7"/>
    <w:rsid w:val="00886A5F"/>
    <w:rsid w:val="00886B43"/>
    <w:rsid w:val="00893217"/>
    <w:rsid w:val="008963C2"/>
    <w:rsid w:val="00897A6D"/>
    <w:rsid w:val="008A0338"/>
    <w:rsid w:val="008A635E"/>
    <w:rsid w:val="008A6560"/>
    <w:rsid w:val="008B10A2"/>
    <w:rsid w:val="008B5311"/>
    <w:rsid w:val="008C2201"/>
    <w:rsid w:val="008C2CD5"/>
    <w:rsid w:val="008D0241"/>
    <w:rsid w:val="008D2AF4"/>
    <w:rsid w:val="008D61B4"/>
    <w:rsid w:val="008E25B5"/>
    <w:rsid w:val="008F2FA9"/>
    <w:rsid w:val="008F5B4F"/>
    <w:rsid w:val="008F5B7A"/>
    <w:rsid w:val="00901730"/>
    <w:rsid w:val="00910595"/>
    <w:rsid w:val="009211B2"/>
    <w:rsid w:val="0092649C"/>
    <w:rsid w:val="00934F6B"/>
    <w:rsid w:val="009446A2"/>
    <w:rsid w:val="00961296"/>
    <w:rsid w:val="00967C4A"/>
    <w:rsid w:val="009721D7"/>
    <w:rsid w:val="009748A9"/>
    <w:rsid w:val="00975E41"/>
    <w:rsid w:val="00982812"/>
    <w:rsid w:val="00986B61"/>
    <w:rsid w:val="009875A5"/>
    <w:rsid w:val="009A1142"/>
    <w:rsid w:val="009A46B3"/>
    <w:rsid w:val="009A7A77"/>
    <w:rsid w:val="009B0CE4"/>
    <w:rsid w:val="009B2449"/>
    <w:rsid w:val="009B3750"/>
    <w:rsid w:val="009B5F9C"/>
    <w:rsid w:val="009C0979"/>
    <w:rsid w:val="009C76A0"/>
    <w:rsid w:val="009C7949"/>
    <w:rsid w:val="009D090F"/>
    <w:rsid w:val="009D4ABA"/>
    <w:rsid w:val="009D50AC"/>
    <w:rsid w:val="009D7FF0"/>
    <w:rsid w:val="009F3620"/>
    <w:rsid w:val="009F442A"/>
    <w:rsid w:val="00A02E45"/>
    <w:rsid w:val="00A10272"/>
    <w:rsid w:val="00A10B2E"/>
    <w:rsid w:val="00A20B7D"/>
    <w:rsid w:val="00A32446"/>
    <w:rsid w:val="00A3486A"/>
    <w:rsid w:val="00A40573"/>
    <w:rsid w:val="00A462D8"/>
    <w:rsid w:val="00A5453E"/>
    <w:rsid w:val="00A71A0C"/>
    <w:rsid w:val="00A80829"/>
    <w:rsid w:val="00A92284"/>
    <w:rsid w:val="00AB489B"/>
    <w:rsid w:val="00AB49E7"/>
    <w:rsid w:val="00AB4F12"/>
    <w:rsid w:val="00AB70B2"/>
    <w:rsid w:val="00AC1EFF"/>
    <w:rsid w:val="00AC5C1A"/>
    <w:rsid w:val="00AC6D19"/>
    <w:rsid w:val="00AD1147"/>
    <w:rsid w:val="00AD47A5"/>
    <w:rsid w:val="00AF4B2E"/>
    <w:rsid w:val="00AF6CF6"/>
    <w:rsid w:val="00AF7AEF"/>
    <w:rsid w:val="00B04AC2"/>
    <w:rsid w:val="00B167A3"/>
    <w:rsid w:val="00B23C25"/>
    <w:rsid w:val="00B273EB"/>
    <w:rsid w:val="00B27F9A"/>
    <w:rsid w:val="00B618D8"/>
    <w:rsid w:val="00B6326B"/>
    <w:rsid w:val="00B63438"/>
    <w:rsid w:val="00B66AE9"/>
    <w:rsid w:val="00B740F3"/>
    <w:rsid w:val="00B756AB"/>
    <w:rsid w:val="00B76EE9"/>
    <w:rsid w:val="00B7749C"/>
    <w:rsid w:val="00B80FCD"/>
    <w:rsid w:val="00B81737"/>
    <w:rsid w:val="00B9363C"/>
    <w:rsid w:val="00BB0971"/>
    <w:rsid w:val="00BB28BF"/>
    <w:rsid w:val="00BC2613"/>
    <w:rsid w:val="00BC276E"/>
    <w:rsid w:val="00BC46B8"/>
    <w:rsid w:val="00BD0D22"/>
    <w:rsid w:val="00BD429E"/>
    <w:rsid w:val="00BD5C43"/>
    <w:rsid w:val="00BE4DEC"/>
    <w:rsid w:val="00BE5C1B"/>
    <w:rsid w:val="00BE79CF"/>
    <w:rsid w:val="00BF25FB"/>
    <w:rsid w:val="00C0464A"/>
    <w:rsid w:val="00C312C2"/>
    <w:rsid w:val="00C369ED"/>
    <w:rsid w:val="00C44FE4"/>
    <w:rsid w:val="00C52216"/>
    <w:rsid w:val="00C536CA"/>
    <w:rsid w:val="00C5504D"/>
    <w:rsid w:val="00C57BD2"/>
    <w:rsid w:val="00C608F8"/>
    <w:rsid w:val="00C6201B"/>
    <w:rsid w:val="00C72FDC"/>
    <w:rsid w:val="00C826B3"/>
    <w:rsid w:val="00C84FE7"/>
    <w:rsid w:val="00C925D1"/>
    <w:rsid w:val="00C958AE"/>
    <w:rsid w:val="00CA2592"/>
    <w:rsid w:val="00CA4537"/>
    <w:rsid w:val="00CA7701"/>
    <w:rsid w:val="00CB0A79"/>
    <w:rsid w:val="00CB38AE"/>
    <w:rsid w:val="00CB54C8"/>
    <w:rsid w:val="00CB7E82"/>
    <w:rsid w:val="00CC15A6"/>
    <w:rsid w:val="00CC1F6B"/>
    <w:rsid w:val="00CD0875"/>
    <w:rsid w:val="00CD7725"/>
    <w:rsid w:val="00CE547C"/>
    <w:rsid w:val="00CE6C8E"/>
    <w:rsid w:val="00CF24AA"/>
    <w:rsid w:val="00D045BD"/>
    <w:rsid w:val="00D06009"/>
    <w:rsid w:val="00D104FA"/>
    <w:rsid w:val="00D15ABE"/>
    <w:rsid w:val="00D308CB"/>
    <w:rsid w:val="00D33C3B"/>
    <w:rsid w:val="00D342D7"/>
    <w:rsid w:val="00D42D1A"/>
    <w:rsid w:val="00D55C69"/>
    <w:rsid w:val="00D5720F"/>
    <w:rsid w:val="00D666E2"/>
    <w:rsid w:val="00D84A00"/>
    <w:rsid w:val="00D95328"/>
    <w:rsid w:val="00D95DD7"/>
    <w:rsid w:val="00DA3C38"/>
    <w:rsid w:val="00DC01D3"/>
    <w:rsid w:val="00DC0D0B"/>
    <w:rsid w:val="00DC16DA"/>
    <w:rsid w:val="00DC3FD9"/>
    <w:rsid w:val="00DC4EF4"/>
    <w:rsid w:val="00DC5F9E"/>
    <w:rsid w:val="00DD5EED"/>
    <w:rsid w:val="00DD5F05"/>
    <w:rsid w:val="00DE1C1C"/>
    <w:rsid w:val="00DE3C2E"/>
    <w:rsid w:val="00DE5254"/>
    <w:rsid w:val="00DF669F"/>
    <w:rsid w:val="00E008AE"/>
    <w:rsid w:val="00E00D04"/>
    <w:rsid w:val="00E16149"/>
    <w:rsid w:val="00E248ED"/>
    <w:rsid w:val="00E4008F"/>
    <w:rsid w:val="00E42879"/>
    <w:rsid w:val="00E50B1C"/>
    <w:rsid w:val="00E515B4"/>
    <w:rsid w:val="00E51622"/>
    <w:rsid w:val="00E6640E"/>
    <w:rsid w:val="00E67637"/>
    <w:rsid w:val="00E67E6E"/>
    <w:rsid w:val="00E72347"/>
    <w:rsid w:val="00E73609"/>
    <w:rsid w:val="00E80253"/>
    <w:rsid w:val="00E86811"/>
    <w:rsid w:val="00E920B5"/>
    <w:rsid w:val="00E93B15"/>
    <w:rsid w:val="00EA47AD"/>
    <w:rsid w:val="00EB0F3A"/>
    <w:rsid w:val="00EB2B16"/>
    <w:rsid w:val="00EB5CDF"/>
    <w:rsid w:val="00EB6DC9"/>
    <w:rsid w:val="00EC3950"/>
    <w:rsid w:val="00EE681B"/>
    <w:rsid w:val="00EF49F9"/>
    <w:rsid w:val="00EF62A3"/>
    <w:rsid w:val="00EF7485"/>
    <w:rsid w:val="00F0499A"/>
    <w:rsid w:val="00F17B51"/>
    <w:rsid w:val="00F207DB"/>
    <w:rsid w:val="00F225F9"/>
    <w:rsid w:val="00F22C14"/>
    <w:rsid w:val="00F257CF"/>
    <w:rsid w:val="00F4097F"/>
    <w:rsid w:val="00F40C20"/>
    <w:rsid w:val="00F42A7B"/>
    <w:rsid w:val="00F51431"/>
    <w:rsid w:val="00F57F21"/>
    <w:rsid w:val="00F60335"/>
    <w:rsid w:val="00F61C39"/>
    <w:rsid w:val="00F63D93"/>
    <w:rsid w:val="00F706BB"/>
    <w:rsid w:val="00F70E42"/>
    <w:rsid w:val="00F71CF3"/>
    <w:rsid w:val="00F7681B"/>
    <w:rsid w:val="00F85252"/>
    <w:rsid w:val="00F85C28"/>
    <w:rsid w:val="00F93A6F"/>
    <w:rsid w:val="00F970A4"/>
    <w:rsid w:val="00F97CC5"/>
    <w:rsid w:val="00FA063F"/>
    <w:rsid w:val="00FB0856"/>
    <w:rsid w:val="00FB4B4C"/>
    <w:rsid w:val="00FB50E6"/>
    <w:rsid w:val="00FD3711"/>
    <w:rsid w:val="00FE0070"/>
    <w:rsid w:val="00FE28FB"/>
    <w:rsid w:val="00FE66FE"/>
    <w:rsid w:val="00FF078A"/>
    <w:rsid w:val="00FF3743"/>
    <w:rsid w:val="00FF525C"/>
    <w:rsid w:val="13B00EEA"/>
    <w:rsid w:val="1B20479F"/>
    <w:rsid w:val="1EE935FD"/>
    <w:rsid w:val="20852E30"/>
    <w:rsid w:val="4E5F5456"/>
    <w:rsid w:val="4F381B84"/>
    <w:rsid w:val="56B643B6"/>
    <w:rsid w:val="63901B74"/>
    <w:rsid w:val="77F42EED"/>
    <w:rsid w:val="7CF83C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semiHidden/>
    <w:unhideWhenUsed/>
    <w:qFormat/>
    <w:uiPriority w:val="99"/>
    <w:pPr>
      <w:jc w:val="left"/>
    </w:pPr>
    <w:rPr>
      <w:szCs w:val="24"/>
    </w:rPr>
  </w:style>
  <w:style w:type="paragraph" w:styleId="3">
    <w:name w:val="Balloon Text"/>
    <w:basedOn w:val="1"/>
    <w:link w:val="16"/>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spacing w:beforeAutospacing="1" w:afterAutospacing="1"/>
      <w:jc w:val="left"/>
    </w:pPr>
    <w:rPr>
      <w:kern w:val="0"/>
      <w:sz w:val="24"/>
    </w:rPr>
  </w:style>
  <w:style w:type="paragraph" w:styleId="7">
    <w:name w:val="annotation subject"/>
    <w:basedOn w:val="2"/>
    <w:next w:val="2"/>
    <w:link w:val="17"/>
    <w:semiHidden/>
    <w:unhideWhenUsed/>
    <w:qFormat/>
    <w:uiPriority w:val="99"/>
    <w:rPr>
      <w:b/>
      <w:bCs/>
      <w:szCs w:val="20"/>
    </w:rPr>
  </w:style>
  <w:style w:type="character" w:styleId="10">
    <w:name w:val="Strong"/>
    <w:basedOn w:val="9"/>
    <w:qFormat/>
    <w:uiPriority w:val="22"/>
    <w:rPr>
      <w:b/>
    </w:rPr>
  </w:style>
  <w:style w:type="character" w:styleId="11">
    <w:name w:val="Hyperlink"/>
    <w:basedOn w:val="9"/>
    <w:unhideWhenUsed/>
    <w:qFormat/>
    <w:uiPriority w:val="99"/>
    <w:rPr>
      <w:color w:val="0000FF" w:themeColor="hyperlink"/>
      <w:u w:val="single"/>
      <w14:textFill>
        <w14:solidFill>
          <w14:schemeClr w14:val="hlink"/>
        </w14:solidFill>
      </w14:textFill>
    </w:rPr>
  </w:style>
  <w:style w:type="character" w:styleId="12">
    <w:name w:val="annotation reference"/>
    <w:basedOn w:val="9"/>
    <w:semiHidden/>
    <w:unhideWhenUsed/>
    <w:qFormat/>
    <w:uiPriority w:val="99"/>
    <w:rPr>
      <w:sz w:val="21"/>
      <w:szCs w:val="21"/>
    </w:rPr>
  </w:style>
  <w:style w:type="character" w:customStyle="1" w:styleId="13">
    <w:name w:val="页眉 字符"/>
    <w:basedOn w:val="9"/>
    <w:link w:val="5"/>
    <w:qFormat/>
    <w:uiPriority w:val="99"/>
    <w:rPr>
      <w:sz w:val="18"/>
      <w:szCs w:val="18"/>
    </w:rPr>
  </w:style>
  <w:style w:type="character" w:customStyle="1" w:styleId="14">
    <w:name w:val="页脚 字符"/>
    <w:basedOn w:val="9"/>
    <w:link w:val="4"/>
    <w:qFormat/>
    <w:uiPriority w:val="99"/>
    <w:rPr>
      <w:sz w:val="18"/>
      <w:szCs w:val="18"/>
    </w:rPr>
  </w:style>
  <w:style w:type="character" w:customStyle="1" w:styleId="15">
    <w:name w:val="批注文字 字符"/>
    <w:basedOn w:val="9"/>
    <w:link w:val="2"/>
    <w:semiHidden/>
    <w:qFormat/>
    <w:uiPriority w:val="99"/>
    <w:rPr>
      <w:rFonts w:ascii="Times New Roman" w:hAnsi="Times New Roman" w:eastAsia="宋体" w:cs="Times New Roman"/>
      <w:szCs w:val="24"/>
    </w:rPr>
  </w:style>
  <w:style w:type="character" w:customStyle="1" w:styleId="16">
    <w:name w:val="批注框文本 字符"/>
    <w:basedOn w:val="9"/>
    <w:link w:val="3"/>
    <w:semiHidden/>
    <w:qFormat/>
    <w:uiPriority w:val="99"/>
    <w:rPr>
      <w:rFonts w:ascii="Times New Roman" w:hAnsi="Times New Roman" w:eastAsia="宋体" w:cs="Times New Roman"/>
      <w:sz w:val="18"/>
      <w:szCs w:val="18"/>
    </w:rPr>
  </w:style>
  <w:style w:type="character" w:customStyle="1" w:styleId="17">
    <w:name w:val="批注主题 字符"/>
    <w:basedOn w:val="15"/>
    <w:link w:val="7"/>
    <w:semiHidden/>
    <w:qFormat/>
    <w:uiPriority w:val="99"/>
    <w:rPr>
      <w:rFonts w:ascii="Times New Roman" w:hAnsi="Times New Roman" w:eastAsia="宋体" w:cs="Times New Roman"/>
      <w:b/>
      <w:bCs/>
      <w:szCs w:val="20"/>
    </w:rPr>
  </w:style>
  <w:style w:type="character" w:customStyle="1" w:styleId="18">
    <w:name w:val="ng-binding"/>
    <w:basedOn w:val="9"/>
    <w:qFormat/>
    <w:uiPriority w:val="0"/>
  </w:style>
  <w:style w:type="paragraph" w:styleId="19">
    <w:name w:val="List Paragraph"/>
    <w:basedOn w:val="1"/>
    <w:qFormat/>
    <w:uiPriority w:val="34"/>
    <w:pPr>
      <w:ind w:firstLine="420" w:firstLineChars="200"/>
    </w:pPr>
  </w:style>
  <w:style w:type="paragraph" w:customStyle="1" w:styleId="20">
    <w:name w:val="修订1"/>
    <w:hidden/>
    <w:semiHidden/>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文档" ma:contentTypeID="0x0101008A1CD0ACEFB685468ADC9D3ECFE50AA2" ma:contentTypeVersion="0" ma:contentTypeDescription="新建文档。" ma:contentTypeScope="" ma:versionID="def0500d8bfa075d08ce612c1990ead7">
  <xsd:schema xmlns:xsd="http://www.w3.org/2001/XMLSchema" xmlns:xs="http://www.w3.org/2001/XMLSchema" xmlns:p="http://schemas.microsoft.com/office/2006/metadata/properties" targetNamespace="http://schemas.microsoft.com/office/2006/metadata/properties" ma:root="true" ma:fieldsID="9adfd09ad98667f9c194c646e975416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2174B81-72C2-4AC1-A680-DCC53D19F431}">
  <ds:schemaRefs/>
</ds:datastoreItem>
</file>

<file path=customXml/itemProps2.xml><?xml version="1.0" encoding="utf-8"?>
<ds:datastoreItem xmlns:ds="http://schemas.openxmlformats.org/officeDocument/2006/customXml" ds:itemID="{4898DF68-7BEF-4E9F-A3FC-08FE69096638}">
  <ds:schemaRefs/>
</ds:datastoreItem>
</file>

<file path=customXml/itemProps3.xml><?xml version="1.0" encoding="utf-8"?>
<ds:datastoreItem xmlns:ds="http://schemas.openxmlformats.org/officeDocument/2006/customXml" ds:itemID="{F6BFC278-BEBC-42A5-B820-CCD868AC3039}">
  <ds:schemaRefs/>
</ds:datastoreItem>
</file>

<file path=customXml/itemProps4.xml><?xml version="1.0" encoding="utf-8"?>
<ds:datastoreItem xmlns:ds="http://schemas.openxmlformats.org/officeDocument/2006/customXml" ds:itemID="{ED4827DC-EA26-4EAA-8882-A01B9C6A816A}">
  <ds:schemaRefs/>
</ds:datastoreItem>
</file>

<file path=docProps/app.xml><?xml version="1.0" encoding="utf-8"?>
<Properties xmlns="http://schemas.openxmlformats.org/officeDocument/2006/extended-properties" xmlns:vt="http://schemas.openxmlformats.org/officeDocument/2006/docPropsVTypes">
  <Template>Normal</Template>
  <Pages>3</Pages>
  <Words>1541</Words>
  <Characters>1587</Characters>
  <Lines>13</Lines>
  <Paragraphs>3</Paragraphs>
  <TotalTime>8</TotalTime>
  <ScaleCrop>false</ScaleCrop>
  <LinksUpToDate>false</LinksUpToDate>
  <CharactersWithSpaces>1717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2021-06-01T10:38:00Z</dcterms:created>
  <dc:creator>Admin</dc:creator>
  <cp:lastModifiedBy>涂梦琦</cp:lastModifiedBy>
  <dcterms:modified xsi:type="dcterms:W3CDTF">2025-11-04T07:20:36Z</dcterms:modified>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0x0101008A1CD0ACEFB685468ADC9D3ECFE50AA2</vt:lpwstr>
  </property>
  <property fmtid="{D5CDD505-2E9C-101B-9397-08002B2CF9AE}" pid="3" name="KSOTemplateDocerSaveRecord">
    <vt:lpwstr>eyJoZGlkIjoiYzE1MWYwOWUzNzkzOWI5MDA1Mzg1ZjQ1OTZiMTY0NjAiLCJ1c2VySWQiOiIyMjEzMjQ3MDUifQ==</vt:lpwstr>
  </property>
  <property fmtid="{D5CDD505-2E9C-101B-9397-08002B2CF9AE}" pid="4" name="KSOProductBuildVer">
    <vt:lpwstr>2052-12.1.0.23125</vt:lpwstr>
  </property>
  <property fmtid="{D5CDD505-2E9C-101B-9397-08002B2CF9AE}" pid="5" name="ICV">
    <vt:lpwstr>F5A938D67F40491CB5721CEF11A03C7F_12</vt:lpwstr>
  </property>
</Properties>
</file>