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68C077">
      <w:pPr>
        <w:spacing w:before="156" w:beforeLines="50" w:after="156" w:afterLines="50" w:line="400" w:lineRule="exact"/>
        <w:jc w:val="center"/>
        <w:rPr>
          <w:rFonts w:ascii="宋体" w:hAnsi="宋体"/>
          <w:iCs/>
          <w:color w:val="000000"/>
          <w:sz w:val="24"/>
        </w:rPr>
      </w:pPr>
      <w:r>
        <w:rPr>
          <w:rFonts w:hint="eastAsia" w:ascii="宋体" w:hAnsi="宋体"/>
          <w:iCs/>
          <w:color w:val="000000"/>
          <w:sz w:val="24"/>
        </w:rPr>
        <w:t>证券代码：601058                                         证券简称：赛轮轮胎</w:t>
      </w:r>
    </w:p>
    <w:p w14:paraId="71D35E32">
      <w:pPr>
        <w:spacing w:before="156" w:beforeLines="50" w:after="156" w:afterLines="50" w:line="400" w:lineRule="exact"/>
        <w:jc w:val="center"/>
        <w:rPr>
          <w:rFonts w:ascii="宋体" w:hAnsi="宋体"/>
          <w:b/>
          <w:bCs/>
          <w:iCs/>
          <w:color w:val="000000"/>
          <w:sz w:val="32"/>
          <w:szCs w:val="32"/>
        </w:rPr>
      </w:pPr>
      <w:r>
        <w:rPr>
          <w:rFonts w:hint="eastAsia" w:ascii="宋体" w:hAnsi="宋体"/>
          <w:b/>
          <w:bCs/>
          <w:iCs/>
          <w:color w:val="000000"/>
          <w:sz w:val="32"/>
          <w:szCs w:val="32"/>
        </w:rPr>
        <w:t>赛轮集团</w:t>
      </w:r>
      <w:r>
        <w:rPr>
          <w:rFonts w:ascii="宋体" w:hAnsi="宋体"/>
          <w:b/>
          <w:bCs/>
          <w:iCs/>
          <w:color w:val="000000"/>
          <w:sz w:val="32"/>
          <w:szCs w:val="32"/>
        </w:rPr>
        <w:t>股份有限公司</w:t>
      </w:r>
    </w:p>
    <w:p w14:paraId="4BF0F88C">
      <w:pPr>
        <w:spacing w:before="156" w:beforeLines="50" w:after="156" w:afterLines="50" w:line="400" w:lineRule="exact"/>
        <w:jc w:val="center"/>
        <w:rPr>
          <w:rFonts w:ascii="宋体" w:hAnsi="宋体"/>
          <w:b/>
          <w:bCs/>
          <w:iCs/>
          <w:color w:val="000000"/>
          <w:sz w:val="32"/>
          <w:szCs w:val="32"/>
        </w:rPr>
      </w:pPr>
      <w:r>
        <w:rPr>
          <w:rFonts w:hint="eastAsia" w:ascii="宋体" w:hAnsi="宋体"/>
          <w:b/>
          <w:bCs/>
          <w:iCs/>
          <w:color w:val="000000"/>
          <w:sz w:val="32"/>
          <w:szCs w:val="32"/>
        </w:rPr>
        <w:t>投资者关系活动记录表</w:t>
      </w:r>
    </w:p>
    <w:tbl>
      <w:tblPr>
        <w:tblStyle w:val="8"/>
        <w:tblW w:w="90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8"/>
        <w:gridCol w:w="7159"/>
      </w:tblGrid>
      <w:tr w14:paraId="4222C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vAlign w:val="center"/>
          </w:tcPr>
          <w:p w14:paraId="33B7E4F2">
            <w:pPr>
              <w:rPr>
                <w:bCs/>
                <w:iCs/>
                <w:color w:val="000000"/>
                <w:sz w:val="24"/>
              </w:rPr>
            </w:pPr>
            <w:r>
              <w:rPr>
                <w:rFonts w:hint="eastAsia" w:ascii="宋体" w:hAnsi="宋体" w:cs="宋体"/>
                <w:sz w:val="24"/>
              </w:rPr>
              <w:t>投资者关系活动类别</w:t>
            </w:r>
          </w:p>
        </w:tc>
        <w:tc>
          <w:tcPr>
            <w:tcW w:w="7159" w:type="dxa"/>
            <w:tcBorders>
              <w:top w:val="single" w:color="auto" w:sz="4" w:space="0"/>
              <w:left w:val="single" w:color="auto" w:sz="4" w:space="0"/>
              <w:bottom w:val="single" w:color="auto" w:sz="4" w:space="0"/>
              <w:right w:val="single" w:color="auto" w:sz="4" w:space="0"/>
            </w:tcBorders>
          </w:tcPr>
          <w:p w14:paraId="4972C3FA">
            <w:pPr>
              <w:rPr>
                <w:rFonts w:ascii="宋体" w:hAnsi="宋体" w:cs="宋体"/>
                <w:sz w:val="24"/>
              </w:rPr>
            </w:pPr>
            <w:r>
              <w:rPr>
                <w:rFonts w:hint="eastAsia" w:ascii="宋体" w:hAnsi="宋体" w:cs="宋体"/>
                <w:sz w:val="24"/>
              </w:rPr>
              <w:sym w:font="Wingdings 2" w:char="00A3"/>
            </w:r>
            <w:r>
              <w:rPr>
                <w:rFonts w:hint="eastAsia" w:ascii="宋体" w:hAnsi="宋体" w:cs="宋体"/>
                <w:sz w:val="24"/>
              </w:rPr>
              <w:t xml:space="preserve"> 特定对象调研        </w:t>
            </w:r>
            <w:r>
              <w:rPr>
                <w:rFonts w:hint="eastAsia" w:ascii="宋体" w:hAnsi="宋体" w:cs="宋体"/>
                <w:sz w:val="24"/>
              </w:rPr>
              <w:sym w:font="Wingdings 2" w:char="00A3"/>
            </w:r>
            <w:r>
              <w:rPr>
                <w:rFonts w:hint="eastAsia" w:ascii="宋体" w:hAnsi="宋体" w:cs="宋体"/>
                <w:sz w:val="24"/>
              </w:rPr>
              <w:t xml:space="preserve"> 分析师会议</w:t>
            </w:r>
          </w:p>
          <w:p w14:paraId="1C9115D8">
            <w:pPr>
              <w:rPr>
                <w:rFonts w:ascii="宋体" w:hAnsi="宋体" w:cs="宋体"/>
                <w:sz w:val="24"/>
              </w:rPr>
            </w:pPr>
            <w:r>
              <w:rPr>
                <w:rFonts w:hint="eastAsia" w:ascii="宋体" w:hAnsi="宋体" w:cs="宋体"/>
                <w:sz w:val="24"/>
              </w:rPr>
              <w:sym w:font="Wingdings 2" w:char="00A3"/>
            </w:r>
            <w:r>
              <w:rPr>
                <w:rFonts w:hint="eastAsia" w:ascii="宋体" w:hAnsi="宋体" w:cs="宋体"/>
                <w:sz w:val="24"/>
              </w:rPr>
              <w:t xml:space="preserve"> 媒体采访            </w:t>
            </w:r>
            <w:r>
              <w:rPr>
                <w:rFonts w:hint="eastAsia" w:ascii="宋体" w:hAnsi="宋体" w:cs="宋体"/>
                <w:sz w:val="24"/>
              </w:rPr>
              <w:sym w:font="Wingdings 2" w:char="0052"/>
            </w:r>
            <w:r>
              <w:rPr>
                <w:rFonts w:hint="eastAsia" w:ascii="宋体" w:hAnsi="宋体" w:cs="宋体"/>
                <w:sz w:val="24"/>
              </w:rPr>
              <w:t xml:space="preserve"> 业绩说明会</w:t>
            </w:r>
          </w:p>
          <w:p w14:paraId="05594B12">
            <w:pPr>
              <w:rPr>
                <w:rFonts w:ascii="宋体" w:hAnsi="宋体" w:cs="宋体"/>
                <w:sz w:val="24"/>
              </w:rPr>
            </w:pPr>
            <w:r>
              <w:rPr>
                <w:rFonts w:hint="eastAsia" w:ascii="宋体" w:hAnsi="宋体" w:cs="宋体"/>
                <w:sz w:val="24"/>
              </w:rPr>
              <w:sym w:font="Wingdings 2" w:char="00A3"/>
            </w:r>
            <w:r>
              <w:rPr>
                <w:rFonts w:hint="eastAsia" w:ascii="宋体" w:hAnsi="宋体" w:cs="宋体"/>
                <w:sz w:val="24"/>
              </w:rPr>
              <w:t xml:space="preserve"> 新闻发布会          </w:t>
            </w:r>
            <w:r>
              <w:rPr>
                <w:rFonts w:hint="eastAsia" w:ascii="宋体" w:hAnsi="宋体" w:cs="宋体"/>
                <w:sz w:val="24"/>
              </w:rPr>
              <w:sym w:font="Wingdings 2" w:char="00A3"/>
            </w:r>
            <w:r>
              <w:rPr>
                <w:rFonts w:hint="eastAsia" w:ascii="宋体" w:hAnsi="宋体" w:cs="宋体"/>
                <w:sz w:val="24"/>
              </w:rPr>
              <w:t xml:space="preserve"> 路演活动</w:t>
            </w:r>
          </w:p>
          <w:p w14:paraId="0FCF9323">
            <w:pPr>
              <w:rPr>
                <w:rFonts w:ascii="宋体" w:hAnsi="宋体" w:cs="宋体"/>
                <w:sz w:val="24"/>
              </w:rPr>
            </w:pPr>
            <w:r>
              <w:rPr>
                <w:rFonts w:hint="eastAsia" w:ascii="宋体" w:hAnsi="宋体" w:cs="宋体"/>
                <w:sz w:val="24"/>
              </w:rPr>
              <w:sym w:font="Wingdings 2" w:char="00A3"/>
            </w:r>
            <w:r>
              <w:rPr>
                <w:rFonts w:hint="eastAsia" w:ascii="宋体" w:hAnsi="宋体" w:cs="宋体"/>
                <w:sz w:val="24"/>
              </w:rPr>
              <w:t xml:space="preserve"> 现场参观</w:t>
            </w:r>
            <w:r>
              <w:rPr>
                <w:rFonts w:hint="eastAsia" w:ascii="宋体" w:hAnsi="宋体" w:cs="宋体"/>
                <w:sz w:val="24"/>
              </w:rPr>
              <w:tab/>
            </w:r>
          </w:p>
          <w:p w14:paraId="0A88E875">
            <w:pPr>
              <w:rPr>
                <w:bCs/>
                <w:iCs/>
                <w:color w:val="000000"/>
                <w:sz w:val="24"/>
              </w:rPr>
            </w:pPr>
            <w:r>
              <w:rPr>
                <w:rFonts w:hint="eastAsia" w:ascii="宋体" w:hAnsi="宋体" w:cs="宋体"/>
                <w:sz w:val="24"/>
              </w:rPr>
              <w:sym w:font="Wingdings 2" w:char="00A3"/>
            </w:r>
            <w:r>
              <w:rPr>
                <w:rFonts w:hint="eastAsia" w:ascii="宋体" w:hAnsi="宋体" w:cs="宋体"/>
                <w:sz w:val="24"/>
              </w:rPr>
              <w:t xml:space="preserve"> 其他：</w:t>
            </w:r>
            <w:r>
              <w:rPr>
                <w:rFonts w:ascii="宋体" w:hAnsi="宋体" w:cs="宋体"/>
                <w:sz w:val="24"/>
                <w:u w:val="single"/>
              </w:rPr>
              <w:t xml:space="preserve"> </w:t>
            </w:r>
            <w:r>
              <w:rPr>
                <w:rFonts w:hint="eastAsia" w:ascii="宋体" w:hAnsi="宋体" w:cs="宋体"/>
                <w:sz w:val="24"/>
                <w:u w:val="single"/>
              </w:rPr>
              <w:t xml:space="preserve">     </w:t>
            </w:r>
          </w:p>
        </w:tc>
      </w:tr>
      <w:tr w14:paraId="6E76E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vAlign w:val="center"/>
          </w:tcPr>
          <w:p w14:paraId="140F328D">
            <w:pPr>
              <w:rPr>
                <w:bCs/>
                <w:iCs/>
                <w:color w:val="000000"/>
                <w:kern w:val="0"/>
                <w:sz w:val="24"/>
              </w:rPr>
            </w:pPr>
            <w:r>
              <w:rPr>
                <w:rFonts w:hint="eastAsia" w:ascii="宋体" w:hAnsi="宋体" w:cs="宋体"/>
                <w:sz w:val="24"/>
              </w:rPr>
              <w:t>参与单位名称</w:t>
            </w:r>
          </w:p>
        </w:tc>
        <w:tc>
          <w:tcPr>
            <w:tcW w:w="7159" w:type="dxa"/>
            <w:tcBorders>
              <w:top w:val="single" w:color="auto" w:sz="4" w:space="0"/>
              <w:left w:val="single" w:color="auto" w:sz="4" w:space="0"/>
              <w:bottom w:val="single" w:color="auto" w:sz="4" w:space="0"/>
              <w:right w:val="single" w:color="auto" w:sz="4" w:space="0"/>
            </w:tcBorders>
            <w:vAlign w:val="center"/>
          </w:tcPr>
          <w:p w14:paraId="1E118B44">
            <w:pPr>
              <w:rPr>
                <w:rFonts w:hint="default" w:eastAsia="宋体"/>
                <w:bCs/>
                <w:iCs/>
                <w:color w:val="000000"/>
                <w:sz w:val="24"/>
                <w:lang w:val="en-US" w:eastAsia="zh-CN"/>
              </w:rPr>
            </w:pPr>
            <w:r>
              <w:rPr>
                <w:rFonts w:hint="eastAsia"/>
                <w:bCs/>
                <w:iCs/>
                <w:color w:val="000000"/>
                <w:sz w:val="24"/>
                <w:lang w:val="en-US" w:eastAsia="zh-CN"/>
              </w:rPr>
              <w:t>投资者</w:t>
            </w:r>
          </w:p>
        </w:tc>
      </w:tr>
      <w:tr w14:paraId="68C8B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vAlign w:val="center"/>
          </w:tcPr>
          <w:p w14:paraId="6FED42DB">
            <w:pPr>
              <w:rPr>
                <w:bCs/>
                <w:iCs/>
                <w:color w:val="000000"/>
                <w:kern w:val="0"/>
                <w:sz w:val="24"/>
              </w:rPr>
            </w:pPr>
            <w:r>
              <w:rPr>
                <w:rFonts w:hint="eastAsia" w:ascii="宋体" w:hAnsi="宋体" w:cs="宋体"/>
                <w:sz w:val="24"/>
              </w:rPr>
              <w:t>时间</w:t>
            </w:r>
          </w:p>
        </w:tc>
        <w:tc>
          <w:tcPr>
            <w:tcW w:w="7159" w:type="dxa"/>
            <w:tcBorders>
              <w:top w:val="single" w:color="auto" w:sz="4" w:space="0"/>
              <w:left w:val="single" w:color="auto" w:sz="4" w:space="0"/>
              <w:bottom w:val="single" w:color="auto" w:sz="4" w:space="0"/>
              <w:right w:val="single" w:color="auto" w:sz="4" w:space="0"/>
            </w:tcBorders>
          </w:tcPr>
          <w:p w14:paraId="6C6B3219">
            <w:pPr>
              <w:rPr>
                <w:rFonts w:hint="default" w:eastAsia="宋体"/>
                <w:bCs/>
                <w:iCs/>
                <w:color w:val="000000"/>
                <w:sz w:val="24"/>
                <w:lang w:val="en-US" w:eastAsia="zh-CN"/>
              </w:rPr>
            </w:pPr>
            <w:r>
              <w:rPr>
                <w:rFonts w:hint="eastAsia" w:ascii="宋体" w:hAnsi="宋体" w:cs="宋体"/>
                <w:sz w:val="24"/>
              </w:rPr>
              <w:t>2025年</w:t>
            </w:r>
            <w:r>
              <w:rPr>
                <w:rFonts w:hint="eastAsia" w:ascii="宋体" w:hAnsi="宋体" w:cs="宋体"/>
                <w:sz w:val="24"/>
                <w:lang w:val="en-US" w:eastAsia="zh-CN"/>
              </w:rPr>
              <w:t>11</w:t>
            </w:r>
            <w:r>
              <w:rPr>
                <w:rFonts w:hint="eastAsia" w:ascii="宋体" w:hAnsi="宋体" w:cs="宋体"/>
                <w:sz w:val="24"/>
              </w:rPr>
              <w:t>月</w:t>
            </w:r>
            <w:r>
              <w:rPr>
                <w:rFonts w:hint="eastAsia" w:ascii="宋体" w:hAnsi="宋体" w:cs="宋体"/>
                <w:sz w:val="24"/>
                <w:lang w:val="en-US" w:eastAsia="zh-CN"/>
              </w:rPr>
              <w:t>4日下午 15:00~16:00</w:t>
            </w:r>
          </w:p>
        </w:tc>
      </w:tr>
      <w:tr w14:paraId="0FABE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vAlign w:val="center"/>
          </w:tcPr>
          <w:p w14:paraId="7E25D48E">
            <w:pPr>
              <w:wordWrap w:val="0"/>
              <w:rPr>
                <w:bCs/>
                <w:iCs/>
                <w:color w:val="000000"/>
                <w:kern w:val="0"/>
                <w:sz w:val="24"/>
              </w:rPr>
            </w:pPr>
            <w:r>
              <w:rPr>
                <w:rFonts w:hint="eastAsia" w:ascii="宋体" w:hAnsi="宋体" w:cs="宋体"/>
                <w:sz w:val="24"/>
              </w:rPr>
              <w:t>地点</w:t>
            </w:r>
          </w:p>
        </w:tc>
        <w:tc>
          <w:tcPr>
            <w:tcW w:w="7159" w:type="dxa"/>
            <w:tcBorders>
              <w:top w:val="single" w:color="auto" w:sz="4" w:space="0"/>
              <w:left w:val="single" w:color="auto" w:sz="4" w:space="0"/>
              <w:bottom w:val="single" w:color="auto" w:sz="4" w:space="0"/>
              <w:right w:val="single" w:color="auto" w:sz="4" w:space="0"/>
            </w:tcBorders>
          </w:tcPr>
          <w:p w14:paraId="5EFDAC3C">
            <w:pPr>
              <w:wordWrap w:val="0"/>
              <w:rPr>
                <w:rFonts w:hint="eastAsia" w:ascii="宋体" w:hAnsi="宋体" w:cs="宋体"/>
                <w:sz w:val="24"/>
              </w:rPr>
            </w:pPr>
            <w:r>
              <w:rPr>
                <w:rFonts w:hint="eastAsia" w:ascii="宋体" w:hAnsi="宋体" w:cs="宋体"/>
                <w:sz w:val="24"/>
              </w:rPr>
              <w:t>上海证券交易所上证路演中心（网址：https://roadshow.sseinfo.com/）</w:t>
            </w:r>
          </w:p>
          <w:p w14:paraId="5588A724">
            <w:pPr>
              <w:wordWrap w:val="0"/>
              <w:rPr>
                <w:rFonts w:ascii="宋体" w:hAnsi="宋体" w:cs="宋体"/>
                <w:sz w:val="24"/>
              </w:rPr>
            </w:pPr>
            <w:r>
              <w:rPr>
                <w:rFonts w:hint="eastAsia" w:ascii="宋体" w:hAnsi="宋体" w:cs="宋体"/>
                <w:sz w:val="24"/>
              </w:rPr>
              <w:t>通过上证路演中心网络文字互动</w:t>
            </w:r>
          </w:p>
        </w:tc>
      </w:tr>
      <w:tr w14:paraId="46807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vAlign w:val="center"/>
          </w:tcPr>
          <w:p w14:paraId="273B4662">
            <w:pPr>
              <w:rPr>
                <w:bCs/>
                <w:iCs/>
                <w:color w:val="000000"/>
                <w:kern w:val="0"/>
                <w:sz w:val="24"/>
              </w:rPr>
            </w:pPr>
            <w:r>
              <w:rPr>
                <w:rFonts w:hint="eastAsia" w:ascii="宋体" w:hAnsi="宋体" w:cs="宋体"/>
                <w:sz w:val="24"/>
              </w:rPr>
              <w:t>上市公司接待人员姓名</w:t>
            </w:r>
          </w:p>
        </w:tc>
        <w:tc>
          <w:tcPr>
            <w:tcW w:w="7159" w:type="dxa"/>
            <w:tcBorders>
              <w:top w:val="single" w:color="auto" w:sz="4" w:space="0"/>
              <w:left w:val="single" w:color="auto" w:sz="4" w:space="0"/>
              <w:bottom w:val="single" w:color="auto" w:sz="4" w:space="0"/>
              <w:right w:val="single" w:color="auto" w:sz="4" w:space="0"/>
            </w:tcBorders>
            <w:vAlign w:val="center"/>
          </w:tcPr>
          <w:p w14:paraId="1A2EF1BC">
            <w:pPr>
              <w:rPr>
                <w:rFonts w:hint="default" w:ascii="宋体" w:hAnsi="宋体" w:eastAsia="宋体" w:cs="宋体"/>
                <w:sz w:val="24"/>
                <w:lang w:val="en-US" w:eastAsia="zh-CN"/>
              </w:rPr>
            </w:pPr>
            <w:r>
              <w:rPr>
                <w:rFonts w:hint="eastAsia" w:ascii="宋体" w:hAnsi="宋体" w:cs="宋体"/>
                <w:sz w:val="24"/>
              </w:rPr>
              <w:t>1、</w:t>
            </w:r>
            <w:r>
              <w:rPr>
                <w:rFonts w:hint="eastAsia" w:ascii="宋体" w:hAnsi="宋体" w:cs="宋体"/>
                <w:sz w:val="24"/>
                <w:lang w:val="en-US" w:eastAsia="zh-CN"/>
              </w:rPr>
              <w:t>董事长 刘燕华</w:t>
            </w:r>
          </w:p>
          <w:p w14:paraId="23D0EF2D">
            <w:pPr>
              <w:rPr>
                <w:rFonts w:hint="eastAsia" w:ascii="宋体" w:hAnsi="宋体" w:cs="宋体"/>
                <w:sz w:val="24"/>
                <w:lang w:eastAsia="zh-CN"/>
              </w:rPr>
            </w:pPr>
            <w:r>
              <w:rPr>
                <w:rFonts w:hint="eastAsia" w:ascii="宋体" w:hAnsi="宋体" w:cs="宋体"/>
                <w:sz w:val="24"/>
                <w:lang w:val="en-US" w:eastAsia="zh-CN"/>
              </w:rPr>
              <w:t>2、</w:t>
            </w:r>
            <w:r>
              <w:rPr>
                <w:rFonts w:hint="eastAsia" w:ascii="宋体" w:hAnsi="宋体" w:cs="宋体"/>
                <w:sz w:val="24"/>
              </w:rPr>
              <w:t>董事、</w:t>
            </w:r>
            <w:r>
              <w:rPr>
                <w:rFonts w:hint="eastAsia" w:ascii="宋体" w:hAnsi="宋体" w:cs="宋体"/>
                <w:sz w:val="24"/>
                <w:lang w:val="en-US" w:eastAsia="zh-CN"/>
              </w:rPr>
              <w:t>董事会秘书</w:t>
            </w:r>
            <w:r>
              <w:rPr>
                <w:rFonts w:hint="eastAsia" w:ascii="宋体" w:hAnsi="宋体" w:cs="宋体"/>
                <w:sz w:val="24"/>
              </w:rPr>
              <w:t xml:space="preserve"> </w:t>
            </w:r>
            <w:r>
              <w:rPr>
                <w:rFonts w:hint="eastAsia" w:ascii="宋体" w:hAnsi="宋体" w:cs="宋体"/>
                <w:sz w:val="24"/>
                <w:lang w:val="en-US" w:eastAsia="zh-CN"/>
              </w:rPr>
              <w:t>李吉庆</w:t>
            </w:r>
          </w:p>
          <w:p w14:paraId="46F57BFC">
            <w:pPr>
              <w:rPr>
                <w:rFonts w:hint="eastAsia" w:ascii="宋体" w:hAnsi="宋体" w:cs="宋体"/>
                <w:sz w:val="24"/>
                <w:lang w:eastAsia="zh-CN"/>
              </w:rPr>
            </w:pPr>
            <w:r>
              <w:rPr>
                <w:rFonts w:hint="eastAsia" w:ascii="宋体" w:hAnsi="宋体" w:cs="宋体"/>
                <w:sz w:val="24"/>
                <w:lang w:val="en-US" w:eastAsia="zh-CN"/>
              </w:rPr>
              <w:t>3</w:t>
            </w:r>
            <w:r>
              <w:rPr>
                <w:rFonts w:hint="eastAsia" w:ascii="宋体" w:hAnsi="宋体" w:cs="宋体"/>
                <w:sz w:val="24"/>
              </w:rPr>
              <w:t xml:space="preserve">、财务总监、副总裁 </w:t>
            </w:r>
            <w:r>
              <w:rPr>
                <w:rFonts w:hint="eastAsia" w:ascii="宋体" w:hAnsi="宋体" w:cs="宋体"/>
                <w:sz w:val="24"/>
                <w:lang w:val="en-US" w:eastAsia="zh-CN"/>
              </w:rPr>
              <w:t>耿明</w:t>
            </w:r>
          </w:p>
          <w:p w14:paraId="2AD783D7">
            <w:pPr>
              <w:rPr>
                <w:rFonts w:ascii="宋体" w:hAnsi="宋体"/>
                <w:bCs/>
                <w:sz w:val="24"/>
              </w:rPr>
            </w:pPr>
            <w:r>
              <w:rPr>
                <w:rFonts w:hint="eastAsia" w:ascii="宋体" w:hAnsi="宋体" w:cs="宋体"/>
                <w:sz w:val="24"/>
                <w:lang w:val="en-US" w:eastAsia="zh-CN"/>
              </w:rPr>
              <w:t>4</w:t>
            </w:r>
            <w:r>
              <w:rPr>
                <w:rFonts w:hint="eastAsia" w:ascii="宋体" w:hAnsi="宋体" w:cs="宋体"/>
                <w:sz w:val="24"/>
              </w:rPr>
              <w:t xml:space="preserve">、独立董事 </w:t>
            </w:r>
            <w:r>
              <w:rPr>
                <w:rFonts w:hint="eastAsia" w:ascii="宋体" w:hAnsi="宋体" w:cs="宋体"/>
                <w:sz w:val="24"/>
                <w:lang w:val="en-US" w:eastAsia="zh-CN"/>
              </w:rPr>
              <w:t>许春华</w:t>
            </w:r>
          </w:p>
        </w:tc>
      </w:tr>
      <w:tr w14:paraId="289B7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vAlign w:val="center"/>
          </w:tcPr>
          <w:p w14:paraId="68988215">
            <w:pPr>
              <w:spacing w:line="420" w:lineRule="exact"/>
              <w:rPr>
                <w:bCs/>
                <w:iCs/>
                <w:color w:val="000000"/>
                <w:sz w:val="24"/>
              </w:rPr>
            </w:pPr>
            <w:r>
              <w:rPr>
                <w:rFonts w:hAnsi="宋体"/>
                <w:bCs/>
                <w:iCs/>
                <w:color w:val="000000"/>
                <w:kern w:val="0"/>
                <w:sz w:val="24"/>
              </w:rPr>
              <w:t>投资者关系活动主要内容介绍</w:t>
            </w:r>
          </w:p>
        </w:tc>
        <w:tc>
          <w:tcPr>
            <w:tcW w:w="7159" w:type="dxa"/>
            <w:tcBorders>
              <w:top w:val="single" w:color="auto" w:sz="4" w:space="0"/>
              <w:left w:val="single" w:color="auto" w:sz="4" w:space="0"/>
              <w:bottom w:val="single" w:color="auto" w:sz="4" w:space="0"/>
              <w:right w:val="single" w:color="auto" w:sz="4" w:space="0"/>
            </w:tcBorders>
          </w:tcPr>
          <w:p w14:paraId="09596401">
            <w:pPr>
              <w:pStyle w:val="14"/>
              <w:spacing w:line="460" w:lineRule="exact"/>
              <w:ind w:firstLine="482" w:firstLineChars="200"/>
              <w:rPr>
                <w:rFonts w:ascii="宋体" w:hAnsi="宋体"/>
                <w:sz w:val="24"/>
                <w:szCs w:val="24"/>
              </w:rPr>
            </w:pPr>
            <w:r>
              <w:rPr>
                <w:rFonts w:hint="eastAsia" w:ascii="宋体" w:hAnsi="宋体"/>
                <w:b/>
                <w:bCs/>
                <w:sz w:val="24"/>
                <w:szCs w:val="24"/>
              </w:rPr>
              <w:t>投资者提出的主要问题及公司回复情况:</w:t>
            </w:r>
          </w:p>
          <w:p w14:paraId="1A56D7E2">
            <w:pPr>
              <w:pStyle w:val="14"/>
              <w:spacing w:line="460" w:lineRule="exact"/>
              <w:ind w:left="-2" w:leftChars="-1" w:firstLine="482"/>
              <w:rPr>
                <w:rFonts w:hint="eastAsia" w:ascii="宋体" w:hAnsi="宋体"/>
                <w:b/>
                <w:bCs/>
                <w:sz w:val="24"/>
                <w:szCs w:val="24"/>
                <w:lang w:val="en-US"/>
              </w:rPr>
            </w:pPr>
            <w:r>
              <w:rPr>
                <w:rFonts w:hint="eastAsia" w:ascii="宋体" w:hAnsi="宋体"/>
                <w:b/>
                <w:bCs/>
                <w:sz w:val="24"/>
                <w:szCs w:val="24"/>
                <w:lang w:val="en-US"/>
              </w:rPr>
              <w:t>1、刘董事长，您好！鸿蒙智行属于高端定位，取代bba已是时间问题，现在势不可挡，咱们赛轮有进行沟通合作了吗？进度如何！</w:t>
            </w:r>
          </w:p>
          <w:p w14:paraId="7DA6F8DC">
            <w:pPr>
              <w:pStyle w:val="14"/>
              <w:spacing w:line="460" w:lineRule="exact"/>
              <w:ind w:left="-2" w:leftChars="-1" w:firstLine="482"/>
              <w:rPr>
                <w:rFonts w:hint="eastAsia" w:ascii="宋体" w:hAnsi="宋体"/>
                <w:b w:val="0"/>
                <w:bCs w:val="0"/>
                <w:sz w:val="24"/>
                <w:szCs w:val="24"/>
                <w:lang w:val="en-US"/>
              </w:rPr>
            </w:pPr>
            <w:r>
              <w:rPr>
                <w:rFonts w:hint="eastAsia" w:ascii="宋体" w:hAnsi="宋体"/>
                <w:b w:val="0"/>
                <w:bCs w:val="0"/>
                <w:sz w:val="24"/>
                <w:szCs w:val="24"/>
                <w:lang w:val="en-US"/>
              </w:rPr>
              <w:t>答:尊敬的投资者您好！近年来，公司的整车厂配套企业数量及轮胎数量保持了较快的增长，公司会积极开拓新的有发展潜力的国内外优质配套客户。除此之外，公司还积极推广赛车胎和越野胎。公司与小米汽车合作开发</w:t>
            </w:r>
            <w:r>
              <w:rPr>
                <w:rFonts w:hint="eastAsia" w:ascii="宋体" w:hAnsi="宋体"/>
                <w:b w:val="0"/>
                <w:bCs w:val="0"/>
                <w:sz w:val="24"/>
                <w:szCs w:val="24"/>
                <w:lang w:val="en-US" w:eastAsia="zh-CN"/>
              </w:rPr>
              <w:t>的</w:t>
            </w:r>
            <w:r>
              <w:rPr>
                <w:rFonts w:hint="eastAsia" w:ascii="宋体" w:hAnsi="宋体"/>
                <w:b w:val="0"/>
                <w:bCs w:val="0"/>
                <w:sz w:val="24"/>
                <w:szCs w:val="24"/>
                <w:lang w:val="en-US"/>
              </w:rPr>
              <w:t>轮胎助力小米汽车成为北京易车金港、上海天马及宁波国际赛车场、厦门国际赛车场的最速四门量产车；公司成为丰田GR86 Cup中国挑战赛2025赛季唯一指定轮胎供应商；公司热熔胎2025年为F4方程式中国锦标赛提供支持，首站即刷新赛道纪录；公司TERRAMAX RT越野胎成为“2025环塔拉力赛”长城汽车、郑州日产车队的官方指定用胎，助力车队取得了优异成绩。感谢您对公司的关注。</w:t>
            </w:r>
          </w:p>
          <w:p w14:paraId="2ADFB30D">
            <w:pPr>
              <w:pStyle w:val="14"/>
              <w:spacing w:line="460" w:lineRule="exact"/>
              <w:ind w:left="-2" w:leftChars="-1" w:firstLine="482"/>
              <w:rPr>
                <w:rFonts w:hint="eastAsia" w:ascii="宋体" w:hAnsi="宋体"/>
                <w:b/>
                <w:bCs/>
                <w:sz w:val="24"/>
                <w:szCs w:val="24"/>
                <w:lang w:val="en-US"/>
              </w:rPr>
            </w:pPr>
            <w:r>
              <w:rPr>
                <w:rFonts w:hint="eastAsia" w:ascii="宋体" w:hAnsi="宋体"/>
                <w:b/>
                <w:bCs/>
                <w:sz w:val="24"/>
                <w:szCs w:val="24"/>
                <w:lang w:val="en-US"/>
              </w:rPr>
              <w:t>2、董事长您好，公司2025年Q3营收首次突破百亿大关，主要得益于柬埔寨二期等产能释放。请问：</w:t>
            </w:r>
            <w:r>
              <w:rPr>
                <w:rFonts w:hint="eastAsia" w:ascii="宋体" w:hAnsi="宋体"/>
                <w:b/>
                <w:bCs/>
                <w:sz w:val="24"/>
                <w:szCs w:val="24"/>
                <w:lang w:val="en-US" w:eastAsia="zh-CN"/>
              </w:rPr>
              <w:t>（1）</w:t>
            </w:r>
            <w:r>
              <w:rPr>
                <w:rFonts w:hint="eastAsia" w:ascii="宋体" w:hAnsi="宋体"/>
                <w:b/>
                <w:bCs/>
                <w:sz w:val="24"/>
                <w:szCs w:val="24"/>
                <w:lang w:val="en-US"/>
              </w:rPr>
              <w:t>.印尼、墨西哥及埃及等海外基地的建设进度是否符合预期？未来如何平衡海外与国内产能配比？</w:t>
            </w:r>
            <w:r>
              <w:rPr>
                <w:rFonts w:hint="eastAsia" w:ascii="宋体" w:hAnsi="宋体"/>
                <w:b/>
                <w:bCs/>
                <w:sz w:val="24"/>
                <w:szCs w:val="24"/>
                <w:lang w:val="en-US" w:eastAsia="zh-CN"/>
              </w:rPr>
              <w:t>（2）</w:t>
            </w:r>
            <w:r>
              <w:rPr>
                <w:rFonts w:hint="eastAsia" w:ascii="宋体" w:hAnsi="宋体"/>
                <w:b/>
                <w:bCs/>
                <w:sz w:val="24"/>
                <w:szCs w:val="24"/>
                <w:lang w:val="en-US"/>
              </w:rPr>
              <w:t>.面对美国关税等贸易壁垒，公司如何通过海外产能布局规避风险？是否有进一步拓展其他低风险市场的计划？</w:t>
            </w:r>
            <w:r>
              <w:rPr>
                <w:rFonts w:hint="eastAsia" w:ascii="宋体" w:hAnsi="宋体"/>
                <w:b/>
                <w:bCs/>
                <w:sz w:val="24"/>
                <w:szCs w:val="24"/>
                <w:lang w:val="en-US" w:eastAsia="zh-CN"/>
              </w:rPr>
              <w:t>（3）</w:t>
            </w:r>
            <w:r>
              <w:rPr>
                <w:rFonts w:hint="eastAsia" w:ascii="宋体" w:hAnsi="宋体"/>
                <w:b/>
                <w:bCs/>
                <w:sz w:val="24"/>
                <w:szCs w:val="24"/>
                <w:lang w:val="en-US"/>
              </w:rPr>
              <w:t>.海外基地的运营成本与国内相比有何差异？如何确保新基地的利润率稳定？</w:t>
            </w:r>
          </w:p>
          <w:p w14:paraId="65D55166">
            <w:pPr>
              <w:pStyle w:val="14"/>
              <w:spacing w:line="460" w:lineRule="exact"/>
              <w:ind w:left="-2" w:leftChars="-1" w:firstLine="482"/>
              <w:rPr>
                <w:rFonts w:hint="eastAsia" w:ascii="宋体" w:hAnsi="宋体"/>
                <w:b w:val="0"/>
                <w:bCs w:val="0"/>
                <w:sz w:val="24"/>
                <w:szCs w:val="24"/>
                <w:lang w:val="en-US"/>
              </w:rPr>
            </w:pPr>
            <w:r>
              <w:rPr>
                <w:rFonts w:hint="eastAsia" w:ascii="宋体" w:hAnsi="宋体"/>
                <w:b w:val="0"/>
                <w:bCs w:val="0"/>
                <w:sz w:val="24"/>
                <w:szCs w:val="24"/>
                <w:lang w:val="en-US"/>
              </w:rPr>
              <w:t>答:尊敬的投资者您好！公司印尼工厂及墨西哥工厂首条半钢胎已分别于5月末下线，印尼工厂首条全钢胎、非公路轮胎也于8月下线。公司坚持全球化战略，目前已在越南、柬埔寨、墨西哥及印尼等地建有生产基地，并正在建设埃及生产基地。感谢您对公司的关注。</w:t>
            </w:r>
          </w:p>
          <w:p w14:paraId="146FD756">
            <w:pPr>
              <w:pStyle w:val="14"/>
              <w:spacing w:line="460" w:lineRule="exact"/>
              <w:ind w:left="-2" w:leftChars="-1" w:firstLine="482"/>
              <w:rPr>
                <w:rFonts w:hint="eastAsia" w:ascii="宋体" w:hAnsi="宋体"/>
                <w:b/>
                <w:bCs/>
                <w:sz w:val="24"/>
                <w:szCs w:val="24"/>
                <w:lang w:val="en-US"/>
              </w:rPr>
            </w:pPr>
            <w:r>
              <w:rPr>
                <w:rFonts w:hint="eastAsia" w:ascii="宋体" w:hAnsi="宋体"/>
                <w:b/>
                <w:bCs/>
                <w:sz w:val="24"/>
                <w:szCs w:val="24"/>
                <w:lang w:val="en-US"/>
              </w:rPr>
              <w:t>3、2025年前三季度经营活动现金流净额同比增长72.55%，但负债率仍达49.56%。请问：</w:t>
            </w:r>
            <w:r>
              <w:rPr>
                <w:rFonts w:hint="eastAsia" w:ascii="宋体" w:hAnsi="宋体"/>
                <w:b/>
                <w:bCs/>
                <w:sz w:val="24"/>
                <w:szCs w:val="24"/>
                <w:lang w:val="en-US" w:eastAsia="zh-CN"/>
              </w:rPr>
              <w:t>（1）</w:t>
            </w:r>
            <w:r>
              <w:rPr>
                <w:rFonts w:hint="eastAsia" w:ascii="宋体" w:hAnsi="宋体"/>
                <w:b/>
                <w:bCs/>
                <w:sz w:val="24"/>
                <w:szCs w:val="24"/>
                <w:lang w:val="en-US"/>
              </w:rPr>
              <w:t>.现金流改善主要得益于哪些业务或管理措施？</w:t>
            </w:r>
            <w:r>
              <w:rPr>
                <w:rFonts w:hint="eastAsia" w:ascii="宋体" w:hAnsi="宋体"/>
                <w:b/>
                <w:bCs/>
                <w:sz w:val="24"/>
                <w:szCs w:val="24"/>
                <w:lang w:val="en-US" w:eastAsia="zh-CN"/>
              </w:rPr>
              <w:t>（2）</w:t>
            </w:r>
            <w:r>
              <w:rPr>
                <w:rFonts w:hint="eastAsia" w:ascii="宋体" w:hAnsi="宋体"/>
                <w:b/>
                <w:bCs/>
                <w:sz w:val="24"/>
                <w:szCs w:val="24"/>
                <w:lang w:val="en-US"/>
              </w:rPr>
              <w:t>.短期借款减少而长期借款增加，负债结构调整的逻辑是什么？未来融资成本是否会上升？</w:t>
            </w:r>
            <w:r>
              <w:rPr>
                <w:rFonts w:hint="eastAsia" w:ascii="宋体" w:hAnsi="宋体"/>
                <w:b/>
                <w:bCs/>
                <w:sz w:val="24"/>
                <w:szCs w:val="24"/>
                <w:lang w:val="en-US" w:eastAsia="zh-CN"/>
              </w:rPr>
              <w:t>（3）</w:t>
            </w:r>
            <w:r>
              <w:rPr>
                <w:rFonts w:hint="eastAsia" w:ascii="宋体" w:hAnsi="宋体"/>
                <w:b/>
                <w:bCs/>
                <w:sz w:val="24"/>
                <w:szCs w:val="24"/>
                <w:lang w:val="en-US"/>
              </w:rPr>
              <w:t>.高在建工程（同比+63.71%）对应的资本开支计划如何安排？是否存在资金链压力？</w:t>
            </w:r>
          </w:p>
          <w:p w14:paraId="2D0F2974">
            <w:pPr>
              <w:pStyle w:val="14"/>
              <w:spacing w:line="460" w:lineRule="exact"/>
              <w:ind w:left="-2" w:leftChars="-1" w:firstLine="482"/>
              <w:rPr>
                <w:rFonts w:hint="eastAsia" w:ascii="宋体" w:hAnsi="宋体"/>
                <w:b w:val="0"/>
                <w:bCs w:val="0"/>
                <w:sz w:val="24"/>
                <w:szCs w:val="24"/>
                <w:lang w:val="en-US"/>
              </w:rPr>
            </w:pPr>
            <w:r>
              <w:rPr>
                <w:rFonts w:hint="eastAsia" w:ascii="宋体" w:hAnsi="宋体"/>
                <w:b w:val="0"/>
                <w:bCs w:val="0"/>
                <w:sz w:val="24"/>
                <w:szCs w:val="24"/>
                <w:lang w:val="en-US"/>
              </w:rPr>
              <w:t>答:尊敬的投资者您好。2025年前三季度经营活动现金流净额增长，主要系本期销售商品收到现金增加及天然橡胶等主要原材料采购价格降低所致。公司根据在建项目规划及实际运营需要调整负债结构，目前各在建项目均按进度分批投入资金。感谢您对公司的关注。</w:t>
            </w:r>
          </w:p>
          <w:p w14:paraId="5DD68A22">
            <w:pPr>
              <w:pStyle w:val="14"/>
              <w:spacing w:line="460" w:lineRule="exact"/>
              <w:ind w:left="-2" w:leftChars="-1" w:firstLine="482"/>
              <w:rPr>
                <w:rFonts w:hint="eastAsia" w:ascii="宋体" w:hAnsi="宋体"/>
                <w:b/>
                <w:bCs/>
                <w:sz w:val="24"/>
                <w:szCs w:val="24"/>
                <w:lang w:val="en-US"/>
              </w:rPr>
            </w:pPr>
            <w:r>
              <w:rPr>
                <w:rFonts w:hint="eastAsia" w:ascii="宋体" w:hAnsi="宋体"/>
                <w:b/>
                <w:bCs/>
                <w:sz w:val="24"/>
                <w:szCs w:val="24"/>
                <w:lang w:val="en-US"/>
              </w:rPr>
              <w:t>4、近期玲珑也下线了巨胎产品，公司在非公路方面有哪些竞争优势呢？</w:t>
            </w:r>
          </w:p>
          <w:p w14:paraId="3AF819BF">
            <w:pPr>
              <w:pStyle w:val="14"/>
              <w:spacing w:line="460" w:lineRule="exact"/>
              <w:ind w:left="-2" w:leftChars="-1" w:firstLine="482"/>
              <w:rPr>
                <w:rFonts w:hint="eastAsia" w:ascii="宋体" w:hAnsi="宋体"/>
                <w:b w:val="0"/>
                <w:bCs w:val="0"/>
                <w:sz w:val="24"/>
                <w:szCs w:val="24"/>
                <w:lang w:val="en-US"/>
              </w:rPr>
            </w:pPr>
            <w:r>
              <w:rPr>
                <w:rFonts w:hint="eastAsia" w:ascii="宋体" w:hAnsi="宋体"/>
                <w:b w:val="0"/>
                <w:bCs w:val="0"/>
                <w:sz w:val="24"/>
                <w:szCs w:val="24"/>
                <w:lang w:val="en-US"/>
              </w:rPr>
              <w:t>答:尊敬的投资者您好！公司在非公路轮胎领域持续深耕，技术研发体系成熟，客户认可度高。截至三季度末，公司已在青岛、潍坊、越南三大制造基地建设了专业化的非公路轮胎生产线，形成了覆盖巨型工程子午胎、中小规格工程子午胎、农业子午胎、实心胎、橡胶履带等多元化产品矩阵，并规划建设年产46.7万吨非公路轮胎的生产能力。此外，华东试验场三季度投资建设的国内首家非公路轮胎测试平台进一步推动产品迭代和技术升级，将持续提升公司非公路轮胎领域的竞争优势。目前，公司非公路轮胎产品已成功配套卡特彼勒、约翰迪尔、凯斯纽荷兰、英国JCB、小松、沃尔沃、爱科、道依茨法尔、徐工、柳工、北方重工、三一重工、同力重工、山东临工、潍柴雷沃、中联重科、中国一拖等国内外知名企业。感谢您对公司的关注。</w:t>
            </w:r>
          </w:p>
          <w:p w14:paraId="47B972F7">
            <w:pPr>
              <w:pStyle w:val="14"/>
              <w:spacing w:line="460" w:lineRule="exact"/>
              <w:ind w:left="-2" w:leftChars="-1" w:firstLine="482"/>
              <w:rPr>
                <w:rFonts w:hint="eastAsia" w:ascii="宋体" w:hAnsi="宋体"/>
                <w:b/>
                <w:bCs/>
                <w:sz w:val="24"/>
                <w:szCs w:val="24"/>
                <w:lang w:val="en-US"/>
              </w:rPr>
            </w:pPr>
            <w:r>
              <w:rPr>
                <w:rFonts w:hint="eastAsia" w:ascii="宋体" w:hAnsi="宋体"/>
                <w:b/>
                <w:bCs/>
                <w:sz w:val="24"/>
                <w:szCs w:val="24"/>
                <w:lang w:val="en-US"/>
              </w:rPr>
              <w:t>5、美元对人民币持续贬值，会对公司盈利方面带来哪些影响？</w:t>
            </w:r>
          </w:p>
          <w:p w14:paraId="1CD59097">
            <w:pPr>
              <w:pStyle w:val="14"/>
              <w:spacing w:line="460" w:lineRule="exact"/>
              <w:ind w:left="-2" w:leftChars="-1" w:firstLine="482"/>
              <w:rPr>
                <w:rFonts w:hint="eastAsia" w:ascii="宋体" w:hAnsi="宋体"/>
                <w:b w:val="0"/>
                <w:bCs w:val="0"/>
                <w:sz w:val="24"/>
                <w:szCs w:val="24"/>
                <w:lang w:val="en-US"/>
              </w:rPr>
            </w:pPr>
            <w:r>
              <w:rPr>
                <w:rFonts w:hint="eastAsia" w:ascii="宋体" w:hAnsi="宋体"/>
                <w:b w:val="0"/>
                <w:bCs w:val="0"/>
                <w:sz w:val="24"/>
                <w:szCs w:val="24"/>
                <w:lang w:val="en-US"/>
              </w:rPr>
              <w:t>答:尊敬的投资者您好！公司近几年一直开展外汇套期保值业务。这些业务坚持风险中性原则，不以投机为目的，按外汇市场波动情况，采用一定比例与应收账款的账期匹配做远期套保，从而减轻汇率波动对公司经营造成的不利影响。感谢您对公司的关注。</w:t>
            </w:r>
          </w:p>
          <w:p w14:paraId="22460F97">
            <w:pPr>
              <w:pStyle w:val="14"/>
              <w:spacing w:line="460" w:lineRule="exact"/>
              <w:ind w:left="-2" w:leftChars="-1" w:firstLine="482"/>
              <w:rPr>
                <w:rFonts w:hint="eastAsia" w:ascii="宋体" w:hAnsi="宋体"/>
                <w:b/>
                <w:bCs/>
                <w:sz w:val="24"/>
                <w:szCs w:val="24"/>
                <w:lang w:val="en-US"/>
              </w:rPr>
            </w:pPr>
            <w:r>
              <w:rPr>
                <w:rFonts w:hint="eastAsia" w:ascii="宋体" w:hAnsi="宋体"/>
                <w:b/>
                <w:bCs/>
                <w:sz w:val="24"/>
                <w:szCs w:val="24"/>
                <w:lang w:val="en-US"/>
              </w:rPr>
              <w:t>6、当前公司市盈率（TTM）约13倍，低于行业平均水平。请问：</w:t>
            </w:r>
            <w:r>
              <w:rPr>
                <w:rFonts w:hint="eastAsia" w:ascii="宋体" w:hAnsi="宋体"/>
                <w:b/>
                <w:bCs/>
                <w:sz w:val="24"/>
                <w:szCs w:val="24"/>
                <w:lang w:val="en-US" w:eastAsia="zh-CN"/>
              </w:rPr>
              <w:t>（1）</w:t>
            </w:r>
            <w:r>
              <w:rPr>
                <w:rFonts w:hint="eastAsia" w:ascii="宋体" w:hAnsi="宋体"/>
                <w:b/>
                <w:bCs/>
                <w:sz w:val="24"/>
                <w:szCs w:val="24"/>
                <w:lang w:val="en-US"/>
              </w:rPr>
              <w:t>.公司如何看待当前估值？是否有市值管理计划（如回购、增持或股权激励）？</w:t>
            </w:r>
            <w:r>
              <w:rPr>
                <w:rFonts w:hint="eastAsia" w:ascii="宋体" w:hAnsi="宋体"/>
                <w:b/>
                <w:bCs/>
                <w:sz w:val="24"/>
                <w:szCs w:val="24"/>
                <w:lang w:val="en-US" w:eastAsia="zh-CN"/>
              </w:rPr>
              <w:t>（2）</w:t>
            </w:r>
            <w:r>
              <w:rPr>
                <w:rFonts w:hint="eastAsia" w:ascii="宋体" w:hAnsi="宋体"/>
                <w:b/>
                <w:bCs/>
                <w:sz w:val="24"/>
                <w:szCs w:val="24"/>
                <w:lang w:val="en-US"/>
              </w:rPr>
              <w:t>.2025年分红政策是否会因利润下滑而调整？如何平衡股东回报与企业再投资需求？</w:t>
            </w:r>
            <w:r>
              <w:rPr>
                <w:rFonts w:hint="eastAsia" w:ascii="宋体" w:hAnsi="宋体"/>
                <w:b/>
                <w:bCs/>
                <w:sz w:val="24"/>
                <w:szCs w:val="24"/>
                <w:lang w:val="en-US" w:eastAsia="zh-CN"/>
              </w:rPr>
              <w:t>（3）</w:t>
            </w:r>
            <w:r>
              <w:rPr>
                <w:rFonts w:hint="eastAsia" w:ascii="宋体" w:hAnsi="宋体"/>
                <w:b/>
                <w:bCs/>
                <w:sz w:val="24"/>
                <w:szCs w:val="24"/>
                <w:lang w:val="en-US"/>
              </w:rPr>
              <w:t>.针对青年投资者偏好，公司未来是否会通过线上路演、ESG报告等方式增强沟通透明度？</w:t>
            </w:r>
          </w:p>
          <w:p w14:paraId="26405859">
            <w:pPr>
              <w:pStyle w:val="14"/>
              <w:spacing w:line="460" w:lineRule="exact"/>
              <w:ind w:left="-2" w:leftChars="-1" w:firstLine="482"/>
              <w:rPr>
                <w:rFonts w:hint="eastAsia" w:ascii="宋体" w:hAnsi="宋体"/>
                <w:b/>
                <w:bCs/>
                <w:sz w:val="24"/>
                <w:szCs w:val="24"/>
                <w:lang w:val="en-US"/>
              </w:rPr>
            </w:pPr>
            <w:r>
              <w:rPr>
                <w:rFonts w:hint="eastAsia" w:ascii="宋体" w:hAnsi="宋体"/>
                <w:b w:val="0"/>
                <w:bCs w:val="0"/>
                <w:sz w:val="24"/>
                <w:szCs w:val="24"/>
                <w:lang w:val="en-US"/>
              </w:rPr>
              <w:t>答:尊敬的投资者您好！公司已制定《市值管理制度》，公司实际控制人基于对公司未来发展前景的信心及中长期投资价值的认可，并切实维护广大投资者利益，促进公司持续、稳定、健康发展，自去年11月到今年9月，先后两次实施股份增持计划，具体内容请参阅公司对外披露的公告。另外，公司高度重视对投资者回报，除年度进行利润分配外，在去年和今年还分别实施了中期现金分红方案。公司近年来，每年都会多次通过线上或线下形式开展投资者交流活动，并持续多年披露ESG报告。感谢您对公司的关注。</w:t>
            </w:r>
          </w:p>
          <w:p w14:paraId="06AEB604">
            <w:pPr>
              <w:pStyle w:val="14"/>
              <w:spacing w:line="460" w:lineRule="exact"/>
              <w:ind w:left="-2" w:leftChars="-1" w:firstLine="482"/>
              <w:rPr>
                <w:rFonts w:hint="eastAsia" w:ascii="宋体" w:hAnsi="宋体"/>
                <w:b/>
                <w:bCs/>
                <w:sz w:val="24"/>
                <w:szCs w:val="24"/>
                <w:lang w:val="en-US"/>
              </w:rPr>
            </w:pPr>
            <w:r>
              <w:rPr>
                <w:rFonts w:hint="eastAsia" w:ascii="宋体" w:hAnsi="宋体"/>
                <w:b/>
                <w:bCs/>
                <w:sz w:val="24"/>
                <w:szCs w:val="24"/>
                <w:lang w:val="en-US"/>
              </w:rPr>
              <w:t>7、您好，请问三季度分红计划是怎么样，分红多少，以及实施时间？另外，沈阳工厂和埃及工厂是否占用公司很大开支，现金流紧不紧张？</w:t>
            </w:r>
          </w:p>
          <w:p w14:paraId="595B6DFE">
            <w:pPr>
              <w:pStyle w:val="14"/>
              <w:spacing w:line="460" w:lineRule="exact"/>
              <w:ind w:left="-2" w:leftChars="-1" w:firstLine="482"/>
              <w:rPr>
                <w:rFonts w:hint="eastAsia" w:ascii="宋体" w:hAnsi="宋体"/>
                <w:b w:val="0"/>
                <w:bCs w:val="0"/>
                <w:sz w:val="24"/>
                <w:szCs w:val="24"/>
                <w:lang w:val="en-US"/>
              </w:rPr>
            </w:pPr>
            <w:r>
              <w:rPr>
                <w:rFonts w:hint="eastAsia" w:ascii="宋体" w:hAnsi="宋体"/>
                <w:b w:val="0"/>
                <w:bCs w:val="0"/>
                <w:sz w:val="24"/>
                <w:szCs w:val="24"/>
                <w:lang w:val="en-US"/>
              </w:rPr>
              <w:t>答:尊敬的投资者您好！公司一直重视对投资者的回报，上市以来每年均进行现金红利分配。公司2024年全年现金分红总额12.49亿元（包括2024年前三季度现金分红及2024年度利润分配）。2025年中期，公司派发现金红利4.93亿元。未来，公司将尽力做好生产经营，不断提升公司盈利能力和竞争力，并严格按照《公司章程》《股东回报规划》等要求，结合公司实际情况提出让广大投资者满意的利润分配方案。公司新建工厂正在按计划推进建设中，建设完成后，将有利于进一步完善公司产能布局，可以更好地保障全球市场的产品供应，感谢您对公司的关注。</w:t>
            </w:r>
          </w:p>
          <w:p w14:paraId="3E6B3275">
            <w:pPr>
              <w:pStyle w:val="14"/>
              <w:spacing w:line="460" w:lineRule="exact"/>
              <w:ind w:left="-2" w:leftChars="-1" w:firstLine="482"/>
              <w:rPr>
                <w:rFonts w:hint="eastAsia" w:ascii="宋体" w:hAnsi="宋体"/>
                <w:b/>
                <w:bCs/>
                <w:sz w:val="24"/>
                <w:szCs w:val="24"/>
                <w:lang w:val="en-US"/>
              </w:rPr>
            </w:pPr>
            <w:r>
              <w:rPr>
                <w:rFonts w:hint="eastAsia" w:ascii="宋体" w:hAnsi="宋体"/>
                <w:b/>
                <w:bCs/>
                <w:sz w:val="24"/>
                <w:szCs w:val="24"/>
                <w:lang w:val="en-US"/>
              </w:rPr>
              <w:t>8、2025年Q3公司营业利润创历史新高，但应收账款同步高增。请问：</w:t>
            </w:r>
            <w:r>
              <w:rPr>
                <w:rFonts w:hint="eastAsia" w:ascii="宋体" w:hAnsi="宋体"/>
                <w:b/>
                <w:bCs/>
                <w:sz w:val="24"/>
                <w:szCs w:val="24"/>
                <w:lang w:val="en-US" w:eastAsia="zh-CN"/>
              </w:rPr>
              <w:t>（1）</w:t>
            </w:r>
            <w:r>
              <w:rPr>
                <w:rFonts w:hint="eastAsia" w:ascii="宋体" w:hAnsi="宋体"/>
                <w:b/>
                <w:bCs/>
                <w:sz w:val="24"/>
                <w:szCs w:val="24"/>
                <w:lang w:val="en-US"/>
              </w:rPr>
              <w:t>.独立董事如何确保关联交易的公允性？是否存在通过关联方调节利润的情况？</w:t>
            </w:r>
            <w:r>
              <w:rPr>
                <w:rFonts w:hint="eastAsia" w:ascii="宋体" w:hAnsi="宋体"/>
                <w:b/>
                <w:bCs/>
                <w:sz w:val="24"/>
                <w:szCs w:val="24"/>
                <w:lang w:val="en-US" w:eastAsia="zh-CN"/>
              </w:rPr>
              <w:t>（2）</w:t>
            </w:r>
            <w:r>
              <w:rPr>
                <w:rFonts w:hint="eastAsia" w:ascii="宋体" w:hAnsi="宋体"/>
                <w:b/>
                <w:bCs/>
                <w:sz w:val="24"/>
                <w:szCs w:val="24"/>
                <w:lang w:val="en-US"/>
              </w:rPr>
              <w:t>.针对轮胎行业常见的经销商返利政策，公司如何避免业绩虚增或跨期调节？</w:t>
            </w:r>
            <w:r>
              <w:rPr>
                <w:rFonts w:hint="eastAsia" w:ascii="宋体" w:hAnsi="宋体"/>
                <w:b/>
                <w:bCs/>
                <w:sz w:val="24"/>
                <w:szCs w:val="24"/>
                <w:lang w:val="en-US" w:eastAsia="zh-CN"/>
              </w:rPr>
              <w:t>（3）</w:t>
            </w:r>
            <w:r>
              <w:rPr>
                <w:rFonts w:hint="eastAsia" w:ascii="宋体" w:hAnsi="宋体"/>
                <w:b/>
                <w:bCs/>
                <w:sz w:val="24"/>
                <w:szCs w:val="24"/>
                <w:lang w:val="en-US"/>
              </w:rPr>
              <w:t>.在行业竞争加剧的背景下，公司如何保持业绩增长的可持续性？独立董事对此有何监督建议？</w:t>
            </w:r>
          </w:p>
          <w:p w14:paraId="1375921D">
            <w:pPr>
              <w:pStyle w:val="14"/>
              <w:spacing w:line="460" w:lineRule="exact"/>
              <w:ind w:left="-2" w:leftChars="-1" w:firstLine="482"/>
              <w:rPr>
                <w:rFonts w:hint="eastAsia" w:ascii="宋体" w:hAnsi="宋体"/>
                <w:b w:val="0"/>
                <w:bCs w:val="0"/>
                <w:sz w:val="24"/>
                <w:szCs w:val="24"/>
                <w:lang w:val="en-US"/>
              </w:rPr>
            </w:pPr>
            <w:r>
              <w:rPr>
                <w:rFonts w:hint="eastAsia" w:ascii="宋体" w:hAnsi="宋体"/>
                <w:b w:val="0"/>
                <w:bCs w:val="0"/>
                <w:sz w:val="24"/>
                <w:szCs w:val="24"/>
                <w:lang w:val="en-US"/>
              </w:rPr>
              <w:t>答:尊敬的投资者您好！作为独立董事，本人一直严格按监管要求履行职责，每次</w:t>
            </w:r>
            <w:r>
              <w:rPr>
                <w:rFonts w:hint="eastAsia" w:ascii="宋体" w:hAnsi="宋体"/>
                <w:b w:val="0"/>
                <w:bCs w:val="0"/>
                <w:sz w:val="24"/>
                <w:szCs w:val="24"/>
                <w:lang w:val="en-US" w:eastAsia="zh-CN"/>
              </w:rPr>
              <w:t>均</w:t>
            </w:r>
            <w:r>
              <w:rPr>
                <w:rFonts w:hint="eastAsia" w:ascii="宋体" w:hAnsi="宋体"/>
                <w:b w:val="0"/>
                <w:bCs w:val="0"/>
                <w:sz w:val="24"/>
                <w:szCs w:val="24"/>
                <w:lang w:val="en-US"/>
              </w:rPr>
              <w:t>对需要独立董事发表意见或审议的事项进行认真研究，对部分事项也会要求公司管理层进行解释说明。感谢您对公司的关注。</w:t>
            </w:r>
          </w:p>
          <w:p w14:paraId="7BE6B10F">
            <w:pPr>
              <w:pStyle w:val="14"/>
              <w:spacing w:line="460" w:lineRule="exact"/>
              <w:ind w:left="-2" w:leftChars="-1" w:firstLine="482"/>
              <w:rPr>
                <w:rFonts w:hint="eastAsia" w:ascii="宋体" w:hAnsi="宋体"/>
                <w:b/>
                <w:bCs/>
                <w:sz w:val="24"/>
                <w:szCs w:val="24"/>
                <w:lang w:val="en-US"/>
              </w:rPr>
            </w:pPr>
            <w:r>
              <w:rPr>
                <w:rFonts w:hint="eastAsia" w:ascii="宋体" w:hAnsi="宋体"/>
                <w:b/>
                <w:bCs/>
                <w:sz w:val="24"/>
                <w:szCs w:val="24"/>
                <w:lang w:val="en-US"/>
              </w:rPr>
              <w:t>9、欧洲双反背景下，公司海外产能会直接收益，但国内是否面临着更激烈的竞争？目前国内产能中大概有多少比例是用于出口？谢谢！</w:t>
            </w:r>
          </w:p>
          <w:p w14:paraId="6A8C5999">
            <w:pPr>
              <w:pStyle w:val="14"/>
              <w:spacing w:line="460" w:lineRule="exact"/>
              <w:ind w:left="-2" w:leftChars="-1" w:firstLine="482"/>
              <w:rPr>
                <w:rFonts w:hint="eastAsia" w:ascii="宋体" w:hAnsi="宋体"/>
                <w:b w:val="0"/>
                <w:bCs w:val="0"/>
                <w:sz w:val="24"/>
                <w:szCs w:val="24"/>
                <w:lang w:val="en-US"/>
              </w:rPr>
            </w:pPr>
            <w:r>
              <w:rPr>
                <w:rFonts w:hint="eastAsia" w:ascii="宋体" w:hAnsi="宋体"/>
                <w:b w:val="0"/>
                <w:bCs w:val="0"/>
                <w:sz w:val="24"/>
                <w:szCs w:val="24"/>
                <w:lang w:val="en-US"/>
              </w:rPr>
              <w:t>答:尊敬的投资者您好！公司坚持全球化战略，目前公司出口欧盟的半钢胎订单已转移至海外工厂，后期政策出台对公司影响不大。目前国内生产的产品仍以出口为主。感谢您对公司的关注。</w:t>
            </w:r>
          </w:p>
          <w:p w14:paraId="16CFA00D">
            <w:pPr>
              <w:pStyle w:val="14"/>
              <w:spacing w:line="460" w:lineRule="exact"/>
              <w:ind w:left="-2" w:leftChars="-1" w:firstLine="482"/>
              <w:rPr>
                <w:rFonts w:hint="eastAsia" w:ascii="宋体" w:hAnsi="宋体"/>
                <w:b/>
                <w:bCs/>
                <w:sz w:val="24"/>
                <w:szCs w:val="24"/>
                <w:lang w:val="en-US"/>
              </w:rPr>
            </w:pPr>
            <w:r>
              <w:rPr>
                <w:rFonts w:hint="eastAsia" w:ascii="宋体" w:hAnsi="宋体"/>
                <w:b/>
                <w:bCs/>
                <w:sz w:val="24"/>
                <w:szCs w:val="24"/>
                <w:lang w:val="en-US"/>
              </w:rPr>
              <w:t>10、独立董事您好，公司加速海外布局，但面临地缘政治与运营风险。请问：</w:t>
            </w:r>
            <w:r>
              <w:rPr>
                <w:rFonts w:hint="eastAsia" w:ascii="宋体" w:hAnsi="宋体"/>
                <w:b/>
                <w:bCs/>
                <w:sz w:val="24"/>
                <w:szCs w:val="24"/>
                <w:lang w:val="en-US" w:eastAsia="zh-CN"/>
              </w:rPr>
              <w:t>（1）</w:t>
            </w:r>
            <w:r>
              <w:rPr>
                <w:rFonts w:hint="eastAsia" w:ascii="宋体" w:hAnsi="宋体"/>
                <w:b/>
                <w:bCs/>
                <w:sz w:val="24"/>
                <w:szCs w:val="24"/>
                <w:lang w:val="en-US"/>
              </w:rPr>
              <w:t>.针对埃及、墨西哥等新基地，公司是否进行了全面的风险评估（如法律、劳工、汇率等）？</w:t>
            </w:r>
            <w:r>
              <w:rPr>
                <w:rFonts w:hint="eastAsia" w:ascii="宋体" w:hAnsi="宋体"/>
                <w:b/>
                <w:bCs/>
                <w:sz w:val="24"/>
                <w:szCs w:val="24"/>
                <w:lang w:val="en-US" w:eastAsia="zh-CN"/>
              </w:rPr>
              <w:t>（2）</w:t>
            </w:r>
            <w:r>
              <w:rPr>
                <w:rFonts w:hint="eastAsia" w:ascii="宋体" w:hAnsi="宋体"/>
                <w:b/>
                <w:bCs/>
                <w:sz w:val="24"/>
                <w:szCs w:val="24"/>
                <w:lang w:val="en-US"/>
              </w:rPr>
              <w:t>.独立董事如何监督海外投资的决策流程？是否有第三方尽调或风险对冲机制？</w:t>
            </w:r>
            <w:r>
              <w:rPr>
                <w:rFonts w:hint="eastAsia" w:ascii="宋体" w:hAnsi="宋体"/>
                <w:b/>
                <w:bCs/>
                <w:sz w:val="24"/>
                <w:szCs w:val="24"/>
                <w:lang w:val="en-US" w:eastAsia="zh-CN"/>
              </w:rPr>
              <w:t>（3）</w:t>
            </w:r>
            <w:r>
              <w:rPr>
                <w:rFonts w:hint="eastAsia" w:ascii="宋体" w:hAnsi="宋体"/>
                <w:b/>
                <w:bCs/>
                <w:sz w:val="24"/>
                <w:szCs w:val="24"/>
                <w:lang w:val="en-US"/>
              </w:rPr>
              <w:t>.海外基地的运营团队是否具备本地化管理经验？如何避免文化差异带来的经营风险？</w:t>
            </w:r>
          </w:p>
          <w:p w14:paraId="2DB3A53C">
            <w:pPr>
              <w:pStyle w:val="14"/>
              <w:spacing w:line="460" w:lineRule="exact"/>
              <w:ind w:left="-2" w:leftChars="-1" w:firstLine="482"/>
              <w:rPr>
                <w:rFonts w:hint="eastAsia" w:ascii="宋体" w:hAnsi="宋体"/>
                <w:b w:val="0"/>
                <w:bCs w:val="0"/>
                <w:sz w:val="24"/>
                <w:szCs w:val="24"/>
                <w:lang w:val="en-US"/>
              </w:rPr>
            </w:pPr>
            <w:r>
              <w:rPr>
                <w:rFonts w:hint="eastAsia" w:ascii="宋体" w:hAnsi="宋体"/>
                <w:b w:val="0"/>
                <w:bCs w:val="0"/>
                <w:sz w:val="24"/>
                <w:szCs w:val="24"/>
                <w:lang w:val="en-US"/>
              </w:rPr>
              <w:t>答:尊敬的投资者您好！公司建设新工厂前均会进行详细调研，充分考虑风险后，制定相关建设计划。海外布局对公司提升全球竞争力、拓展国际市场具有重要意义。独董通过审核可行性研究报告、目标市场分析、潜在风险评估等材料，重点核查决策程序是否符合公司章程及监管规定，针对海外投资中的核心节点，提出问询。公司海外基地基本以本地化团队运营为主，感谢您对公司的关注。</w:t>
            </w:r>
          </w:p>
          <w:p w14:paraId="66094075">
            <w:pPr>
              <w:pStyle w:val="14"/>
              <w:spacing w:line="460" w:lineRule="exact"/>
              <w:ind w:left="-2" w:leftChars="-1" w:firstLine="482"/>
              <w:rPr>
                <w:rFonts w:hint="eastAsia" w:ascii="宋体" w:hAnsi="宋体"/>
                <w:b/>
                <w:bCs/>
                <w:sz w:val="24"/>
                <w:szCs w:val="24"/>
                <w:lang w:val="en-US"/>
              </w:rPr>
            </w:pPr>
            <w:r>
              <w:rPr>
                <w:rFonts w:hint="eastAsia" w:ascii="宋体" w:hAnsi="宋体"/>
                <w:b/>
                <w:bCs/>
                <w:sz w:val="24"/>
                <w:szCs w:val="24"/>
                <w:lang w:val="en-US"/>
              </w:rPr>
              <w:t>11、公司在Q3提到非公路及全钢胎需求景气，推动产品结构升级。请问：</w:t>
            </w:r>
            <w:r>
              <w:rPr>
                <w:rFonts w:hint="eastAsia" w:ascii="宋体" w:hAnsi="宋体"/>
                <w:b/>
                <w:bCs/>
                <w:sz w:val="24"/>
                <w:szCs w:val="24"/>
                <w:lang w:val="en-US" w:eastAsia="zh-CN"/>
              </w:rPr>
              <w:t>（1）</w:t>
            </w:r>
            <w:r>
              <w:rPr>
                <w:rFonts w:hint="eastAsia" w:ascii="宋体" w:hAnsi="宋体"/>
                <w:b/>
                <w:bCs/>
                <w:sz w:val="24"/>
                <w:szCs w:val="24"/>
                <w:lang w:val="en-US"/>
              </w:rPr>
              <w:t>.未来是否计划加大高毛利产品（如高端乘用车胎、特种轮胎）的研发投入？</w:t>
            </w:r>
            <w:r>
              <w:rPr>
                <w:rFonts w:hint="eastAsia" w:ascii="宋体" w:hAnsi="宋体"/>
                <w:b/>
                <w:bCs/>
                <w:sz w:val="24"/>
                <w:szCs w:val="24"/>
                <w:lang w:val="en-US" w:eastAsia="zh-CN"/>
              </w:rPr>
              <w:t>（2）</w:t>
            </w:r>
            <w:r>
              <w:rPr>
                <w:rFonts w:hint="eastAsia" w:ascii="宋体" w:hAnsi="宋体"/>
                <w:b/>
                <w:bCs/>
                <w:sz w:val="24"/>
                <w:szCs w:val="24"/>
                <w:lang w:val="en-US"/>
              </w:rPr>
              <w:t>.针对新能源汽车轮胎市场，公司有无差异化技术布局？如何应对国际巨头在该领域的竞争？</w:t>
            </w:r>
            <w:r>
              <w:rPr>
                <w:rFonts w:hint="eastAsia" w:ascii="宋体" w:hAnsi="宋体"/>
                <w:b/>
                <w:bCs/>
                <w:sz w:val="24"/>
                <w:szCs w:val="24"/>
                <w:lang w:val="en-US" w:eastAsia="zh-CN"/>
              </w:rPr>
              <w:t>（3）</w:t>
            </w:r>
            <w:r>
              <w:rPr>
                <w:rFonts w:hint="eastAsia" w:ascii="宋体" w:hAnsi="宋体"/>
                <w:b/>
                <w:bCs/>
                <w:sz w:val="24"/>
                <w:szCs w:val="24"/>
                <w:lang w:val="en-US"/>
              </w:rPr>
              <w:t>.技术创新如何支撑公司毛利率的持续提升？是否有具体的时间表或量化目标？</w:t>
            </w:r>
          </w:p>
          <w:p w14:paraId="4C86139B">
            <w:pPr>
              <w:pStyle w:val="14"/>
              <w:spacing w:line="460" w:lineRule="exact"/>
              <w:ind w:left="-2" w:leftChars="-1" w:firstLine="482"/>
              <w:rPr>
                <w:rFonts w:hint="eastAsia" w:ascii="宋体" w:hAnsi="宋体"/>
                <w:b/>
                <w:bCs/>
                <w:sz w:val="24"/>
                <w:szCs w:val="24"/>
                <w:lang w:val="en-US"/>
              </w:rPr>
            </w:pPr>
            <w:r>
              <w:rPr>
                <w:rFonts w:hint="eastAsia" w:ascii="宋体" w:hAnsi="宋体"/>
                <w:b w:val="0"/>
                <w:bCs w:val="0"/>
                <w:sz w:val="24"/>
                <w:szCs w:val="24"/>
                <w:lang w:val="en-US"/>
              </w:rPr>
              <w:t>答:尊敬的投资者您好！公司一直注重技术研发，也取得了很好的效果。公司在非公路轮胎领域持续深耕，技术研发体系成熟，目前形成了覆盖巨型工程子午胎、中小规格工程子午胎、农业子午胎、实心胎、橡胶履带等多元化产品矩阵。公司也针对新能源汽车的发展现状，推出了更适合新能源车使用的全钢、半钢和非公路轮胎产品，产品性能优异，获得了广大消费者的认可。感谢您对公司的关注。</w:t>
            </w:r>
          </w:p>
          <w:p w14:paraId="53FAA9E8">
            <w:pPr>
              <w:pStyle w:val="14"/>
              <w:spacing w:line="460" w:lineRule="exact"/>
              <w:ind w:left="-2" w:leftChars="-1" w:firstLine="482"/>
              <w:rPr>
                <w:rFonts w:hint="eastAsia" w:ascii="宋体" w:hAnsi="宋体"/>
                <w:b/>
                <w:bCs/>
                <w:sz w:val="24"/>
                <w:szCs w:val="24"/>
                <w:lang w:val="en-US"/>
              </w:rPr>
            </w:pPr>
            <w:r>
              <w:rPr>
                <w:rFonts w:hint="eastAsia" w:ascii="宋体" w:hAnsi="宋体"/>
                <w:b/>
                <w:bCs/>
                <w:sz w:val="24"/>
                <w:szCs w:val="24"/>
                <w:lang w:val="en-US"/>
              </w:rPr>
              <w:t>12、欧盟反倾销对公司有哪些不利影响？</w:t>
            </w:r>
          </w:p>
          <w:p w14:paraId="587F55C4">
            <w:pPr>
              <w:pStyle w:val="14"/>
              <w:spacing w:line="460" w:lineRule="exact"/>
              <w:ind w:left="-2" w:leftChars="-1" w:firstLine="482"/>
              <w:rPr>
                <w:rFonts w:hint="eastAsia" w:ascii="宋体" w:hAnsi="宋体"/>
                <w:b w:val="0"/>
                <w:bCs w:val="0"/>
                <w:sz w:val="24"/>
                <w:szCs w:val="24"/>
                <w:lang w:val="en-US"/>
              </w:rPr>
            </w:pPr>
            <w:r>
              <w:rPr>
                <w:rFonts w:hint="eastAsia" w:ascii="宋体" w:hAnsi="宋体"/>
                <w:b w:val="0"/>
                <w:bCs w:val="0"/>
                <w:sz w:val="24"/>
                <w:szCs w:val="24"/>
                <w:lang w:val="en-US"/>
              </w:rPr>
              <w:t>答:尊敬的投资者您好！公司坚持全球化战略，目前公司出口欧盟的半钢胎订单已转移至海外工厂，后期政策出台对公司影响不大。感谢您对公司的关注。</w:t>
            </w:r>
          </w:p>
          <w:p w14:paraId="37A61A8C">
            <w:pPr>
              <w:pStyle w:val="14"/>
              <w:spacing w:line="460" w:lineRule="exact"/>
              <w:ind w:left="-2" w:leftChars="-1" w:firstLine="482"/>
              <w:rPr>
                <w:rFonts w:hint="eastAsia" w:ascii="宋体" w:hAnsi="宋体"/>
                <w:b/>
                <w:bCs/>
                <w:sz w:val="24"/>
                <w:szCs w:val="24"/>
                <w:lang w:val="en-US"/>
              </w:rPr>
            </w:pPr>
            <w:r>
              <w:rPr>
                <w:rFonts w:hint="eastAsia" w:ascii="宋体" w:hAnsi="宋体"/>
                <w:b/>
                <w:bCs/>
                <w:sz w:val="24"/>
                <w:szCs w:val="24"/>
                <w:lang w:val="en-US"/>
              </w:rPr>
              <w:t>13、请问公司埃及项目三季度已经开工建设了吗？</w:t>
            </w:r>
          </w:p>
          <w:p w14:paraId="37788470">
            <w:pPr>
              <w:pStyle w:val="14"/>
              <w:spacing w:line="460" w:lineRule="exact"/>
              <w:ind w:left="-2" w:leftChars="-1" w:firstLine="482"/>
              <w:rPr>
                <w:rFonts w:hint="eastAsia" w:ascii="宋体" w:hAnsi="宋体"/>
                <w:b w:val="0"/>
                <w:bCs w:val="0"/>
                <w:sz w:val="24"/>
                <w:szCs w:val="24"/>
                <w:lang w:val="en-US"/>
              </w:rPr>
            </w:pPr>
            <w:r>
              <w:rPr>
                <w:rFonts w:hint="eastAsia" w:ascii="宋体" w:hAnsi="宋体"/>
                <w:b w:val="0"/>
                <w:bCs w:val="0"/>
                <w:sz w:val="24"/>
                <w:szCs w:val="24"/>
                <w:lang w:val="en-US"/>
              </w:rPr>
              <w:t>答:尊敬的投资者您好！公司埃及项目建设完成后，不仅可以满足海外市场持续增长的产品需求，更可通过在海外本地化生产提高应对国际贸易壁垒的能力，对公司提升全球竞争力、拓展国际市场具有重要意义。目前埃及项目正在按计划推进建设中，感谢您对公司的关注。</w:t>
            </w:r>
          </w:p>
          <w:p w14:paraId="35E76B39">
            <w:pPr>
              <w:pStyle w:val="14"/>
              <w:spacing w:line="460" w:lineRule="exact"/>
              <w:ind w:left="-2" w:leftChars="-1" w:firstLine="482"/>
              <w:rPr>
                <w:rFonts w:hint="eastAsia" w:ascii="宋体" w:hAnsi="宋体"/>
                <w:b/>
                <w:bCs/>
                <w:sz w:val="24"/>
                <w:szCs w:val="24"/>
                <w:lang w:val="en-US"/>
              </w:rPr>
            </w:pPr>
            <w:r>
              <w:rPr>
                <w:rFonts w:hint="eastAsia" w:ascii="宋体" w:hAnsi="宋体"/>
                <w:b/>
                <w:bCs/>
                <w:sz w:val="24"/>
                <w:szCs w:val="24"/>
                <w:lang w:val="en-US"/>
              </w:rPr>
              <w:t>14、董秘您好，2025年Q3公司应收账款同比增幅达31.87%，显著高于营收增速。请问：</w:t>
            </w:r>
            <w:r>
              <w:rPr>
                <w:rFonts w:hint="eastAsia" w:ascii="宋体" w:hAnsi="宋体"/>
                <w:b/>
                <w:bCs/>
                <w:sz w:val="24"/>
                <w:szCs w:val="24"/>
                <w:lang w:val="en-US" w:eastAsia="zh-CN"/>
              </w:rPr>
              <w:t>（1）</w:t>
            </w:r>
            <w:r>
              <w:rPr>
                <w:rFonts w:hint="eastAsia" w:ascii="宋体" w:hAnsi="宋体"/>
                <w:b/>
                <w:bCs/>
                <w:sz w:val="24"/>
                <w:szCs w:val="24"/>
                <w:lang w:val="en-US"/>
              </w:rPr>
              <w:t>.应收账款激增的主要原因是什么？（如信用政策放宽、大客户账期延长等）</w:t>
            </w:r>
            <w:r>
              <w:rPr>
                <w:rFonts w:hint="eastAsia" w:ascii="宋体" w:hAnsi="宋体"/>
                <w:b/>
                <w:bCs/>
                <w:sz w:val="24"/>
                <w:szCs w:val="24"/>
                <w:lang w:val="en-US" w:eastAsia="zh-CN"/>
              </w:rPr>
              <w:t>（2）</w:t>
            </w:r>
            <w:r>
              <w:rPr>
                <w:rFonts w:hint="eastAsia" w:ascii="宋体" w:hAnsi="宋体"/>
                <w:b/>
                <w:bCs/>
                <w:sz w:val="24"/>
                <w:szCs w:val="24"/>
                <w:lang w:val="en-US"/>
              </w:rPr>
              <w:t>.公司如何评估应收账款的回收风险？是否有针对性的催收措施或坏账计提准备？</w:t>
            </w:r>
            <w:r>
              <w:rPr>
                <w:rFonts w:hint="eastAsia" w:ascii="宋体" w:hAnsi="宋体"/>
                <w:b/>
                <w:bCs/>
                <w:sz w:val="24"/>
                <w:szCs w:val="24"/>
                <w:lang w:val="en-US" w:eastAsia="zh-CN"/>
              </w:rPr>
              <w:t>（3）</w:t>
            </w:r>
            <w:r>
              <w:rPr>
                <w:rFonts w:hint="eastAsia" w:ascii="宋体" w:hAnsi="宋体"/>
                <w:b/>
                <w:bCs/>
                <w:sz w:val="24"/>
                <w:szCs w:val="24"/>
                <w:lang w:val="en-US"/>
              </w:rPr>
              <w:t>.未来是否会调整信用政策以平衡收入增长与现金流安全？</w:t>
            </w:r>
          </w:p>
          <w:p w14:paraId="441C1B80">
            <w:pPr>
              <w:pStyle w:val="14"/>
              <w:spacing w:line="460" w:lineRule="exact"/>
              <w:ind w:left="-2" w:leftChars="-1" w:firstLine="482"/>
              <w:rPr>
                <w:rFonts w:hint="eastAsia" w:ascii="宋体" w:hAnsi="宋体"/>
                <w:b w:val="0"/>
                <w:bCs w:val="0"/>
                <w:sz w:val="24"/>
                <w:szCs w:val="24"/>
                <w:lang w:val="en-US"/>
              </w:rPr>
            </w:pPr>
            <w:r>
              <w:rPr>
                <w:rFonts w:hint="eastAsia" w:ascii="宋体" w:hAnsi="宋体"/>
                <w:b w:val="0"/>
                <w:bCs w:val="0"/>
                <w:sz w:val="24"/>
                <w:szCs w:val="24"/>
                <w:lang w:val="en-US"/>
              </w:rPr>
              <w:t>答:尊敬的投资者您好！随着公司生产规模及市场开拓成果的显现，公司近几年产品销量及营业收入保持了较高增长速度，且配套业务量增长更快，因此导致应收账款余额较期初有较大幅度增长。公司非常重视应收账款的管理，对没有相关担保措施或超出</w:t>
            </w:r>
            <w:r>
              <w:rPr>
                <w:rFonts w:hint="eastAsia" w:ascii="宋体" w:hAnsi="宋体"/>
                <w:b w:val="0"/>
                <w:bCs w:val="0"/>
                <w:sz w:val="24"/>
                <w:szCs w:val="24"/>
                <w:lang w:val="en-US" w:eastAsia="zh-CN"/>
              </w:rPr>
              <w:t>账期</w:t>
            </w:r>
            <w:r>
              <w:rPr>
                <w:rFonts w:hint="eastAsia" w:ascii="宋体" w:hAnsi="宋体"/>
                <w:b w:val="0"/>
                <w:bCs w:val="0"/>
                <w:sz w:val="24"/>
                <w:szCs w:val="24"/>
                <w:lang w:val="en-US"/>
              </w:rPr>
              <w:t>的应收账款，公司会安排专人进行管理，其结果也计入相关人员的绩效考核。感谢您对公司的关注。</w:t>
            </w:r>
          </w:p>
          <w:p w14:paraId="73EAEFF5">
            <w:pPr>
              <w:pStyle w:val="14"/>
              <w:spacing w:line="460" w:lineRule="exact"/>
              <w:ind w:left="-2" w:leftChars="-1" w:firstLine="482"/>
              <w:rPr>
                <w:rFonts w:hint="eastAsia" w:ascii="宋体" w:hAnsi="宋体"/>
                <w:b/>
                <w:bCs/>
                <w:sz w:val="24"/>
                <w:szCs w:val="24"/>
                <w:lang w:val="en-US"/>
              </w:rPr>
            </w:pPr>
            <w:r>
              <w:rPr>
                <w:rFonts w:hint="eastAsia" w:ascii="宋体" w:hAnsi="宋体"/>
                <w:b/>
                <w:bCs/>
                <w:sz w:val="24"/>
                <w:szCs w:val="24"/>
                <w:lang w:val="en-US"/>
              </w:rPr>
              <w:t>15、公司在海外产能的优势能有多大？</w:t>
            </w:r>
          </w:p>
          <w:p w14:paraId="046DB7A4">
            <w:pPr>
              <w:pStyle w:val="14"/>
              <w:spacing w:line="460" w:lineRule="exact"/>
              <w:ind w:left="-2" w:leftChars="-1" w:firstLine="482"/>
              <w:rPr>
                <w:rFonts w:hint="eastAsia" w:ascii="宋体" w:hAnsi="宋体"/>
                <w:b/>
                <w:bCs/>
                <w:sz w:val="24"/>
                <w:szCs w:val="24"/>
                <w:lang w:val="en-US"/>
              </w:rPr>
            </w:pPr>
            <w:r>
              <w:rPr>
                <w:rFonts w:hint="eastAsia" w:ascii="宋体" w:hAnsi="宋体"/>
                <w:b w:val="0"/>
                <w:bCs w:val="0"/>
                <w:sz w:val="24"/>
                <w:szCs w:val="24"/>
                <w:lang w:val="en-US"/>
              </w:rPr>
              <w:t>答:尊敬的投资者您好！公司是中国首家在海外</w:t>
            </w:r>
            <w:bookmarkStart w:id="0" w:name="_GoBack"/>
            <w:bookmarkEnd w:id="0"/>
            <w:r>
              <w:rPr>
                <w:rFonts w:hint="eastAsia" w:ascii="宋体" w:hAnsi="宋体"/>
                <w:b w:val="0"/>
                <w:bCs w:val="0"/>
                <w:sz w:val="24"/>
                <w:szCs w:val="24"/>
                <w:lang w:val="en-US"/>
              </w:rPr>
              <w:t>建厂并最早在海外多个国家拥有规模化轮胎生产基地的轮胎企业。截至目前，公司在海外共规划年生产975万条全钢子午胎、4</w:t>
            </w:r>
            <w:r>
              <w:rPr>
                <w:rFonts w:hint="eastAsia" w:ascii="宋体" w:hAnsi="宋体"/>
                <w:b w:val="0"/>
                <w:bCs w:val="0"/>
                <w:sz w:val="24"/>
                <w:szCs w:val="24"/>
                <w:lang w:val="en-US" w:eastAsia="zh-CN"/>
              </w:rPr>
              <w:t>,</w:t>
            </w:r>
            <w:r>
              <w:rPr>
                <w:rFonts w:hint="eastAsia" w:ascii="宋体" w:hAnsi="宋体"/>
                <w:b w:val="0"/>
                <w:bCs w:val="0"/>
                <w:sz w:val="24"/>
                <w:szCs w:val="24"/>
                <w:lang w:val="en-US"/>
              </w:rPr>
              <w:t>900万条半钢子午胎和13.7万吨非公路轮胎的生产能力。感谢您对公司的关注。</w:t>
            </w:r>
          </w:p>
          <w:p w14:paraId="0F482BD2">
            <w:pPr>
              <w:pStyle w:val="14"/>
              <w:spacing w:line="460" w:lineRule="exact"/>
              <w:ind w:left="-2" w:leftChars="-1" w:firstLine="482"/>
              <w:rPr>
                <w:rFonts w:hint="eastAsia" w:ascii="宋体" w:hAnsi="宋体"/>
                <w:b/>
                <w:bCs/>
                <w:sz w:val="24"/>
                <w:szCs w:val="24"/>
                <w:lang w:val="en-US"/>
              </w:rPr>
            </w:pPr>
            <w:r>
              <w:rPr>
                <w:rFonts w:hint="eastAsia" w:ascii="宋体" w:hAnsi="宋体"/>
                <w:b/>
                <w:bCs/>
                <w:sz w:val="24"/>
                <w:szCs w:val="24"/>
                <w:lang w:val="en-US"/>
              </w:rPr>
              <w:t>16、财务总监您好，Q3营收同比增长18%，但归母净利润同比下降4.71%。请问：</w:t>
            </w:r>
            <w:r>
              <w:rPr>
                <w:rFonts w:hint="eastAsia" w:ascii="宋体" w:hAnsi="宋体"/>
                <w:b/>
                <w:bCs/>
                <w:sz w:val="24"/>
                <w:szCs w:val="24"/>
                <w:lang w:val="en-US" w:eastAsia="zh-CN"/>
              </w:rPr>
              <w:t>（1）</w:t>
            </w:r>
            <w:r>
              <w:rPr>
                <w:rFonts w:hint="eastAsia" w:ascii="宋体" w:hAnsi="宋体"/>
                <w:b/>
                <w:bCs/>
                <w:sz w:val="24"/>
                <w:szCs w:val="24"/>
                <w:lang w:val="en-US"/>
              </w:rPr>
              <w:t>.利润下滑的主要原因是什么？（如原材料波动、费用率上升、海外基地初期投入等）</w:t>
            </w:r>
            <w:r>
              <w:rPr>
                <w:rFonts w:hint="eastAsia" w:ascii="宋体" w:hAnsi="宋体"/>
                <w:b/>
                <w:bCs/>
                <w:sz w:val="24"/>
                <w:szCs w:val="24"/>
                <w:lang w:val="en-US" w:eastAsia="zh-CN"/>
              </w:rPr>
              <w:t>（2）</w:t>
            </w:r>
            <w:r>
              <w:rPr>
                <w:rFonts w:hint="eastAsia" w:ascii="宋体" w:hAnsi="宋体"/>
                <w:b/>
                <w:bCs/>
                <w:sz w:val="24"/>
                <w:szCs w:val="24"/>
                <w:lang w:val="en-US"/>
              </w:rPr>
              <w:t>.公司如何应对天然橡胶等原材料价格波动？是否有套期保值等对冲手段？</w:t>
            </w:r>
            <w:r>
              <w:rPr>
                <w:rFonts w:hint="eastAsia" w:ascii="宋体" w:hAnsi="宋体"/>
                <w:b/>
                <w:bCs/>
                <w:sz w:val="24"/>
                <w:szCs w:val="24"/>
                <w:lang w:val="en-US" w:eastAsia="zh-CN"/>
              </w:rPr>
              <w:t>（3）</w:t>
            </w:r>
            <w:r>
              <w:rPr>
                <w:rFonts w:hint="eastAsia" w:ascii="宋体" w:hAnsi="宋体"/>
                <w:b/>
                <w:bCs/>
                <w:sz w:val="24"/>
                <w:szCs w:val="24"/>
                <w:lang w:val="en-US"/>
              </w:rPr>
              <w:t>.Q3毛利率环比提升0.74个百分点，但净利率仍下滑，费用率管控的具体措施是什么？未来能否实现盈利修复？</w:t>
            </w:r>
          </w:p>
          <w:p w14:paraId="33312200">
            <w:pPr>
              <w:pStyle w:val="14"/>
              <w:spacing w:line="460" w:lineRule="exact"/>
              <w:ind w:left="-2" w:leftChars="-1" w:firstLine="482"/>
              <w:rPr>
                <w:rFonts w:hint="eastAsia" w:ascii="宋体" w:hAnsi="宋体"/>
                <w:b w:val="0"/>
                <w:bCs w:val="0"/>
                <w:sz w:val="24"/>
                <w:szCs w:val="24"/>
                <w:lang w:val="en-US"/>
              </w:rPr>
            </w:pPr>
            <w:r>
              <w:rPr>
                <w:rFonts w:hint="eastAsia" w:ascii="宋体" w:hAnsi="宋体"/>
                <w:b w:val="0"/>
                <w:bCs w:val="0"/>
                <w:sz w:val="24"/>
                <w:szCs w:val="24"/>
                <w:lang w:val="en-US"/>
              </w:rPr>
              <w:t>答:尊敬的投资者您好！公司前三季度利润下降的主要原因是受外部环境的影响，部分区域产品的毛利率有所下降。公司第三季度营业收入突破100亿元，创单季度历史新高，且利润总额同比实现增长，显示外部环境对公司的负面影响正在逐步减少。公司日常会根据各类原材料的市场情况以及需求计划灵活制定具体采购策略，并综合生产成本及市场需求等因素视情况确定价格调整策略，目前尚未采取套期保值的对冲手段。公司会根据企业战略、市场环境等采取有针对性的费用管控措施，近年来，公司加大了对品牌、渠道建设等方面的投入，希望未来能够提高公司竞争力和盈利水平。感谢您对公司的关注。</w:t>
            </w:r>
          </w:p>
          <w:p w14:paraId="7A5847D6">
            <w:pPr>
              <w:pStyle w:val="14"/>
              <w:spacing w:line="460" w:lineRule="exact"/>
              <w:ind w:left="-2" w:leftChars="-1" w:firstLine="482"/>
              <w:rPr>
                <w:rFonts w:hint="eastAsia" w:ascii="宋体" w:hAnsi="宋体"/>
                <w:b/>
                <w:bCs/>
                <w:sz w:val="24"/>
                <w:szCs w:val="24"/>
                <w:lang w:val="en-US"/>
              </w:rPr>
            </w:pPr>
            <w:r>
              <w:rPr>
                <w:rFonts w:hint="eastAsia" w:ascii="宋体" w:hAnsi="宋体"/>
                <w:b/>
                <w:bCs/>
                <w:sz w:val="24"/>
                <w:szCs w:val="24"/>
                <w:lang w:val="en-US"/>
              </w:rPr>
              <w:t>17、公司液体黄金轮胎如何定价？是否受到国内轮胎“价格战”的冲击？</w:t>
            </w:r>
          </w:p>
          <w:p w14:paraId="711AF97F">
            <w:pPr>
              <w:pStyle w:val="14"/>
              <w:spacing w:line="460" w:lineRule="exact"/>
              <w:ind w:left="-2" w:leftChars="-1" w:firstLine="482"/>
              <w:rPr>
                <w:rFonts w:hint="eastAsia" w:ascii="宋体" w:hAnsi="宋体"/>
                <w:b w:val="0"/>
                <w:bCs w:val="0"/>
                <w:sz w:val="24"/>
                <w:szCs w:val="24"/>
                <w:lang w:val="en-US"/>
              </w:rPr>
            </w:pPr>
            <w:r>
              <w:rPr>
                <w:rFonts w:hint="eastAsia" w:ascii="宋体" w:hAnsi="宋体"/>
                <w:b w:val="0"/>
                <w:bCs w:val="0"/>
                <w:sz w:val="24"/>
                <w:szCs w:val="24"/>
                <w:lang w:val="en-US"/>
              </w:rPr>
              <w:t>答:尊敬的投资者您好！由于液体黄金胎在滚动阻力、抗湿滑、耐磨性等方面的性能优势，受到广大消费者的认可，液体黄金轮胎产品在国内的终端售价对标国际一线轮胎品牌。感谢您对公司的关注。</w:t>
            </w:r>
          </w:p>
          <w:p w14:paraId="70527133">
            <w:pPr>
              <w:pStyle w:val="14"/>
              <w:spacing w:line="460" w:lineRule="exact"/>
              <w:ind w:left="-2" w:leftChars="-1" w:firstLine="482"/>
              <w:rPr>
                <w:rFonts w:hint="eastAsia" w:ascii="宋体" w:hAnsi="宋体"/>
                <w:b/>
                <w:bCs/>
                <w:sz w:val="24"/>
                <w:szCs w:val="24"/>
                <w:lang w:val="en-US"/>
              </w:rPr>
            </w:pPr>
            <w:r>
              <w:rPr>
                <w:rFonts w:hint="eastAsia" w:ascii="宋体" w:hAnsi="宋体"/>
                <w:b/>
                <w:bCs/>
                <w:sz w:val="24"/>
                <w:szCs w:val="24"/>
                <w:lang w:val="en-US"/>
              </w:rPr>
              <w:t>18、请问公司印尼和墨西哥工厂三季度有产生盈利吗？今年各自能有多少产能释放？</w:t>
            </w:r>
          </w:p>
          <w:p w14:paraId="35880919">
            <w:pPr>
              <w:pStyle w:val="14"/>
              <w:spacing w:line="460" w:lineRule="exact"/>
              <w:ind w:left="-2" w:leftChars="-1" w:firstLine="482"/>
              <w:rPr>
                <w:rFonts w:hint="eastAsia" w:ascii="宋体" w:hAnsi="宋体"/>
                <w:b/>
                <w:bCs/>
                <w:sz w:val="24"/>
                <w:szCs w:val="24"/>
                <w:lang w:val="en-US"/>
              </w:rPr>
            </w:pPr>
            <w:r>
              <w:rPr>
                <w:rFonts w:hint="eastAsia" w:ascii="宋体" w:hAnsi="宋体"/>
                <w:b w:val="0"/>
                <w:bCs w:val="0"/>
                <w:sz w:val="24"/>
                <w:szCs w:val="24"/>
                <w:lang w:val="en-US"/>
              </w:rPr>
              <w:t>答:尊敬的投资者您好！公司印尼工厂及墨西哥工厂首条半钢胎已分别于5月末下线，印尼工厂首条全钢胎、非公路轮胎也于8月下线。上述两工厂的后续产能将逐步释放。感谢您对公司的关注。</w:t>
            </w:r>
          </w:p>
          <w:p w14:paraId="7043DA37">
            <w:pPr>
              <w:pStyle w:val="14"/>
              <w:spacing w:line="460" w:lineRule="exact"/>
              <w:ind w:left="-2" w:leftChars="-1" w:firstLine="482"/>
              <w:rPr>
                <w:rFonts w:hint="eastAsia" w:ascii="宋体" w:hAnsi="宋体"/>
                <w:b/>
                <w:bCs/>
                <w:sz w:val="24"/>
                <w:szCs w:val="24"/>
                <w:lang w:val="en-US"/>
              </w:rPr>
            </w:pPr>
            <w:r>
              <w:rPr>
                <w:rFonts w:hint="eastAsia" w:ascii="宋体" w:hAnsi="宋体"/>
                <w:b/>
                <w:bCs/>
                <w:sz w:val="24"/>
                <w:szCs w:val="24"/>
                <w:lang w:val="en-US"/>
              </w:rPr>
              <w:t>19、如今国产新能源高性能车越来越多，公司有没有相应的计划来与车厂合作推出高性能轮胎，目前有哪些产品？另外海外的赛车氛围浓郁需求也大，公司在海外的高性能轮胎业务目前进展如何了？</w:t>
            </w:r>
          </w:p>
          <w:p w14:paraId="7E23C231">
            <w:pPr>
              <w:pStyle w:val="14"/>
              <w:spacing w:line="460" w:lineRule="exact"/>
              <w:ind w:left="-2" w:leftChars="-1" w:firstLine="482"/>
              <w:rPr>
                <w:rFonts w:hint="eastAsia" w:ascii="宋体" w:hAnsi="宋体"/>
                <w:b w:val="0"/>
                <w:bCs w:val="0"/>
                <w:sz w:val="24"/>
                <w:szCs w:val="24"/>
                <w:lang w:val="en-US"/>
              </w:rPr>
            </w:pPr>
            <w:r>
              <w:rPr>
                <w:rFonts w:hint="eastAsia" w:ascii="宋体" w:hAnsi="宋体"/>
                <w:b w:val="0"/>
                <w:bCs w:val="0"/>
                <w:sz w:val="24"/>
                <w:szCs w:val="24"/>
                <w:lang w:val="en-US"/>
              </w:rPr>
              <w:t>答:尊敬的投资者您好！公司自2017年推出赛车轮胎以来，凭借优异的产品性能，获得了多项汽车赛事荣誉。公司与小米汽车合作开发的适用于SU7 Ultra的赛道高性能轮胎PT01上架“小米有品”商城，并助力小米汽车成为北京易车金港、上海天马及宁波国际赛车场、厦门国际赛车场的最速四门量产车；公司赛车轮胎首次登陆欧洲赛事，助力“中国制造”车队取得良好成绩；公司成为丰田GR86 Cup中国挑战赛2025赛季唯一指定轮胎供应商；公司热熔胎2025年再次为F4方程式中国锦标赛提供支持，首站即刷新赛道纪录；公司轮胎亮相纽博格林24小时耐力赛，助力“全华班”阵容斩获佳绩；公司TERRAMAX RT越野胎成为“2025环塔拉力赛”长城汽车、郑州日产车队的官方指定用胎，助力车队取得了优异成绩。未来，公司会持续推进赛车轮胎相关业务，并希望借此提升公司品牌形象及竞争力。感谢您对公司的关注。</w:t>
            </w:r>
          </w:p>
          <w:p w14:paraId="4A5592C3">
            <w:pPr>
              <w:pStyle w:val="14"/>
              <w:spacing w:line="460" w:lineRule="exact"/>
              <w:ind w:left="-2" w:leftChars="-1" w:firstLine="482"/>
              <w:rPr>
                <w:rFonts w:hint="eastAsia" w:ascii="宋体" w:hAnsi="宋体"/>
                <w:b/>
                <w:bCs/>
                <w:sz w:val="24"/>
                <w:szCs w:val="24"/>
                <w:lang w:val="en-US"/>
              </w:rPr>
            </w:pPr>
            <w:r>
              <w:rPr>
                <w:rFonts w:hint="eastAsia" w:ascii="宋体" w:hAnsi="宋体"/>
                <w:b/>
                <w:bCs/>
                <w:sz w:val="24"/>
                <w:szCs w:val="24"/>
                <w:lang w:val="en-US"/>
              </w:rPr>
              <w:t>20、请问2026年和2027年计划投产的产能有哪些？以及董家口项目的进展及投产时间？谢谢！</w:t>
            </w:r>
          </w:p>
          <w:p w14:paraId="1506CBA5">
            <w:pPr>
              <w:pStyle w:val="14"/>
              <w:spacing w:line="460" w:lineRule="exact"/>
              <w:ind w:left="-2" w:leftChars="-1" w:firstLine="482"/>
              <w:rPr>
                <w:rFonts w:hint="eastAsia" w:ascii="宋体" w:hAnsi="宋体"/>
                <w:b w:val="0"/>
                <w:bCs w:val="0"/>
                <w:sz w:val="24"/>
                <w:szCs w:val="24"/>
                <w:lang w:val="en-US"/>
              </w:rPr>
            </w:pPr>
            <w:r>
              <w:rPr>
                <w:rFonts w:hint="eastAsia" w:ascii="宋体" w:hAnsi="宋体"/>
                <w:b w:val="0"/>
                <w:bCs w:val="0"/>
                <w:sz w:val="24"/>
                <w:szCs w:val="24"/>
                <w:lang w:val="en-US"/>
              </w:rPr>
              <w:t>答:尊敬的投资者您好！公司今年投入运营的项目主要包括柬埔寨全钢扩建及印尼、墨西哥工厂项目。明年，除前述项目的轮胎产能逐步提升外，埃及工厂及赛轮新和平工厂也计划投入运营。董家口的功能新材料项目目前正在建设中，原计划建设的董家口轮胎项目的一部分目前正在进行建设前的审批工作，计划在审批完成后启动建设。感谢您对公司的关注。</w:t>
            </w:r>
          </w:p>
          <w:p w14:paraId="2BC253A7">
            <w:pPr>
              <w:pStyle w:val="14"/>
              <w:spacing w:line="460" w:lineRule="exact"/>
              <w:ind w:left="-2" w:leftChars="-1" w:firstLine="482"/>
              <w:rPr>
                <w:rFonts w:hint="eastAsia" w:ascii="宋体" w:hAnsi="宋体"/>
                <w:b/>
                <w:bCs/>
                <w:sz w:val="24"/>
                <w:szCs w:val="24"/>
                <w:lang w:val="en-US"/>
              </w:rPr>
            </w:pPr>
            <w:r>
              <w:rPr>
                <w:rFonts w:hint="eastAsia" w:ascii="宋体" w:hAnsi="宋体"/>
                <w:b/>
                <w:bCs/>
                <w:sz w:val="24"/>
                <w:szCs w:val="24"/>
                <w:lang w:val="en-US"/>
              </w:rPr>
              <w:t>21、公司前三季度销售费用是多少？主要用在哪方面了？</w:t>
            </w:r>
          </w:p>
          <w:p w14:paraId="72D2EA6C">
            <w:pPr>
              <w:pStyle w:val="14"/>
              <w:spacing w:line="460" w:lineRule="exact"/>
              <w:ind w:left="-2" w:leftChars="-1" w:firstLine="482"/>
              <w:rPr>
                <w:rFonts w:hint="eastAsia" w:ascii="宋体" w:hAnsi="宋体"/>
                <w:b w:val="0"/>
                <w:bCs w:val="0"/>
                <w:sz w:val="24"/>
                <w:szCs w:val="24"/>
                <w:lang w:val="en-US"/>
              </w:rPr>
            </w:pPr>
            <w:r>
              <w:rPr>
                <w:rFonts w:hint="eastAsia" w:ascii="宋体" w:hAnsi="宋体"/>
                <w:b w:val="0"/>
                <w:bCs w:val="0"/>
                <w:sz w:val="24"/>
                <w:szCs w:val="24"/>
                <w:lang w:val="en-US"/>
              </w:rPr>
              <w:t>答:尊敬的投资者您好！前三季度，公司根据企业发展战略及市场实际情况不断加大市场推广力度，提升公司品牌认知度，销售费用13.37亿元，同比增长19.03%，销售费用占营业收入的比例约为4.85%，较去年同期变动不大。感谢您对公司的关注。</w:t>
            </w:r>
          </w:p>
          <w:p w14:paraId="63298266">
            <w:pPr>
              <w:pStyle w:val="14"/>
              <w:spacing w:line="460" w:lineRule="exact"/>
              <w:ind w:left="-2" w:leftChars="-1" w:firstLine="482"/>
              <w:rPr>
                <w:rFonts w:hint="eastAsia" w:ascii="宋体" w:hAnsi="宋体"/>
                <w:b/>
                <w:bCs/>
                <w:sz w:val="24"/>
                <w:szCs w:val="24"/>
                <w:lang w:val="en-US"/>
              </w:rPr>
            </w:pPr>
            <w:r>
              <w:rPr>
                <w:rFonts w:hint="eastAsia" w:ascii="宋体" w:hAnsi="宋体"/>
                <w:b/>
                <w:bCs/>
                <w:sz w:val="24"/>
                <w:szCs w:val="24"/>
                <w:lang w:val="en-US"/>
              </w:rPr>
              <w:t>22、请问公司三季度产品单价增长的主要原因是什么？</w:t>
            </w:r>
          </w:p>
          <w:p w14:paraId="642D5116">
            <w:pPr>
              <w:pStyle w:val="14"/>
              <w:spacing w:line="460" w:lineRule="exact"/>
              <w:ind w:left="-2" w:leftChars="-1" w:firstLine="482"/>
              <w:rPr>
                <w:rFonts w:hint="eastAsia" w:ascii="宋体" w:hAnsi="宋体"/>
                <w:b w:val="0"/>
                <w:bCs w:val="0"/>
                <w:sz w:val="24"/>
                <w:szCs w:val="24"/>
                <w:lang w:val="en-US"/>
              </w:rPr>
            </w:pPr>
            <w:r>
              <w:rPr>
                <w:rFonts w:hint="eastAsia" w:ascii="宋体" w:hAnsi="宋体"/>
                <w:b w:val="0"/>
                <w:bCs w:val="0"/>
                <w:sz w:val="24"/>
                <w:szCs w:val="24"/>
                <w:lang w:val="en-US"/>
              </w:rPr>
              <w:t>答:尊敬的投资者您好！公司对外销售的轮胎产品包括全钢胎、半钢胎和非公路轮胎，每类轮胎产品的平均单价差异较大。根据公司报表收入及轮胎总销量计算的“轮胎平均价格”波动的主要原因是不同类别轮胎的销量占比有所变化。感谢您对公司的关注。</w:t>
            </w:r>
          </w:p>
          <w:p w14:paraId="25FDFEA5">
            <w:pPr>
              <w:pStyle w:val="14"/>
              <w:spacing w:line="460" w:lineRule="exact"/>
              <w:ind w:left="-2" w:leftChars="-1" w:firstLine="482"/>
              <w:rPr>
                <w:rFonts w:hint="eastAsia" w:ascii="宋体" w:hAnsi="宋体"/>
                <w:b/>
                <w:bCs/>
                <w:sz w:val="24"/>
                <w:szCs w:val="24"/>
                <w:lang w:val="en-US"/>
              </w:rPr>
            </w:pPr>
            <w:r>
              <w:rPr>
                <w:rFonts w:hint="eastAsia" w:ascii="宋体" w:hAnsi="宋体"/>
                <w:b/>
                <w:bCs/>
                <w:sz w:val="24"/>
                <w:szCs w:val="24"/>
                <w:lang w:val="en-US"/>
              </w:rPr>
              <w:t>23、请问公司目前都在哪些新能源车企里面配套？</w:t>
            </w:r>
          </w:p>
          <w:p w14:paraId="0C45ED64">
            <w:pPr>
              <w:pStyle w:val="14"/>
              <w:spacing w:line="460" w:lineRule="exact"/>
              <w:ind w:left="-2" w:leftChars="-1" w:firstLine="482"/>
              <w:rPr>
                <w:rFonts w:hint="eastAsia" w:ascii="宋体" w:hAnsi="宋体"/>
                <w:b w:val="0"/>
                <w:bCs w:val="0"/>
                <w:sz w:val="24"/>
                <w:szCs w:val="24"/>
                <w:lang w:val="en-US"/>
              </w:rPr>
            </w:pPr>
            <w:r>
              <w:rPr>
                <w:rFonts w:hint="eastAsia" w:ascii="宋体" w:hAnsi="宋体"/>
                <w:b w:val="0"/>
                <w:bCs w:val="0"/>
                <w:sz w:val="24"/>
                <w:szCs w:val="24"/>
                <w:lang w:val="en-US"/>
              </w:rPr>
              <w:t>答:尊敬的投资者您好！公司目前已配套比亚迪、吉利、蔚来、长安、越南VinFast等多家国内外新能源汽车企业。公司未来将不断推进与现有及其他优势车企的合作。感谢您对公司的关注。</w:t>
            </w:r>
          </w:p>
          <w:p w14:paraId="4650155B">
            <w:pPr>
              <w:pStyle w:val="14"/>
              <w:spacing w:line="460" w:lineRule="exact"/>
              <w:ind w:left="-2" w:leftChars="-1" w:firstLine="482"/>
              <w:rPr>
                <w:rFonts w:hint="eastAsia" w:ascii="宋体" w:hAnsi="宋体"/>
                <w:b/>
                <w:bCs/>
                <w:sz w:val="24"/>
                <w:szCs w:val="24"/>
                <w:lang w:val="en-US"/>
              </w:rPr>
            </w:pPr>
            <w:r>
              <w:rPr>
                <w:rFonts w:hint="eastAsia" w:ascii="宋体" w:hAnsi="宋体"/>
                <w:b/>
                <w:bCs/>
                <w:sz w:val="24"/>
                <w:szCs w:val="24"/>
                <w:lang w:val="en-US"/>
              </w:rPr>
              <w:t>24、三季度原材料价格下行对公司盈利推动大吗？</w:t>
            </w:r>
          </w:p>
          <w:p w14:paraId="105E63E9">
            <w:pPr>
              <w:pStyle w:val="14"/>
              <w:spacing w:line="460" w:lineRule="exact"/>
              <w:ind w:left="-2" w:leftChars="-1" w:firstLine="482"/>
              <w:rPr>
                <w:rFonts w:hint="eastAsia" w:ascii="宋体" w:hAnsi="宋体"/>
                <w:b/>
                <w:bCs/>
                <w:sz w:val="24"/>
                <w:szCs w:val="24"/>
                <w:lang w:val="en-US"/>
              </w:rPr>
            </w:pPr>
            <w:r>
              <w:rPr>
                <w:rFonts w:hint="eastAsia" w:ascii="宋体" w:hAnsi="宋体"/>
                <w:b w:val="0"/>
                <w:bCs w:val="0"/>
                <w:sz w:val="24"/>
                <w:szCs w:val="24"/>
                <w:lang w:val="en-US"/>
              </w:rPr>
              <w:t>答:尊敬的投资者您好！今年三季度轮胎原材料价格整体低位震荡，有利于降低公司原材料成本及提升公司盈利空间。感谢您对公司的关注。</w:t>
            </w:r>
          </w:p>
          <w:p w14:paraId="57DBE5AB">
            <w:pPr>
              <w:pStyle w:val="14"/>
              <w:spacing w:line="460" w:lineRule="exact"/>
              <w:ind w:left="-2" w:leftChars="-1" w:firstLine="482"/>
              <w:rPr>
                <w:rFonts w:hint="eastAsia" w:ascii="宋体" w:hAnsi="宋体"/>
                <w:b/>
                <w:bCs/>
                <w:sz w:val="24"/>
                <w:szCs w:val="24"/>
                <w:lang w:val="en-US"/>
              </w:rPr>
            </w:pPr>
            <w:r>
              <w:rPr>
                <w:rFonts w:hint="eastAsia" w:ascii="宋体" w:hAnsi="宋体"/>
                <w:b/>
                <w:bCs/>
                <w:sz w:val="24"/>
                <w:szCs w:val="24"/>
                <w:lang w:val="en-US"/>
              </w:rPr>
              <w:t>25、公司对原材料如何进行管理？</w:t>
            </w:r>
          </w:p>
          <w:p w14:paraId="37095476">
            <w:pPr>
              <w:pStyle w:val="14"/>
              <w:spacing w:line="460" w:lineRule="exact"/>
              <w:ind w:left="-2" w:leftChars="-1" w:firstLine="482"/>
              <w:rPr>
                <w:rFonts w:hint="eastAsia" w:ascii="宋体" w:hAnsi="宋体"/>
                <w:b w:val="0"/>
                <w:bCs w:val="0"/>
                <w:sz w:val="24"/>
                <w:szCs w:val="24"/>
                <w:lang w:val="en-US"/>
              </w:rPr>
            </w:pPr>
            <w:r>
              <w:rPr>
                <w:rFonts w:hint="eastAsia" w:ascii="宋体" w:hAnsi="宋体"/>
                <w:b w:val="0"/>
                <w:bCs w:val="0"/>
                <w:sz w:val="24"/>
                <w:szCs w:val="24"/>
                <w:lang w:val="en-US"/>
              </w:rPr>
              <w:t>答:尊敬的投资者您好！公司日常会根据各类原材料的市场情况以及需求计划灵活制定具体采购策略，并综合生产成本及市场需求等因素视情况确定价格调整策略，以尽量减少原材料价格波动对公司带来的不利影响。感谢您对公司的关注。</w:t>
            </w:r>
          </w:p>
          <w:p w14:paraId="466AA8EE">
            <w:pPr>
              <w:pStyle w:val="14"/>
              <w:spacing w:line="460" w:lineRule="exact"/>
              <w:ind w:left="-2" w:leftChars="-1" w:firstLine="482"/>
              <w:rPr>
                <w:rFonts w:hint="eastAsia" w:ascii="宋体" w:hAnsi="宋体"/>
                <w:b/>
                <w:bCs/>
                <w:sz w:val="24"/>
                <w:szCs w:val="24"/>
                <w:lang w:val="en-US"/>
              </w:rPr>
            </w:pPr>
            <w:r>
              <w:rPr>
                <w:rFonts w:hint="eastAsia" w:ascii="宋体" w:hAnsi="宋体"/>
                <w:b/>
                <w:bCs/>
                <w:sz w:val="24"/>
                <w:szCs w:val="24"/>
                <w:lang w:val="en-US"/>
              </w:rPr>
              <w:t>26、麻烦领导介绍下公司三季度经营情况，谢谢。</w:t>
            </w:r>
          </w:p>
          <w:p w14:paraId="64B35213">
            <w:pPr>
              <w:pStyle w:val="14"/>
              <w:spacing w:line="460" w:lineRule="exact"/>
              <w:ind w:left="-2" w:leftChars="-1" w:firstLine="482"/>
              <w:rPr>
                <w:rFonts w:hint="eastAsia" w:ascii="宋体" w:hAnsi="宋体"/>
                <w:b w:val="0"/>
                <w:bCs w:val="0"/>
                <w:sz w:val="24"/>
                <w:szCs w:val="24"/>
                <w:lang w:val="en-US"/>
              </w:rPr>
            </w:pPr>
            <w:r>
              <w:rPr>
                <w:rFonts w:hint="eastAsia" w:ascii="宋体" w:hAnsi="宋体"/>
                <w:b w:val="0"/>
                <w:bCs w:val="0"/>
                <w:sz w:val="24"/>
                <w:szCs w:val="24"/>
                <w:lang w:val="en-US"/>
              </w:rPr>
              <w:t>答:尊敬的投资者您好！公司前三季度的轮胎产量、轮胎销量及营业收入均创历史同期新高。公司开发的多款产品在知名赛事及测试中取得好成绩；推出的液体黄金轮胎时尚系列、长途干线物流专用胎、低滚阻节油胎、液体黄金缺气保用胎等创新产品进一步完善了产品布局；公司非公路轮胎持续深化与矿企、工程机械企业的业务合作，协同效应持续释放，助力公司在国际市场的竞争力与影响力不断增强。同时，公司加快推进数字化转型，打造以用户为中心的营销全链路数字生态，通过持续优化用户体验与业务流程，不断提升运营效率，增强用户粘性与品牌综合影响力。通过举办主题宣传活动、参与高端赛事及行业展会等多维度举措加码品牌建设。根据Brand Finance品牌价值评估机构发布的“2025年全球最具价值轮胎品牌榜单”，公司位列第10位，为中国最具价值的轮胎品牌；公司品牌价值位居世界品牌实验室发布的2025年度“中国500最具价值品牌”榜单第105位，品牌价值连续八年持续提升；5月，在北京举办的“2025品牌日商标品牌发展会议”上，公司旗下SAILUN、MAXAM两大品牌被认定为“AAA（全国级）知名商标品牌”，公司也成为首个获此认定的轮胎企业。感谢您对公司的关注。</w:t>
            </w:r>
          </w:p>
          <w:p w14:paraId="1DE0B2E9">
            <w:pPr>
              <w:pStyle w:val="14"/>
              <w:spacing w:line="460" w:lineRule="exact"/>
              <w:ind w:left="-2" w:leftChars="-1" w:firstLine="480"/>
              <w:rPr>
                <w:rFonts w:hint="default" w:ascii="宋体" w:hAnsi="宋体"/>
                <w:sz w:val="24"/>
                <w:szCs w:val="24"/>
                <w:lang w:val="en-US" w:eastAsia="zh-CN"/>
              </w:rPr>
            </w:pPr>
          </w:p>
        </w:tc>
      </w:tr>
      <w:tr w14:paraId="5ACFC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vAlign w:val="center"/>
          </w:tcPr>
          <w:p w14:paraId="67CDFBD6">
            <w:pPr>
              <w:spacing w:line="420" w:lineRule="exact"/>
              <w:rPr>
                <w:rFonts w:hAnsi="宋体"/>
                <w:bCs/>
                <w:iCs/>
                <w:color w:val="000000"/>
                <w:kern w:val="0"/>
                <w:sz w:val="24"/>
              </w:rPr>
            </w:pPr>
            <w:r>
              <w:rPr>
                <w:rFonts w:hint="eastAsia" w:hAnsi="宋体"/>
                <w:bCs/>
                <w:iCs/>
                <w:color w:val="000000"/>
                <w:kern w:val="0"/>
                <w:sz w:val="24"/>
              </w:rPr>
              <w:t>关于本次活动是否涉及应披露重大信息的说明</w:t>
            </w:r>
          </w:p>
        </w:tc>
        <w:tc>
          <w:tcPr>
            <w:tcW w:w="7159" w:type="dxa"/>
            <w:tcBorders>
              <w:top w:val="single" w:color="auto" w:sz="4" w:space="0"/>
              <w:left w:val="single" w:color="auto" w:sz="4" w:space="0"/>
              <w:bottom w:val="single" w:color="auto" w:sz="4" w:space="0"/>
              <w:right w:val="single" w:color="auto" w:sz="4" w:space="0"/>
            </w:tcBorders>
          </w:tcPr>
          <w:p w14:paraId="13A4F2A8">
            <w:pPr>
              <w:pStyle w:val="14"/>
              <w:spacing w:line="460" w:lineRule="exact"/>
              <w:ind w:firstLine="0" w:firstLineChars="0"/>
              <w:rPr>
                <w:rFonts w:ascii="宋体" w:hAnsi="宋体"/>
                <w:sz w:val="24"/>
                <w:szCs w:val="24"/>
              </w:rPr>
            </w:pPr>
            <w:r>
              <w:rPr>
                <w:rFonts w:hint="eastAsia" w:ascii="宋体" w:hAnsi="宋体"/>
                <w:sz w:val="24"/>
                <w:szCs w:val="24"/>
              </w:rPr>
              <w:t>无</w:t>
            </w:r>
          </w:p>
        </w:tc>
      </w:tr>
      <w:tr w14:paraId="3237C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vAlign w:val="center"/>
          </w:tcPr>
          <w:p w14:paraId="512D1ACF">
            <w:pPr>
              <w:spacing w:line="420" w:lineRule="exact"/>
              <w:rPr>
                <w:bCs/>
                <w:iCs/>
                <w:color w:val="000000"/>
                <w:kern w:val="0"/>
                <w:sz w:val="24"/>
              </w:rPr>
            </w:pPr>
            <w:r>
              <w:rPr>
                <w:rFonts w:hAnsi="宋体"/>
                <w:bCs/>
                <w:iCs/>
                <w:color w:val="000000"/>
                <w:kern w:val="0"/>
                <w:sz w:val="24"/>
              </w:rPr>
              <w:t>附件清单（如有）</w:t>
            </w:r>
          </w:p>
        </w:tc>
        <w:tc>
          <w:tcPr>
            <w:tcW w:w="7159" w:type="dxa"/>
            <w:tcBorders>
              <w:top w:val="single" w:color="auto" w:sz="4" w:space="0"/>
              <w:left w:val="single" w:color="auto" w:sz="4" w:space="0"/>
              <w:bottom w:val="single" w:color="auto" w:sz="4" w:space="0"/>
              <w:right w:val="single" w:color="auto" w:sz="4" w:space="0"/>
            </w:tcBorders>
          </w:tcPr>
          <w:p w14:paraId="350BCF43">
            <w:pPr>
              <w:spacing w:line="420" w:lineRule="exact"/>
              <w:rPr>
                <w:bCs/>
                <w:iCs/>
                <w:color w:val="000000"/>
                <w:sz w:val="24"/>
              </w:rPr>
            </w:pPr>
            <w:r>
              <w:rPr>
                <w:rFonts w:hint="eastAsia"/>
                <w:bCs/>
                <w:iCs/>
                <w:color w:val="000000"/>
                <w:sz w:val="24"/>
              </w:rPr>
              <w:t>无</w:t>
            </w:r>
          </w:p>
        </w:tc>
      </w:tr>
    </w:tbl>
    <w:p w14:paraId="2D680576"/>
    <w:sectPr>
      <w:headerReference r:id="rId3" w:type="default"/>
      <w:footerReference r:id="rId4" w:type="default"/>
      <w:pgSz w:w="11906" w:h="16838"/>
      <w:pgMar w:top="1418" w:right="1418"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4D0318">
    <w:pPr>
      <w:pStyle w:val="4"/>
      <w:jc w:val="right"/>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5224DD">
    <w:pPr>
      <w:pStyle w:val="5"/>
      <w:pBdr>
        <w:bottom w:val="none" w:color="auto" w:sz="0" w:space="0"/>
      </w:pBdr>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61C7"/>
    <w:rsid w:val="000268C0"/>
    <w:rsid w:val="000363B5"/>
    <w:rsid w:val="000375D7"/>
    <w:rsid w:val="00043015"/>
    <w:rsid w:val="00046DDE"/>
    <w:rsid w:val="00047EB9"/>
    <w:rsid w:val="00060A74"/>
    <w:rsid w:val="00067110"/>
    <w:rsid w:val="00090A08"/>
    <w:rsid w:val="0009298A"/>
    <w:rsid w:val="000A2808"/>
    <w:rsid w:val="000A3BAC"/>
    <w:rsid w:val="000C26FD"/>
    <w:rsid w:val="000C2D85"/>
    <w:rsid w:val="000E5700"/>
    <w:rsid w:val="000F0C4B"/>
    <w:rsid w:val="000F0E22"/>
    <w:rsid w:val="00105A04"/>
    <w:rsid w:val="001169A9"/>
    <w:rsid w:val="00125EB2"/>
    <w:rsid w:val="00142A4C"/>
    <w:rsid w:val="00144279"/>
    <w:rsid w:val="001452FF"/>
    <w:rsid w:val="001514AB"/>
    <w:rsid w:val="00164F36"/>
    <w:rsid w:val="0016617A"/>
    <w:rsid w:val="00167E99"/>
    <w:rsid w:val="0017500C"/>
    <w:rsid w:val="001975AB"/>
    <w:rsid w:val="001A00F5"/>
    <w:rsid w:val="001A1F65"/>
    <w:rsid w:val="001A5CE9"/>
    <w:rsid w:val="001C50AD"/>
    <w:rsid w:val="001C53CF"/>
    <w:rsid w:val="001D22EE"/>
    <w:rsid w:val="001D4C89"/>
    <w:rsid w:val="001E1838"/>
    <w:rsid w:val="001E3145"/>
    <w:rsid w:val="001E6509"/>
    <w:rsid w:val="001E7968"/>
    <w:rsid w:val="001F34CD"/>
    <w:rsid w:val="0021223F"/>
    <w:rsid w:val="0022180A"/>
    <w:rsid w:val="00223ABC"/>
    <w:rsid w:val="002241B9"/>
    <w:rsid w:val="002274D9"/>
    <w:rsid w:val="0023455A"/>
    <w:rsid w:val="00237994"/>
    <w:rsid w:val="00250810"/>
    <w:rsid w:val="00251D58"/>
    <w:rsid w:val="002530EE"/>
    <w:rsid w:val="002549E6"/>
    <w:rsid w:val="00256602"/>
    <w:rsid w:val="0026685A"/>
    <w:rsid w:val="00271C8D"/>
    <w:rsid w:val="00273B53"/>
    <w:rsid w:val="002774F7"/>
    <w:rsid w:val="0028080C"/>
    <w:rsid w:val="00295257"/>
    <w:rsid w:val="00297703"/>
    <w:rsid w:val="002A0826"/>
    <w:rsid w:val="002A0984"/>
    <w:rsid w:val="002A589B"/>
    <w:rsid w:val="002A5CE1"/>
    <w:rsid w:val="002B1184"/>
    <w:rsid w:val="002B71B8"/>
    <w:rsid w:val="002B7469"/>
    <w:rsid w:val="002C22C6"/>
    <w:rsid w:val="002C23FC"/>
    <w:rsid w:val="002C6568"/>
    <w:rsid w:val="002C723B"/>
    <w:rsid w:val="002D2151"/>
    <w:rsid w:val="002D39BC"/>
    <w:rsid w:val="002D5E38"/>
    <w:rsid w:val="002E1B15"/>
    <w:rsid w:val="002E1D3A"/>
    <w:rsid w:val="003005F0"/>
    <w:rsid w:val="00300E73"/>
    <w:rsid w:val="003030BF"/>
    <w:rsid w:val="00304F89"/>
    <w:rsid w:val="00306023"/>
    <w:rsid w:val="00327D5D"/>
    <w:rsid w:val="00344914"/>
    <w:rsid w:val="00346917"/>
    <w:rsid w:val="00354A7B"/>
    <w:rsid w:val="00360FDA"/>
    <w:rsid w:val="00363075"/>
    <w:rsid w:val="00367D18"/>
    <w:rsid w:val="00372A1C"/>
    <w:rsid w:val="0037435A"/>
    <w:rsid w:val="00377D8F"/>
    <w:rsid w:val="00383679"/>
    <w:rsid w:val="003A1E68"/>
    <w:rsid w:val="003B0122"/>
    <w:rsid w:val="003B0BE5"/>
    <w:rsid w:val="003D18F1"/>
    <w:rsid w:val="003E001E"/>
    <w:rsid w:val="003F7C4D"/>
    <w:rsid w:val="0040075F"/>
    <w:rsid w:val="00403300"/>
    <w:rsid w:val="004118C0"/>
    <w:rsid w:val="00417A31"/>
    <w:rsid w:val="0042004B"/>
    <w:rsid w:val="00433384"/>
    <w:rsid w:val="0043777D"/>
    <w:rsid w:val="0045767F"/>
    <w:rsid w:val="00463E9B"/>
    <w:rsid w:val="00467414"/>
    <w:rsid w:val="004713D3"/>
    <w:rsid w:val="00473F30"/>
    <w:rsid w:val="0048591A"/>
    <w:rsid w:val="00486D86"/>
    <w:rsid w:val="0048721A"/>
    <w:rsid w:val="004A0BD5"/>
    <w:rsid w:val="004A1BBF"/>
    <w:rsid w:val="004A73E5"/>
    <w:rsid w:val="004C19BF"/>
    <w:rsid w:val="004D7640"/>
    <w:rsid w:val="004E1A9B"/>
    <w:rsid w:val="00500AB6"/>
    <w:rsid w:val="005155FB"/>
    <w:rsid w:val="00523907"/>
    <w:rsid w:val="00533D7F"/>
    <w:rsid w:val="00537C53"/>
    <w:rsid w:val="005438F5"/>
    <w:rsid w:val="00544901"/>
    <w:rsid w:val="005474D3"/>
    <w:rsid w:val="00550737"/>
    <w:rsid w:val="00555DD2"/>
    <w:rsid w:val="00565ED9"/>
    <w:rsid w:val="005760C6"/>
    <w:rsid w:val="00585A1B"/>
    <w:rsid w:val="00591260"/>
    <w:rsid w:val="00591314"/>
    <w:rsid w:val="00593D40"/>
    <w:rsid w:val="00595F1B"/>
    <w:rsid w:val="005A3BE0"/>
    <w:rsid w:val="005B1026"/>
    <w:rsid w:val="005B642F"/>
    <w:rsid w:val="005C04C1"/>
    <w:rsid w:val="005C1785"/>
    <w:rsid w:val="005D2D87"/>
    <w:rsid w:val="005D6A09"/>
    <w:rsid w:val="005E2B4B"/>
    <w:rsid w:val="005E5F63"/>
    <w:rsid w:val="005E6BA1"/>
    <w:rsid w:val="0060779A"/>
    <w:rsid w:val="00617A62"/>
    <w:rsid w:val="00622F13"/>
    <w:rsid w:val="00625503"/>
    <w:rsid w:val="0062662D"/>
    <w:rsid w:val="00632E78"/>
    <w:rsid w:val="006344F1"/>
    <w:rsid w:val="00637186"/>
    <w:rsid w:val="00641810"/>
    <w:rsid w:val="00645D80"/>
    <w:rsid w:val="00646DF4"/>
    <w:rsid w:val="00651DE6"/>
    <w:rsid w:val="006523BB"/>
    <w:rsid w:val="00652928"/>
    <w:rsid w:val="0065347E"/>
    <w:rsid w:val="00654B49"/>
    <w:rsid w:val="00662505"/>
    <w:rsid w:val="00664538"/>
    <w:rsid w:val="0066674C"/>
    <w:rsid w:val="006760F7"/>
    <w:rsid w:val="00682777"/>
    <w:rsid w:val="006861C7"/>
    <w:rsid w:val="00686DDF"/>
    <w:rsid w:val="00697B12"/>
    <w:rsid w:val="006A55BB"/>
    <w:rsid w:val="006A7613"/>
    <w:rsid w:val="006B661A"/>
    <w:rsid w:val="006B7D00"/>
    <w:rsid w:val="006B7EA0"/>
    <w:rsid w:val="006C6BC5"/>
    <w:rsid w:val="006D61A2"/>
    <w:rsid w:val="006E1DB4"/>
    <w:rsid w:val="00714059"/>
    <w:rsid w:val="00716833"/>
    <w:rsid w:val="00723BFA"/>
    <w:rsid w:val="00726DC9"/>
    <w:rsid w:val="00753DB6"/>
    <w:rsid w:val="00763847"/>
    <w:rsid w:val="00771FE3"/>
    <w:rsid w:val="00776BDE"/>
    <w:rsid w:val="007816EC"/>
    <w:rsid w:val="00786870"/>
    <w:rsid w:val="00792237"/>
    <w:rsid w:val="0079272A"/>
    <w:rsid w:val="00794A1A"/>
    <w:rsid w:val="007A1DA9"/>
    <w:rsid w:val="007B2252"/>
    <w:rsid w:val="007B79D9"/>
    <w:rsid w:val="007C67B1"/>
    <w:rsid w:val="007D3272"/>
    <w:rsid w:val="007E354A"/>
    <w:rsid w:val="007E69C8"/>
    <w:rsid w:val="0080525B"/>
    <w:rsid w:val="008062C5"/>
    <w:rsid w:val="0080741A"/>
    <w:rsid w:val="00814B5B"/>
    <w:rsid w:val="00836F34"/>
    <w:rsid w:val="00843E73"/>
    <w:rsid w:val="00844EBF"/>
    <w:rsid w:val="00854F61"/>
    <w:rsid w:val="0086193F"/>
    <w:rsid w:val="00864202"/>
    <w:rsid w:val="00873B59"/>
    <w:rsid w:val="0087701F"/>
    <w:rsid w:val="0089283D"/>
    <w:rsid w:val="00893108"/>
    <w:rsid w:val="008A0ADC"/>
    <w:rsid w:val="008A1BAB"/>
    <w:rsid w:val="008B38B7"/>
    <w:rsid w:val="008B458E"/>
    <w:rsid w:val="008C4D4A"/>
    <w:rsid w:val="008D14CC"/>
    <w:rsid w:val="008E11AE"/>
    <w:rsid w:val="008E1708"/>
    <w:rsid w:val="008E1E3A"/>
    <w:rsid w:val="008E4844"/>
    <w:rsid w:val="00904492"/>
    <w:rsid w:val="00904DFB"/>
    <w:rsid w:val="0091457B"/>
    <w:rsid w:val="00923763"/>
    <w:rsid w:val="00930C19"/>
    <w:rsid w:val="00930ED6"/>
    <w:rsid w:val="0093293F"/>
    <w:rsid w:val="00933105"/>
    <w:rsid w:val="00944147"/>
    <w:rsid w:val="009474EF"/>
    <w:rsid w:val="00962626"/>
    <w:rsid w:val="00975657"/>
    <w:rsid w:val="009767DD"/>
    <w:rsid w:val="00977AF2"/>
    <w:rsid w:val="00985FC5"/>
    <w:rsid w:val="00993BDD"/>
    <w:rsid w:val="009A6DFB"/>
    <w:rsid w:val="009B6EC0"/>
    <w:rsid w:val="009C7FAF"/>
    <w:rsid w:val="009D4199"/>
    <w:rsid w:val="009E5E6A"/>
    <w:rsid w:val="009F0DD5"/>
    <w:rsid w:val="009F1B95"/>
    <w:rsid w:val="009F6C05"/>
    <w:rsid w:val="00A12C73"/>
    <w:rsid w:val="00A13CB6"/>
    <w:rsid w:val="00A14A1A"/>
    <w:rsid w:val="00A22CDD"/>
    <w:rsid w:val="00A25AEE"/>
    <w:rsid w:val="00A31EB1"/>
    <w:rsid w:val="00A33AEA"/>
    <w:rsid w:val="00A3668F"/>
    <w:rsid w:val="00A43D62"/>
    <w:rsid w:val="00A461CD"/>
    <w:rsid w:val="00A469C5"/>
    <w:rsid w:val="00A5317D"/>
    <w:rsid w:val="00A6284E"/>
    <w:rsid w:val="00A63E81"/>
    <w:rsid w:val="00A8775A"/>
    <w:rsid w:val="00AA5998"/>
    <w:rsid w:val="00AB07E7"/>
    <w:rsid w:val="00AD1BA8"/>
    <w:rsid w:val="00AE49A4"/>
    <w:rsid w:val="00B02A29"/>
    <w:rsid w:val="00B03522"/>
    <w:rsid w:val="00B04AD6"/>
    <w:rsid w:val="00B14CAA"/>
    <w:rsid w:val="00B24C80"/>
    <w:rsid w:val="00B257CE"/>
    <w:rsid w:val="00B377C1"/>
    <w:rsid w:val="00B4746C"/>
    <w:rsid w:val="00B65354"/>
    <w:rsid w:val="00B71A0E"/>
    <w:rsid w:val="00B80C24"/>
    <w:rsid w:val="00B81765"/>
    <w:rsid w:val="00B832F5"/>
    <w:rsid w:val="00BA2FAB"/>
    <w:rsid w:val="00BB5E28"/>
    <w:rsid w:val="00BC7AD1"/>
    <w:rsid w:val="00BD15F3"/>
    <w:rsid w:val="00BD7986"/>
    <w:rsid w:val="00BD79D3"/>
    <w:rsid w:val="00C01D49"/>
    <w:rsid w:val="00C04F82"/>
    <w:rsid w:val="00C15AC0"/>
    <w:rsid w:val="00C26030"/>
    <w:rsid w:val="00C41091"/>
    <w:rsid w:val="00C45222"/>
    <w:rsid w:val="00C63056"/>
    <w:rsid w:val="00C661D1"/>
    <w:rsid w:val="00C735E6"/>
    <w:rsid w:val="00C73E0A"/>
    <w:rsid w:val="00C753D3"/>
    <w:rsid w:val="00C775BA"/>
    <w:rsid w:val="00C85331"/>
    <w:rsid w:val="00C85A50"/>
    <w:rsid w:val="00C94D46"/>
    <w:rsid w:val="00CA443A"/>
    <w:rsid w:val="00CB2461"/>
    <w:rsid w:val="00CB37FD"/>
    <w:rsid w:val="00CC4D65"/>
    <w:rsid w:val="00CC61E7"/>
    <w:rsid w:val="00CD25AD"/>
    <w:rsid w:val="00CD3FFC"/>
    <w:rsid w:val="00CF565C"/>
    <w:rsid w:val="00D016A3"/>
    <w:rsid w:val="00D31004"/>
    <w:rsid w:val="00D512E3"/>
    <w:rsid w:val="00D602C9"/>
    <w:rsid w:val="00D659D1"/>
    <w:rsid w:val="00DA26A9"/>
    <w:rsid w:val="00DB01FF"/>
    <w:rsid w:val="00DC7778"/>
    <w:rsid w:val="00DD594E"/>
    <w:rsid w:val="00DE7391"/>
    <w:rsid w:val="00DF2DB5"/>
    <w:rsid w:val="00DF361E"/>
    <w:rsid w:val="00DF6560"/>
    <w:rsid w:val="00E04CC0"/>
    <w:rsid w:val="00E136FF"/>
    <w:rsid w:val="00E32528"/>
    <w:rsid w:val="00E33E9C"/>
    <w:rsid w:val="00E35F26"/>
    <w:rsid w:val="00E51C50"/>
    <w:rsid w:val="00E53165"/>
    <w:rsid w:val="00E61EF7"/>
    <w:rsid w:val="00E663B4"/>
    <w:rsid w:val="00E80CEB"/>
    <w:rsid w:val="00E971F4"/>
    <w:rsid w:val="00EA5103"/>
    <w:rsid w:val="00EA6FB9"/>
    <w:rsid w:val="00EB5E6A"/>
    <w:rsid w:val="00EC2AD7"/>
    <w:rsid w:val="00ED7DE0"/>
    <w:rsid w:val="00EE3956"/>
    <w:rsid w:val="00EE7891"/>
    <w:rsid w:val="00EF49FE"/>
    <w:rsid w:val="00EF5341"/>
    <w:rsid w:val="00F00714"/>
    <w:rsid w:val="00F04908"/>
    <w:rsid w:val="00F07C21"/>
    <w:rsid w:val="00F12EF6"/>
    <w:rsid w:val="00F21065"/>
    <w:rsid w:val="00F24311"/>
    <w:rsid w:val="00F24CB4"/>
    <w:rsid w:val="00F43465"/>
    <w:rsid w:val="00F45475"/>
    <w:rsid w:val="00F64E72"/>
    <w:rsid w:val="00F70C7D"/>
    <w:rsid w:val="00F9272E"/>
    <w:rsid w:val="00F95565"/>
    <w:rsid w:val="00F97743"/>
    <w:rsid w:val="00FA64EF"/>
    <w:rsid w:val="00FA6DAF"/>
    <w:rsid w:val="00FC6884"/>
    <w:rsid w:val="00FE62F3"/>
    <w:rsid w:val="00FF71D2"/>
    <w:rsid w:val="014E47A4"/>
    <w:rsid w:val="02F43955"/>
    <w:rsid w:val="03872335"/>
    <w:rsid w:val="04CD4E0D"/>
    <w:rsid w:val="04E5152E"/>
    <w:rsid w:val="053F335C"/>
    <w:rsid w:val="05F30D52"/>
    <w:rsid w:val="07E84685"/>
    <w:rsid w:val="07F43921"/>
    <w:rsid w:val="0837350B"/>
    <w:rsid w:val="08582CB3"/>
    <w:rsid w:val="08964C8B"/>
    <w:rsid w:val="08E5231F"/>
    <w:rsid w:val="090360D7"/>
    <w:rsid w:val="093D3C5E"/>
    <w:rsid w:val="099B29F9"/>
    <w:rsid w:val="0A63192C"/>
    <w:rsid w:val="0B832A83"/>
    <w:rsid w:val="0BC07254"/>
    <w:rsid w:val="0C493B9B"/>
    <w:rsid w:val="0C93758E"/>
    <w:rsid w:val="0D4D0B5F"/>
    <w:rsid w:val="0D4D2354"/>
    <w:rsid w:val="0D4F550D"/>
    <w:rsid w:val="0DC47F11"/>
    <w:rsid w:val="0E1D5BD4"/>
    <w:rsid w:val="0E207A31"/>
    <w:rsid w:val="0FD733BC"/>
    <w:rsid w:val="10A61842"/>
    <w:rsid w:val="110F4875"/>
    <w:rsid w:val="112047F6"/>
    <w:rsid w:val="12DF0C65"/>
    <w:rsid w:val="13313537"/>
    <w:rsid w:val="13706BF0"/>
    <w:rsid w:val="13C4450D"/>
    <w:rsid w:val="141B6967"/>
    <w:rsid w:val="147565DF"/>
    <w:rsid w:val="14E70151"/>
    <w:rsid w:val="15B8001E"/>
    <w:rsid w:val="16975FB0"/>
    <w:rsid w:val="17B3729E"/>
    <w:rsid w:val="17E96DCA"/>
    <w:rsid w:val="180F7009"/>
    <w:rsid w:val="18D93A98"/>
    <w:rsid w:val="19277BC7"/>
    <w:rsid w:val="19E37083"/>
    <w:rsid w:val="1A442861"/>
    <w:rsid w:val="1A816DFF"/>
    <w:rsid w:val="1B1D2492"/>
    <w:rsid w:val="1B2418A5"/>
    <w:rsid w:val="1B263D19"/>
    <w:rsid w:val="1E1A6F96"/>
    <w:rsid w:val="1FBFC074"/>
    <w:rsid w:val="204B02F6"/>
    <w:rsid w:val="2052439D"/>
    <w:rsid w:val="210D0846"/>
    <w:rsid w:val="22B65ABC"/>
    <w:rsid w:val="241C2252"/>
    <w:rsid w:val="244A38CE"/>
    <w:rsid w:val="24E80350"/>
    <w:rsid w:val="25AC38D5"/>
    <w:rsid w:val="261D2E7F"/>
    <w:rsid w:val="26492CDC"/>
    <w:rsid w:val="26C339D5"/>
    <w:rsid w:val="27486743"/>
    <w:rsid w:val="27E94D39"/>
    <w:rsid w:val="27FC492A"/>
    <w:rsid w:val="28B03A1C"/>
    <w:rsid w:val="29167E25"/>
    <w:rsid w:val="293272A7"/>
    <w:rsid w:val="299F65D6"/>
    <w:rsid w:val="29A71DB7"/>
    <w:rsid w:val="29AC03B5"/>
    <w:rsid w:val="29FA2D3E"/>
    <w:rsid w:val="2A9422A9"/>
    <w:rsid w:val="2B620922"/>
    <w:rsid w:val="2B734E9D"/>
    <w:rsid w:val="2BA7533C"/>
    <w:rsid w:val="2C177530"/>
    <w:rsid w:val="2C253D8E"/>
    <w:rsid w:val="2CAC29D6"/>
    <w:rsid w:val="2CF14F20"/>
    <w:rsid w:val="2E256BC7"/>
    <w:rsid w:val="2E592F1A"/>
    <w:rsid w:val="2EF06807"/>
    <w:rsid w:val="2F3A1C8E"/>
    <w:rsid w:val="2F8A1FFE"/>
    <w:rsid w:val="2FF91C3F"/>
    <w:rsid w:val="31B85A3E"/>
    <w:rsid w:val="31F54A45"/>
    <w:rsid w:val="31FD161E"/>
    <w:rsid w:val="327645E7"/>
    <w:rsid w:val="32CC663E"/>
    <w:rsid w:val="33645CC3"/>
    <w:rsid w:val="33F42C7F"/>
    <w:rsid w:val="3488335F"/>
    <w:rsid w:val="349E052A"/>
    <w:rsid w:val="34FD33C1"/>
    <w:rsid w:val="35415B1D"/>
    <w:rsid w:val="35426BF9"/>
    <w:rsid w:val="359B46F3"/>
    <w:rsid w:val="35B61405"/>
    <w:rsid w:val="35DC7F6D"/>
    <w:rsid w:val="36160449"/>
    <w:rsid w:val="36FB9E1F"/>
    <w:rsid w:val="36FC5627"/>
    <w:rsid w:val="3741073C"/>
    <w:rsid w:val="381D5949"/>
    <w:rsid w:val="382D4178"/>
    <w:rsid w:val="38DA69D3"/>
    <w:rsid w:val="39590076"/>
    <w:rsid w:val="39C443D2"/>
    <w:rsid w:val="3AE95412"/>
    <w:rsid w:val="3B517531"/>
    <w:rsid w:val="3BFA3B96"/>
    <w:rsid w:val="3CE226B1"/>
    <w:rsid w:val="3CEF3472"/>
    <w:rsid w:val="3D834ACE"/>
    <w:rsid w:val="3E86281D"/>
    <w:rsid w:val="3EFF16E9"/>
    <w:rsid w:val="3F6825F3"/>
    <w:rsid w:val="3F7D54CC"/>
    <w:rsid w:val="419210A2"/>
    <w:rsid w:val="42AE4D6A"/>
    <w:rsid w:val="43FB5176"/>
    <w:rsid w:val="448156A1"/>
    <w:rsid w:val="450A4511"/>
    <w:rsid w:val="45811178"/>
    <w:rsid w:val="46947ED0"/>
    <w:rsid w:val="478712AE"/>
    <w:rsid w:val="48146B7F"/>
    <w:rsid w:val="490B575C"/>
    <w:rsid w:val="499D4576"/>
    <w:rsid w:val="4AD9315C"/>
    <w:rsid w:val="4B0D7215"/>
    <w:rsid w:val="4B0F5A0D"/>
    <w:rsid w:val="4DE91E71"/>
    <w:rsid w:val="4DED77C2"/>
    <w:rsid w:val="4E2F3499"/>
    <w:rsid w:val="4EBA27E3"/>
    <w:rsid w:val="4F9323C9"/>
    <w:rsid w:val="50E41142"/>
    <w:rsid w:val="515458B0"/>
    <w:rsid w:val="51915D53"/>
    <w:rsid w:val="51F4195F"/>
    <w:rsid w:val="53BF706C"/>
    <w:rsid w:val="54346D39"/>
    <w:rsid w:val="549338FF"/>
    <w:rsid w:val="54994F4D"/>
    <w:rsid w:val="55286314"/>
    <w:rsid w:val="56611B3C"/>
    <w:rsid w:val="56D604B0"/>
    <w:rsid w:val="57AA7B05"/>
    <w:rsid w:val="57E4165B"/>
    <w:rsid w:val="581157B6"/>
    <w:rsid w:val="592C42F5"/>
    <w:rsid w:val="59E542B1"/>
    <w:rsid w:val="5A604790"/>
    <w:rsid w:val="5A650D5A"/>
    <w:rsid w:val="5B7A4104"/>
    <w:rsid w:val="5B7E2B2B"/>
    <w:rsid w:val="5C26156B"/>
    <w:rsid w:val="5CAA57DD"/>
    <w:rsid w:val="5CBC0AC3"/>
    <w:rsid w:val="5CD76845"/>
    <w:rsid w:val="5D350B78"/>
    <w:rsid w:val="5D3A0B7D"/>
    <w:rsid w:val="5D464695"/>
    <w:rsid w:val="5DAE4E34"/>
    <w:rsid w:val="5DD82899"/>
    <w:rsid w:val="5F314559"/>
    <w:rsid w:val="5FE72FC9"/>
    <w:rsid w:val="601257DB"/>
    <w:rsid w:val="60D46992"/>
    <w:rsid w:val="61D01DD2"/>
    <w:rsid w:val="6207294A"/>
    <w:rsid w:val="62500F3A"/>
    <w:rsid w:val="62D83CB7"/>
    <w:rsid w:val="63C7659C"/>
    <w:rsid w:val="646C3068"/>
    <w:rsid w:val="64BA262A"/>
    <w:rsid w:val="64CC5BCB"/>
    <w:rsid w:val="653A410A"/>
    <w:rsid w:val="657E5B22"/>
    <w:rsid w:val="66AA5270"/>
    <w:rsid w:val="67587146"/>
    <w:rsid w:val="683A2C86"/>
    <w:rsid w:val="686C45DD"/>
    <w:rsid w:val="68751207"/>
    <w:rsid w:val="68D56618"/>
    <w:rsid w:val="6ADE0725"/>
    <w:rsid w:val="6B527023"/>
    <w:rsid w:val="6B925083"/>
    <w:rsid w:val="6BFA733C"/>
    <w:rsid w:val="6C737CFB"/>
    <w:rsid w:val="6E072310"/>
    <w:rsid w:val="6EA665E1"/>
    <w:rsid w:val="6EDD17F3"/>
    <w:rsid w:val="6F2871E3"/>
    <w:rsid w:val="70236471"/>
    <w:rsid w:val="70426DA6"/>
    <w:rsid w:val="70766666"/>
    <w:rsid w:val="71333506"/>
    <w:rsid w:val="718D24AC"/>
    <w:rsid w:val="71905711"/>
    <w:rsid w:val="728B6EC5"/>
    <w:rsid w:val="734E202F"/>
    <w:rsid w:val="7468238A"/>
    <w:rsid w:val="74E03D43"/>
    <w:rsid w:val="755F2B0A"/>
    <w:rsid w:val="75760AE5"/>
    <w:rsid w:val="75F436FE"/>
    <w:rsid w:val="77CF73AC"/>
    <w:rsid w:val="78FF0116"/>
    <w:rsid w:val="79B24925"/>
    <w:rsid w:val="7A3157EF"/>
    <w:rsid w:val="7C656439"/>
    <w:rsid w:val="7CD96954"/>
    <w:rsid w:val="7D3B6687"/>
    <w:rsid w:val="7D5E7E3F"/>
    <w:rsid w:val="7DD84285"/>
    <w:rsid w:val="7E2471D6"/>
    <w:rsid w:val="7E737D25"/>
    <w:rsid w:val="B7DDD54D"/>
    <w:rsid w:val="E3FFE6ED"/>
    <w:rsid w:val="F5DB8A63"/>
    <w:rsid w:val="F797912E"/>
    <w:rsid w:val="FE7B48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semiHidden="0" w:name="Hyperlink"/>
    <w:lsdException w:qFormat="1"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21"/>
    <w:unhideWhenUsed/>
    <w:qFormat/>
    <w:uiPriority w:val="0"/>
    <w:pPr>
      <w:jc w:val="left"/>
    </w:pPr>
  </w:style>
  <w:style w:type="paragraph" w:styleId="3">
    <w:name w:val="Balloon Text"/>
    <w:basedOn w:val="1"/>
    <w:link w:val="20"/>
    <w:qFormat/>
    <w:uiPriority w:val="0"/>
    <w:rPr>
      <w:sz w:val="18"/>
      <w:szCs w:val="18"/>
    </w:rPr>
  </w:style>
  <w:style w:type="paragraph" w:styleId="4">
    <w:name w:val="footer"/>
    <w:basedOn w:val="1"/>
    <w:link w:val="18"/>
    <w:qFormat/>
    <w:uiPriority w:val="0"/>
    <w:pPr>
      <w:tabs>
        <w:tab w:val="center" w:pos="4153"/>
        <w:tab w:val="right" w:pos="8306"/>
      </w:tabs>
      <w:snapToGrid w:val="0"/>
      <w:jc w:val="left"/>
    </w:pPr>
    <w:rPr>
      <w:sz w:val="18"/>
      <w:szCs w:val="18"/>
    </w:rPr>
  </w:style>
  <w:style w:type="paragraph" w:styleId="5">
    <w:name w:val="header"/>
    <w:basedOn w:val="1"/>
    <w:link w:val="19"/>
    <w:qFormat/>
    <w:uiPriority w:val="0"/>
    <w:pPr>
      <w:pBdr>
        <w:bottom w:val="single" w:color="auto" w:sz="6" w:space="1"/>
      </w:pBdr>
      <w:tabs>
        <w:tab w:val="center" w:pos="4153"/>
        <w:tab w:val="right" w:pos="8306"/>
      </w:tabs>
      <w:snapToGrid w:val="0"/>
      <w:jc w:val="center"/>
    </w:pPr>
    <w:rPr>
      <w:sz w:val="18"/>
      <w:szCs w:val="18"/>
    </w:r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7">
    <w:name w:val="annotation subject"/>
    <w:basedOn w:val="2"/>
    <w:next w:val="2"/>
    <w:link w:val="22"/>
    <w:semiHidden/>
    <w:unhideWhenUsed/>
    <w:qFormat/>
    <w:uiPriority w:val="0"/>
    <w:rPr>
      <w:b/>
      <w:bCs/>
    </w:rPr>
  </w:style>
  <w:style w:type="table" w:styleId="9">
    <w:name w:val="Table Grid"/>
    <w:basedOn w:val="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1">
    <w:name w:val="FollowedHyperlink"/>
    <w:basedOn w:val="10"/>
    <w:semiHidden/>
    <w:unhideWhenUsed/>
    <w:qFormat/>
    <w:uiPriority w:val="0"/>
    <w:rPr>
      <w:color w:val="800080" w:themeColor="followedHyperlink"/>
      <w:u w:val="single"/>
      <w14:textFill>
        <w14:solidFill>
          <w14:schemeClr w14:val="folHlink"/>
        </w14:solidFill>
      </w14:textFill>
    </w:rPr>
  </w:style>
  <w:style w:type="character" w:styleId="12">
    <w:name w:val="Hyperlink"/>
    <w:basedOn w:val="10"/>
    <w:unhideWhenUsed/>
    <w:qFormat/>
    <w:uiPriority w:val="0"/>
    <w:rPr>
      <w:color w:val="0000FF" w:themeColor="hyperlink"/>
      <w:u w:val="single"/>
      <w14:textFill>
        <w14:solidFill>
          <w14:schemeClr w14:val="hlink"/>
        </w14:solidFill>
      </w14:textFill>
    </w:rPr>
  </w:style>
  <w:style w:type="character" w:styleId="13">
    <w:name w:val="annotation reference"/>
    <w:basedOn w:val="10"/>
    <w:semiHidden/>
    <w:unhideWhenUsed/>
    <w:qFormat/>
    <w:uiPriority w:val="0"/>
    <w:rPr>
      <w:sz w:val="21"/>
      <w:szCs w:val="21"/>
    </w:rPr>
  </w:style>
  <w:style w:type="paragraph" w:customStyle="1" w:styleId="14">
    <w:name w:val="_Style 6"/>
    <w:basedOn w:val="1"/>
    <w:qFormat/>
    <w:uiPriority w:val="34"/>
    <w:pPr>
      <w:ind w:firstLine="420" w:firstLineChars="200"/>
    </w:pPr>
    <w:rPr>
      <w:rFonts w:ascii="Calibri" w:hAnsi="Calibri"/>
      <w:szCs w:val="22"/>
    </w:rPr>
  </w:style>
  <w:style w:type="paragraph" w:customStyle="1" w:styleId="15">
    <w:name w:val="Char Char Char"/>
    <w:basedOn w:val="1"/>
    <w:qFormat/>
    <w:uiPriority w:val="0"/>
    <w:rPr>
      <w:szCs w:val="21"/>
    </w:rPr>
  </w:style>
  <w:style w:type="paragraph" w:customStyle="1" w:styleId="16">
    <w:name w:val="Char Char Char Char Char Char Char Char Char Char Char Char Char Char Char Char"/>
    <w:basedOn w:val="1"/>
    <w:qFormat/>
    <w:uiPriority w:val="0"/>
  </w:style>
  <w:style w:type="paragraph" w:customStyle="1" w:styleId="17">
    <w:name w:val="Char Char Char1"/>
    <w:basedOn w:val="1"/>
    <w:qFormat/>
    <w:uiPriority w:val="0"/>
  </w:style>
  <w:style w:type="character" w:customStyle="1" w:styleId="18">
    <w:name w:val="页脚 字符"/>
    <w:basedOn w:val="10"/>
    <w:link w:val="4"/>
    <w:qFormat/>
    <w:uiPriority w:val="0"/>
    <w:rPr>
      <w:kern w:val="2"/>
      <w:sz w:val="18"/>
      <w:szCs w:val="18"/>
    </w:rPr>
  </w:style>
  <w:style w:type="character" w:customStyle="1" w:styleId="19">
    <w:name w:val="页眉 字符"/>
    <w:basedOn w:val="10"/>
    <w:link w:val="5"/>
    <w:qFormat/>
    <w:uiPriority w:val="0"/>
    <w:rPr>
      <w:kern w:val="2"/>
      <w:sz w:val="18"/>
      <w:szCs w:val="18"/>
    </w:rPr>
  </w:style>
  <w:style w:type="character" w:customStyle="1" w:styleId="20">
    <w:name w:val="批注框文本 字符"/>
    <w:basedOn w:val="10"/>
    <w:link w:val="3"/>
    <w:qFormat/>
    <w:uiPriority w:val="0"/>
    <w:rPr>
      <w:kern w:val="2"/>
      <w:sz w:val="18"/>
      <w:szCs w:val="18"/>
    </w:rPr>
  </w:style>
  <w:style w:type="character" w:customStyle="1" w:styleId="21">
    <w:name w:val="批注文字 字符"/>
    <w:basedOn w:val="10"/>
    <w:link w:val="2"/>
    <w:qFormat/>
    <w:uiPriority w:val="0"/>
    <w:rPr>
      <w:kern w:val="2"/>
      <w:sz w:val="21"/>
      <w:szCs w:val="24"/>
    </w:rPr>
  </w:style>
  <w:style w:type="character" w:customStyle="1" w:styleId="22">
    <w:name w:val="批注主题 字符"/>
    <w:basedOn w:val="21"/>
    <w:link w:val="7"/>
    <w:semiHidden/>
    <w:qFormat/>
    <w:uiPriority w:val="0"/>
    <w:rPr>
      <w:b/>
      <w:bCs/>
      <w:kern w:val="2"/>
      <w:sz w:val="21"/>
      <w:szCs w:val="24"/>
    </w:rPr>
  </w:style>
  <w:style w:type="paragraph" w:styleId="2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9</Pages>
  <Words>428</Words>
  <Characters>2444</Characters>
  <Lines>20</Lines>
  <Paragraphs>5</Paragraphs>
  <TotalTime>8</TotalTime>
  <ScaleCrop>false</ScaleCrop>
  <LinksUpToDate>false</LinksUpToDate>
  <CharactersWithSpaces>2867</CharactersWithSpaces>
  <Application>WPS Office_12.8.2.21549_F1E327BC-269C-435d-A152-05C5408002CA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2025-04-30T03:49:00Z</dcterms:created>
  <dc:creator>微软用户</dc:creator>
  <cp:lastModifiedBy>lei.qu</cp:lastModifiedBy>
  <cp:lastPrinted>2014-02-21T05:34:00Z</cp:lastPrinted>
  <dcterms:modified xsi:type="dcterms:W3CDTF">2025-11-04T08:50:15Z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2052-12.8.2.21549</vt:lpwstr>
  </property>
  <property fmtid="{D5CDD505-2E9C-101B-9397-08002B2CF9AE}" pid="3" name="ICV">
    <vt:lpwstr>551BA10BE3E44B739D75810B8C83C31F</vt:lpwstr>
  </property>
</Properties>
</file>