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32EC" w:rsidRDefault="007F678D">
      <w:pPr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公司</w:t>
      </w:r>
      <w:r>
        <w:rPr>
          <w:rFonts w:ascii="宋体" w:hAnsi="宋体"/>
          <w:bCs/>
          <w:sz w:val="24"/>
        </w:rPr>
        <w:t>代码：</w:t>
      </w:r>
      <w:r>
        <w:rPr>
          <w:bCs/>
          <w:sz w:val="24"/>
        </w:rPr>
        <w:t xml:space="preserve">688278    </w:t>
      </w:r>
      <w:r>
        <w:rPr>
          <w:rFonts w:ascii="宋体" w:hAnsi="宋体"/>
          <w:bCs/>
          <w:sz w:val="24"/>
        </w:rPr>
        <w:t xml:space="preserve">                     </w:t>
      </w:r>
      <w:r>
        <w:rPr>
          <w:bCs/>
          <w:sz w:val="24"/>
        </w:rPr>
        <w:t xml:space="preserve">         </w:t>
      </w:r>
      <w:r>
        <w:rPr>
          <w:rFonts w:ascii="宋体" w:hAnsi="宋体" w:hint="eastAsia"/>
          <w:bCs/>
          <w:sz w:val="24"/>
        </w:rPr>
        <w:t>公司简称：</w:t>
      </w:r>
      <w:proofErr w:type="gramStart"/>
      <w:r>
        <w:rPr>
          <w:rFonts w:ascii="宋体" w:hAnsi="宋体"/>
          <w:bCs/>
          <w:sz w:val="24"/>
        </w:rPr>
        <w:t>特宝生物</w:t>
      </w:r>
      <w:proofErr w:type="gramEnd"/>
    </w:p>
    <w:p w:rsidR="005332EC" w:rsidRDefault="005332EC"/>
    <w:p w:rsidR="005332EC" w:rsidRDefault="005332EC"/>
    <w:p w:rsidR="005332EC" w:rsidRDefault="005332EC"/>
    <w:p w:rsidR="005332EC" w:rsidRDefault="005332EC"/>
    <w:p w:rsidR="005332EC" w:rsidRDefault="005332EC"/>
    <w:p w:rsidR="005332EC" w:rsidRDefault="005332EC"/>
    <w:p w:rsidR="005332EC" w:rsidRDefault="005332EC"/>
    <w:p w:rsidR="005332EC" w:rsidRDefault="005332EC"/>
    <w:p w:rsidR="005332EC" w:rsidRDefault="007F678D">
      <w:pPr>
        <w:autoSpaceDE w:val="0"/>
        <w:autoSpaceDN w:val="0"/>
        <w:adjustRightInd w:val="0"/>
        <w:spacing w:beforeLines="50" w:before="156" w:afterLines="50" w:after="156" w:line="720" w:lineRule="exact"/>
        <w:jc w:val="center"/>
        <w:rPr>
          <w:rFonts w:ascii="黑体" w:eastAsia="黑体" w:hAnsi="黑体" w:cs="黑体"/>
          <w:color w:val="000000"/>
          <w:kern w:val="0"/>
          <w:sz w:val="48"/>
          <w:szCs w:val="48"/>
        </w:rPr>
      </w:pPr>
      <w:r>
        <w:rPr>
          <w:rFonts w:ascii="黑体" w:eastAsia="黑体" w:hAnsi="黑体" w:cs="黑体" w:hint="eastAsia"/>
          <w:color w:val="000000"/>
          <w:kern w:val="0"/>
          <w:sz w:val="48"/>
          <w:szCs w:val="48"/>
        </w:rPr>
        <w:t>厦门特宝生物工程股份有限公司</w:t>
      </w:r>
    </w:p>
    <w:p w:rsidR="005332EC" w:rsidRDefault="007F678D">
      <w:pPr>
        <w:autoSpaceDE w:val="0"/>
        <w:autoSpaceDN w:val="0"/>
        <w:adjustRightInd w:val="0"/>
        <w:spacing w:beforeLines="50" w:before="156" w:afterLines="50" w:after="156" w:line="720" w:lineRule="exact"/>
        <w:jc w:val="center"/>
        <w:rPr>
          <w:rFonts w:ascii="黑体" w:eastAsia="黑体" w:hAnsi="黑体" w:cs="黑体"/>
          <w:color w:val="000000"/>
          <w:sz w:val="48"/>
          <w:szCs w:val="48"/>
        </w:rPr>
      </w:pPr>
      <w:r>
        <w:rPr>
          <w:rFonts w:ascii="黑体" w:eastAsia="黑体" w:hAnsi="黑体" w:cs="黑体" w:hint="eastAsia"/>
          <w:color w:val="000000"/>
          <w:kern w:val="0"/>
          <w:sz w:val="48"/>
          <w:szCs w:val="48"/>
        </w:rPr>
        <w:t>投资者关系活动记录表</w:t>
      </w:r>
    </w:p>
    <w:p w:rsidR="005332EC" w:rsidRDefault="007F678D">
      <w:pPr>
        <w:autoSpaceDE w:val="0"/>
        <w:autoSpaceDN w:val="0"/>
        <w:adjustRightInd w:val="0"/>
        <w:spacing w:beforeLines="50" w:before="156" w:afterLines="50" w:after="156" w:line="720" w:lineRule="exact"/>
        <w:ind w:rightChars="-24" w:right="-50"/>
        <w:jc w:val="center"/>
        <w:rPr>
          <w:rFonts w:eastAsia="黑体"/>
          <w:color w:val="000000"/>
          <w:sz w:val="44"/>
          <w:szCs w:val="34"/>
        </w:rPr>
      </w:pPr>
      <w:r>
        <w:rPr>
          <w:rFonts w:eastAsia="黑体" w:hint="eastAsia"/>
          <w:color w:val="000000"/>
          <w:sz w:val="44"/>
          <w:szCs w:val="34"/>
        </w:rPr>
        <w:t>（</w:t>
      </w:r>
      <w:r>
        <w:rPr>
          <w:rFonts w:eastAsia="黑体" w:hint="eastAsia"/>
          <w:color w:val="000000"/>
          <w:sz w:val="44"/>
          <w:szCs w:val="34"/>
        </w:rPr>
        <w:t>2</w:t>
      </w:r>
      <w:r>
        <w:rPr>
          <w:rFonts w:eastAsia="黑体"/>
          <w:color w:val="000000"/>
          <w:sz w:val="44"/>
          <w:szCs w:val="34"/>
        </w:rPr>
        <w:t>02</w:t>
      </w:r>
      <w:r>
        <w:rPr>
          <w:rFonts w:eastAsia="黑体" w:hint="eastAsia"/>
          <w:color w:val="000000"/>
          <w:sz w:val="44"/>
          <w:szCs w:val="34"/>
        </w:rPr>
        <w:t>5</w:t>
      </w:r>
      <w:r>
        <w:rPr>
          <w:rFonts w:eastAsia="黑体" w:hint="eastAsia"/>
          <w:color w:val="000000"/>
          <w:sz w:val="44"/>
          <w:szCs w:val="34"/>
        </w:rPr>
        <w:t>年第三季度业绩说明会）</w:t>
      </w:r>
    </w:p>
    <w:p w:rsidR="005332EC" w:rsidRDefault="005332EC"/>
    <w:p w:rsidR="005332EC" w:rsidRDefault="005332EC"/>
    <w:p w:rsidR="005332EC" w:rsidRDefault="007F678D">
      <w:pPr>
        <w:jc w:val="center"/>
      </w:pPr>
      <w:r>
        <w:rPr>
          <w:noProof/>
        </w:rPr>
        <w:drawing>
          <wp:inline distT="0" distB="0" distL="0" distR="0">
            <wp:extent cx="2876550" cy="127508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99288" cy="1285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32EC" w:rsidRDefault="005332EC">
      <w:pPr>
        <w:jc w:val="center"/>
      </w:pPr>
    </w:p>
    <w:p w:rsidR="005332EC" w:rsidRDefault="005332EC">
      <w:pPr>
        <w:autoSpaceDE w:val="0"/>
        <w:autoSpaceDN w:val="0"/>
        <w:adjustRightInd w:val="0"/>
        <w:rPr>
          <w:rFonts w:ascii="宋体" w:hAnsi="宋体" w:cs="黑体"/>
          <w:b/>
          <w:color w:val="000000"/>
          <w:kern w:val="0"/>
          <w:sz w:val="24"/>
        </w:rPr>
      </w:pPr>
    </w:p>
    <w:p w:rsidR="005332EC" w:rsidRDefault="005332EC">
      <w:pPr>
        <w:autoSpaceDE w:val="0"/>
        <w:autoSpaceDN w:val="0"/>
        <w:adjustRightInd w:val="0"/>
        <w:rPr>
          <w:rFonts w:ascii="宋体" w:hAnsi="宋体" w:cs="黑体"/>
          <w:b/>
          <w:color w:val="000000"/>
          <w:kern w:val="0"/>
          <w:sz w:val="24"/>
        </w:rPr>
      </w:pPr>
    </w:p>
    <w:p w:rsidR="005332EC" w:rsidRDefault="005332EC">
      <w:pPr>
        <w:autoSpaceDE w:val="0"/>
        <w:autoSpaceDN w:val="0"/>
        <w:adjustRightInd w:val="0"/>
        <w:spacing w:beforeLines="100" w:before="312"/>
        <w:rPr>
          <w:rFonts w:ascii="黑体" w:eastAsia="黑体" w:cs="黑体"/>
          <w:color w:val="000000"/>
          <w:kern w:val="0"/>
          <w:sz w:val="32"/>
          <w:szCs w:val="28"/>
        </w:rPr>
      </w:pPr>
    </w:p>
    <w:p w:rsidR="005332EC" w:rsidRDefault="005332EC">
      <w:pPr>
        <w:rPr>
          <w:rFonts w:ascii="黑体" w:eastAsia="黑体" w:cs="黑体"/>
          <w:sz w:val="32"/>
          <w:szCs w:val="28"/>
        </w:rPr>
      </w:pPr>
    </w:p>
    <w:p w:rsidR="005332EC" w:rsidRDefault="005332EC">
      <w:pPr>
        <w:rPr>
          <w:rFonts w:ascii="黑体" w:eastAsia="黑体" w:cs="黑体"/>
          <w:sz w:val="32"/>
          <w:szCs w:val="28"/>
        </w:rPr>
      </w:pPr>
    </w:p>
    <w:p w:rsidR="005332EC" w:rsidRDefault="005332EC">
      <w:pPr>
        <w:rPr>
          <w:rFonts w:ascii="黑体" w:eastAsia="黑体" w:cs="黑体"/>
          <w:sz w:val="32"/>
          <w:szCs w:val="28"/>
        </w:rPr>
      </w:pPr>
    </w:p>
    <w:p w:rsidR="005332EC" w:rsidRDefault="005332EC">
      <w:pPr>
        <w:rPr>
          <w:rFonts w:ascii="黑体" w:eastAsia="黑体" w:cs="黑体"/>
          <w:sz w:val="32"/>
          <w:szCs w:val="28"/>
        </w:rPr>
      </w:pPr>
    </w:p>
    <w:p w:rsidR="005332EC" w:rsidRDefault="005332EC">
      <w:pPr>
        <w:rPr>
          <w:rFonts w:ascii="黑体" w:eastAsia="黑体" w:cs="黑体"/>
          <w:sz w:val="32"/>
          <w:szCs w:val="28"/>
        </w:rPr>
      </w:pPr>
    </w:p>
    <w:p w:rsidR="005332EC" w:rsidRDefault="007F678D">
      <w:pPr>
        <w:widowControl/>
        <w:jc w:val="left"/>
        <w:rPr>
          <w:rFonts w:ascii="黑体" w:eastAsia="黑体" w:cs="黑体"/>
          <w:sz w:val="32"/>
          <w:szCs w:val="28"/>
        </w:rPr>
      </w:pPr>
      <w:r>
        <w:rPr>
          <w:rFonts w:ascii="黑体" w:eastAsia="黑体" w:cs="黑体"/>
          <w:sz w:val="32"/>
          <w:szCs w:val="28"/>
        </w:rPr>
        <w:br w:type="page"/>
      </w:r>
    </w:p>
    <w:p w:rsidR="005332EC" w:rsidRDefault="007F678D">
      <w:pPr>
        <w:autoSpaceDE w:val="0"/>
        <w:autoSpaceDN w:val="0"/>
        <w:adjustRightInd w:val="0"/>
        <w:spacing w:beforeLines="100" w:before="312"/>
        <w:jc w:val="center"/>
        <w:rPr>
          <w:rFonts w:ascii="黑体" w:eastAsia="黑体" w:cs="黑体"/>
          <w:color w:val="000000"/>
          <w:kern w:val="0"/>
          <w:sz w:val="36"/>
          <w:szCs w:val="36"/>
        </w:rPr>
      </w:pPr>
      <w:r>
        <w:rPr>
          <w:rFonts w:ascii="黑体" w:eastAsia="黑体" w:cs="黑体" w:hint="eastAsia"/>
          <w:color w:val="000000"/>
          <w:kern w:val="0"/>
          <w:sz w:val="36"/>
          <w:szCs w:val="36"/>
        </w:rPr>
        <w:lastRenderedPageBreak/>
        <w:t>厦门特宝生物工程股份有限公司</w:t>
      </w:r>
    </w:p>
    <w:p w:rsidR="005332EC" w:rsidRDefault="007F678D">
      <w:pPr>
        <w:autoSpaceDE w:val="0"/>
        <w:autoSpaceDN w:val="0"/>
        <w:adjustRightInd w:val="0"/>
        <w:spacing w:afterLines="100" w:after="312"/>
        <w:jc w:val="center"/>
        <w:rPr>
          <w:rFonts w:ascii="黑体" w:eastAsia="黑体" w:cs="黑体"/>
          <w:color w:val="000000"/>
          <w:kern w:val="0"/>
          <w:sz w:val="36"/>
          <w:szCs w:val="36"/>
        </w:rPr>
      </w:pPr>
      <w:r>
        <w:rPr>
          <w:rFonts w:ascii="黑体" w:eastAsia="黑体" w:cs="黑体" w:hint="eastAsia"/>
          <w:color w:val="000000"/>
          <w:kern w:val="0"/>
          <w:sz w:val="36"/>
          <w:szCs w:val="36"/>
        </w:rPr>
        <w:t>投资者关系活动记录表</w:t>
      </w:r>
    </w:p>
    <w:tbl>
      <w:tblPr>
        <w:tblW w:w="499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1"/>
        <w:gridCol w:w="6179"/>
      </w:tblGrid>
      <w:tr w:rsidR="005332EC">
        <w:trPr>
          <w:trHeight w:val="1474"/>
          <w:jc w:val="center"/>
        </w:trPr>
        <w:tc>
          <w:tcPr>
            <w:tcW w:w="1278" w:type="pct"/>
            <w:vAlign w:val="center"/>
          </w:tcPr>
          <w:p w:rsidR="005332EC" w:rsidRDefault="007F678D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宋体" w:hAnsi="Calibri" w:cs="宋体"/>
                <w:color w:val="000000"/>
                <w:kern w:val="0"/>
                <w:sz w:val="24"/>
              </w:rPr>
            </w:pPr>
            <w:r>
              <w:rPr>
                <w:rFonts w:ascii="宋体" w:hAnsi="Calibri" w:cs="宋体" w:hint="eastAsia"/>
                <w:color w:val="000000"/>
                <w:kern w:val="0"/>
                <w:sz w:val="24"/>
              </w:rPr>
              <w:t>投资者关系活动类别</w:t>
            </w:r>
          </w:p>
        </w:tc>
        <w:tc>
          <w:tcPr>
            <w:tcW w:w="3722" w:type="pct"/>
            <w:vAlign w:val="center"/>
          </w:tcPr>
          <w:p w:rsidR="005332EC" w:rsidRDefault="007F678D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Calibri" w:cs="宋体"/>
                <w:color w:val="000000"/>
                <w:kern w:val="0"/>
                <w:sz w:val="24"/>
              </w:rPr>
            </w:pPr>
            <w:r>
              <w:rPr>
                <w:rFonts w:ascii="宋体" w:hAnsi="Calibri" w:cs="宋体" w:hint="eastAsia"/>
                <w:color w:val="000000"/>
                <w:kern w:val="0"/>
                <w:sz w:val="24"/>
              </w:rPr>
              <w:t>□公司现场接待     □电话接待</w:t>
            </w:r>
          </w:p>
          <w:p w:rsidR="005332EC" w:rsidRDefault="007F678D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Calibri" w:cs="宋体"/>
                <w:color w:val="000000"/>
                <w:kern w:val="0"/>
                <w:sz w:val="24"/>
              </w:rPr>
            </w:pPr>
            <w:r>
              <w:rPr>
                <w:rFonts w:ascii="宋体" w:hAnsi="Calibri" w:cs="宋体" w:hint="eastAsia"/>
                <w:color w:val="000000"/>
                <w:kern w:val="0"/>
                <w:sz w:val="24"/>
              </w:rPr>
              <w:t>□其它场所接待     □公开说明会</w:t>
            </w:r>
          </w:p>
          <w:p w:rsidR="005332EC" w:rsidRDefault="007F678D">
            <w:pPr>
              <w:autoSpaceDE w:val="0"/>
              <w:autoSpaceDN w:val="0"/>
              <w:adjustRightInd w:val="0"/>
              <w:spacing w:line="460" w:lineRule="exact"/>
              <w:rPr>
                <w:rFonts w:ascii="宋体" w:hAnsi="Calibri" w:cs="宋体"/>
                <w:color w:val="000000"/>
                <w:kern w:val="0"/>
                <w:sz w:val="24"/>
              </w:rPr>
            </w:pPr>
            <w:r>
              <w:rPr>
                <w:rFonts w:ascii="宋体" w:hAnsi="Calibri" w:cs="宋体" w:hint="eastAsia"/>
                <w:color w:val="000000"/>
                <w:kern w:val="0"/>
                <w:sz w:val="24"/>
              </w:rPr>
              <w:sym w:font="Wingdings 2" w:char="F052"/>
            </w:r>
            <w:r>
              <w:rPr>
                <w:rFonts w:ascii="宋体" w:hAnsi="Calibri" w:cs="宋体" w:hint="eastAsia"/>
                <w:color w:val="000000"/>
                <w:kern w:val="0"/>
                <w:sz w:val="24"/>
              </w:rPr>
              <w:t>定期报告说明会   □重要公告说明会</w:t>
            </w:r>
          </w:p>
        </w:tc>
      </w:tr>
      <w:tr w:rsidR="005332EC">
        <w:trPr>
          <w:trHeight w:val="567"/>
          <w:jc w:val="center"/>
        </w:trPr>
        <w:tc>
          <w:tcPr>
            <w:tcW w:w="1278" w:type="pct"/>
            <w:vAlign w:val="center"/>
          </w:tcPr>
          <w:p w:rsidR="005332EC" w:rsidRDefault="007F678D"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color w:val="000000"/>
                <w:kern w:val="0"/>
                <w:sz w:val="24"/>
              </w:rPr>
            </w:pPr>
            <w:r>
              <w:rPr>
                <w:rFonts w:ascii="宋体" w:hAnsi="Calibri" w:cs="宋体" w:hint="eastAsia"/>
                <w:color w:val="000000"/>
                <w:kern w:val="0"/>
                <w:sz w:val="24"/>
              </w:rPr>
              <w:t>参与单位名称</w:t>
            </w:r>
          </w:p>
        </w:tc>
        <w:tc>
          <w:tcPr>
            <w:tcW w:w="3722" w:type="pct"/>
            <w:vAlign w:val="center"/>
          </w:tcPr>
          <w:p w:rsidR="005332EC" w:rsidRDefault="007F678D">
            <w:pPr>
              <w:autoSpaceDE w:val="0"/>
              <w:autoSpaceDN w:val="0"/>
              <w:adjustRightInd w:val="0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全体投资者均可通过网络互动的方式参与本次说明会</w:t>
            </w:r>
          </w:p>
        </w:tc>
      </w:tr>
      <w:tr w:rsidR="005332EC">
        <w:trPr>
          <w:trHeight w:val="567"/>
          <w:jc w:val="center"/>
        </w:trPr>
        <w:tc>
          <w:tcPr>
            <w:tcW w:w="1278" w:type="pct"/>
            <w:vAlign w:val="center"/>
          </w:tcPr>
          <w:p w:rsidR="005332EC" w:rsidRDefault="007F678D"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color w:val="000000"/>
                <w:kern w:val="0"/>
                <w:sz w:val="24"/>
              </w:rPr>
            </w:pPr>
            <w:r>
              <w:rPr>
                <w:rFonts w:ascii="宋体" w:hAnsi="Calibri" w:cs="宋体" w:hint="eastAsia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3722" w:type="pct"/>
            <w:vAlign w:val="center"/>
          </w:tcPr>
          <w:p w:rsidR="005332EC" w:rsidRDefault="007F678D">
            <w:pPr>
              <w:autoSpaceDE w:val="0"/>
              <w:autoSpaceDN w:val="0"/>
              <w:adjustRightInd w:val="0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2025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>11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rFonts w:hint="eastAsia"/>
                <w:kern w:val="0"/>
                <w:sz w:val="24"/>
              </w:rPr>
              <w:t>5</w:t>
            </w:r>
            <w:r>
              <w:rPr>
                <w:rFonts w:hint="eastAsia"/>
                <w:kern w:val="0"/>
                <w:sz w:val="24"/>
              </w:rPr>
              <w:t>日</w:t>
            </w:r>
            <w:r>
              <w:rPr>
                <w:rFonts w:hint="eastAsia"/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>13</w:t>
            </w:r>
            <w:r>
              <w:rPr>
                <w:rFonts w:hint="eastAsia"/>
                <w:kern w:val="0"/>
                <w:sz w:val="24"/>
              </w:rPr>
              <w:t>:</w:t>
            </w:r>
            <w:r>
              <w:rPr>
                <w:kern w:val="0"/>
                <w:sz w:val="24"/>
              </w:rPr>
              <w:t>00-14</w:t>
            </w:r>
            <w:r>
              <w:rPr>
                <w:rFonts w:hint="eastAsia"/>
                <w:kern w:val="0"/>
                <w:sz w:val="24"/>
              </w:rPr>
              <w:t>:</w:t>
            </w:r>
            <w:r>
              <w:rPr>
                <w:kern w:val="0"/>
                <w:sz w:val="24"/>
              </w:rPr>
              <w:t>00</w:t>
            </w:r>
          </w:p>
        </w:tc>
      </w:tr>
      <w:tr w:rsidR="005332EC">
        <w:trPr>
          <w:trHeight w:val="567"/>
          <w:jc w:val="center"/>
        </w:trPr>
        <w:tc>
          <w:tcPr>
            <w:tcW w:w="1278" w:type="pct"/>
            <w:vAlign w:val="center"/>
          </w:tcPr>
          <w:p w:rsidR="005332EC" w:rsidRDefault="007F678D"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color w:val="000000"/>
                <w:kern w:val="0"/>
                <w:sz w:val="24"/>
              </w:rPr>
            </w:pPr>
            <w:r>
              <w:rPr>
                <w:rFonts w:ascii="宋体" w:hAnsi="Calibri" w:cs="宋体" w:hint="eastAsia"/>
                <w:color w:val="000000"/>
                <w:kern w:val="0"/>
                <w:sz w:val="24"/>
              </w:rPr>
              <w:t>地点</w:t>
            </w:r>
          </w:p>
        </w:tc>
        <w:tc>
          <w:tcPr>
            <w:tcW w:w="3722" w:type="pct"/>
            <w:vAlign w:val="center"/>
          </w:tcPr>
          <w:p w:rsidR="005332EC" w:rsidRDefault="007F678D">
            <w:pPr>
              <w:autoSpaceDE w:val="0"/>
              <w:autoSpaceDN w:val="0"/>
              <w:adjustRightInd w:val="0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上证路演中心（</w:t>
            </w:r>
            <w:r>
              <w:rPr>
                <w:color w:val="000000"/>
                <w:kern w:val="0"/>
                <w:sz w:val="24"/>
              </w:rPr>
              <w:t>http</w:t>
            </w:r>
            <w:r w:rsidR="00E12E82">
              <w:rPr>
                <w:rFonts w:hint="eastAsia"/>
                <w:color w:val="000000"/>
                <w:kern w:val="0"/>
                <w:sz w:val="24"/>
              </w:rPr>
              <w:t>s</w:t>
            </w:r>
            <w:bookmarkStart w:id="0" w:name="_GoBack"/>
            <w:bookmarkEnd w:id="0"/>
            <w:r>
              <w:rPr>
                <w:color w:val="000000"/>
                <w:kern w:val="0"/>
                <w:sz w:val="24"/>
              </w:rPr>
              <w:t>://roadshow.sseinfo.com</w:t>
            </w:r>
            <w:r>
              <w:rPr>
                <w:color w:val="000000"/>
                <w:kern w:val="0"/>
                <w:sz w:val="24"/>
              </w:rPr>
              <w:t>）网络互动</w:t>
            </w:r>
          </w:p>
        </w:tc>
      </w:tr>
      <w:tr w:rsidR="005332EC">
        <w:trPr>
          <w:trHeight w:val="1531"/>
          <w:jc w:val="center"/>
        </w:trPr>
        <w:tc>
          <w:tcPr>
            <w:tcW w:w="1278" w:type="pct"/>
            <w:vAlign w:val="center"/>
          </w:tcPr>
          <w:p w:rsidR="005332EC" w:rsidRDefault="007F678D">
            <w:pPr>
              <w:pStyle w:val="af5"/>
              <w:spacing w:line="240" w:lineRule="auto"/>
              <w:ind w:firstLineChars="0" w:firstLine="0"/>
              <w:jc w:val="center"/>
              <w:rPr>
                <w:shd w:val="clear" w:color="auto" w:fill="auto"/>
              </w:rPr>
            </w:pPr>
            <w:r>
              <w:rPr>
                <w:rFonts w:hint="eastAsia"/>
                <w:shd w:val="clear" w:color="auto" w:fill="auto"/>
              </w:rPr>
              <w:t>公司接待人员姓名</w:t>
            </w:r>
          </w:p>
        </w:tc>
        <w:tc>
          <w:tcPr>
            <w:tcW w:w="3722" w:type="pct"/>
            <w:vAlign w:val="center"/>
          </w:tcPr>
          <w:p w:rsidR="005332EC" w:rsidRDefault="007F678D">
            <w:pPr>
              <w:pStyle w:val="af5"/>
              <w:ind w:firstLineChars="0" w:firstLine="0"/>
              <w:rPr>
                <w:shd w:val="clear" w:color="auto" w:fill="auto"/>
              </w:rPr>
            </w:pPr>
            <w:r>
              <w:rPr>
                <w:rFonts w:hint="eastAsia"/>
                <w:shd w:val="clear" w:color="auto" w:fill="auto"/>
              </w:rPr>
              <w:t>董事长、总经理</w:t>
            </w:r>
            <w:r>
              <w:rPr>
                <w:rFonts w:hint="eastAsia"/>
                <w:shd w:val="clear" w:color="auto" w:fill="auto"/>
              </w:rPr>
              <w:t xml:space="preserve">   </w:t>
            </w:r>
            <w:r>
              <w:rPr>
                <w:rFonts w:hint="eastAsia"/>
                <w:shd w:val="clear" w:color="auto" w:fill="auto"/>
              </w:rPr>
              <w:t>孙黎先生</w:t>
            </w:r>
          </w:p>
          <w:p w:rsidR="005332EC" w:rsidRDefault="007F678D">
            <w:pPr>
              <w:pStyle w:val="af5"/>
              <w:ind w:firstLineChars="0" w:firstLine="0"/>
              <w:rPr>
                <w:shd w:val="clear" w:color="auto" w:fill="auto"/>
              </w:rPr>
            </w:pPr>
            <w:r>
              <w:rPr>
                <w:rFonts w:hint="eastAsia"/>
                <w:shd w:val="clear" w:color="auto" w:fill="auto"/>
              </w:rPr>
              <w:t>副总经理、董事会秘书、财务总监</w:t>
            </w:r>
            <w:r>
              <w:rPr>
                <w:rFonts w:hint="eastAsia"/>
                <w:shd w:val="clear" w:color="auto" w:fill="auto"/>
              </w:rPr>
              <w:t xml:space="preserve">   </w:t>
            </w:r>
            <w:proofErr w:type="gramStart"/>
            <w:r>
              <w:rPr>
                <w:rFonts w:hint="eastAsia"/>
                <w:shd w:val="clear" w:color="auto" w:fill="auto"/>
              </w:rPr>
              <w:t>杨毅玲女士</w:t>
            </w:r>
            <w:proofErr w:type="gramEnd"/>
          </w:p>
          <w:p w:rsidR="005332EC" w:rsidRDefault="007F678D">
            <w:pPr>
              <w:pStyle w:val="af5"/>
              <w:ind w:firstLineChars="0" w:firstLine="0"/>
              <w:rPr>
                <w:shd w:val="clear" w:color="auto" w:fill="auto"/>
              </w:rPr>
            </w:pPr>
            <w:r>
              <w:rPr>
                <w:rFonts w:hint="eastAsia"/>
                <w:shd w:val="clear" w:color="auto" w:fill="auto"/>
              </w:rPr>
              <w:t>独立董事</w:t>
            </w:r>
            <w:r>
              <w:rPr>
                <w:rFonts w:hint="eastAsia"/>
                <w:shd w:val="clear" w:color="auto" w:fill="auto"/>
              </w:rPr>
              <w:t xml:space="preserve"> </w:t>
            </w:r>
            <w:r>
              <w:rPr>
                <w:shd w:val="clear" w:color="auto" w:fill="auto"/>
              </w:rPr>
              <w:t xml:space="preserve">  </w:t>
            </w:r>
            <w:r>
              <w:rPr>
                <w:rFonts w:hint="eastAsia"/>
                <w:shd w:val="clear" w:color="auto" w:fill="auto"/>
              </w:rPr>
              <w:t>蒋晓蕙</w:t>
            </w:r>
            <w:r w:rsidR="00496F37">
              <w:rPr>
                <w:rFonts w:hint="eastAsia"/>
                <w:shd w:val="clear" w:color="auto" w:fill="auto"/>
              </w:rPr>
              <w:t>女士</w:t>
            </w:r>
          </w:p>
        </w:tc>
      </w:tr>
      <w:tr w:rsidR="005332EC" w:rsidTr="00447B27">
        <w:trPr>
          <w:trHeight w:val="3676"/>
          <w:jc w:val="center"/>
        </w:trPr>
        <w:tc>
          <w:tcPr>
            <w:tcW w:w="1278" w:type="pct"/>
            <w:vAlign w:val="center"/>
          </w:tcPr>
          <w:p w:rsidR="005332EC" w:rsidRDefault="007F678D"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color w:val="000000"/>
                <w:kern w:val="0"/>
                <w:sz w:val="24"/>
              </w:rPr>
            </w:pPr>
            <w:r>
              <w:rPr>
                <w:rFonts w:ascii="宋体" w:hAnsi="Calibri" w:cs="宋体" w:hint="eastAsia"/>
                <w:color w:val="000000"/>
                <w:kern w:val="0"/>
                <w:sz w:val="24"/>
              </w:rPr>
              <w:t>投资者关系活动主要内容介绍</w:t>
            </w:r>
          </w:p>
        </w:tc>
        <w:tc>
          <w:tcPr>
            <w:tcW w:w="3722" w:type="pct"/>
            <w:vAlign w:val="center"/>
          </w:tcPr>
          <w:p w:rsidR="0007048D" w:rsidRDefault="007F678D" w:rsidP="00447B27">
            <w:pPr>
              <w:pStyle w:val="af5"/>
              <w:spacing w:beforeLines="50" w:before="156" w:afterLines="50" w:after="156"/>
              <w:ind w:firstLine="482"/>
              <w:rPr>
                <w:rFonts w:eastAsiaTheme="minorEastAsia"/>
                <w:b/>
                <w:color w:val="000000" w:themeColor="text1"/>
                <w:szCs w:val="24"/>
                <w:shd w:val="clear" w:color="auto" w:fill="auto"/>
              </w:rPr>
            </w:pPr>
            <w:r>
              <w:rPr>
                <w:rFonts w:hint="eastAsia"/>
                <w:b/>
                <w:color w:val="000000" w:themeColor="text1"/>
                <w:szCs w:val="24"/>
                <w:shd w:val="clear" w:color="auto" w:fill="auto"/>
              </w:rPr>
              <w:t>一、</w:t>
            </w:r>
            <w:r w:rsidR="0007048D">
              <w:rPr>
                <w:rStyle w:val="af"/>
                <w:rFonts w:ascii="宋体" w:hAnsi="宋体" w:cs="宋体" w:hint="eastAsia"/>
                <w:color w:val="000000" w:themeColor="text1"/>
                <w:szCs w:val="24"/>
              </w:rPr>
              <w:t>在乙肝临床治愈和长效干扰素其他适应症的拓展上，有哪些新的进展和规划？</w:t>
            </w:r>
          </w:p>
          <w:p w:rsidR="0007048D" w:rsidRDefault="0007048D" w:rsidP="00447B27">
            <w:pPr>
              <w:pStyle w:val="af5"/>
              <w:ind w:firstLine="480"/>
              <w:rPr>
                <w:szCs w:val="24"/>
                <w:shd w:val="clear" w:color="auto" w:fill="auto"/>
              </w:rPr>
            </w:pPr>
            <w:r>
              <w:rPr>
                <w:rFonts w:hint="eastAsia"/>
                <w:szCs w:val="24"/>
                <w:shd w:val="clear" w:color="auto" w:fill="auto"/>
              </w:rPr>
              <w:t>答：派格宾作为一种广谱的免疫调节剂，具有广泛的抗病毒、抗肿瘤和免疫调节作用。目前，派格宾在慢乙肝临床治愈的技术路线上取得了一定的进展，</w:t>
            </w:r>
            <w:r>
              <w:rPr>
                <w:rFonts w:hint="eastAsia"/>
                <w:szCs w:val="24"/>
                <w:shd w:val="clear" w:color="auto" w:fill="auto"/>
              </w:rPr>
              <w:t>2025</w:t>
            </w:r>
            <w:r>
              <w:rPr>
                <w:rFonts w:hint="eastAsia"/>
                <w:szCs w:val="24"/>
                <w:shd w:val="clear" w:color="auto" w:fill="auto"/>
              </w:rPr>
              <w:t>年</w:t>
            </w:r>
            <w:r>
              <w:rPr>
                <w:rFonts w:hint="eastAsia"/>
                <w:szCs w:val="24"/>
                <w:shd w:val="clear" w:color="auto" w:fill="auto"/>
              </w:rPr>
              <w:t>10</w:t>
            </w:r>
            <w:r>
              <w:rPr>
                <w:rFonts w:hint="eastAsia"/>
                <w:szCs w:val="24"/>
                <w:shd w:val="clear" w:color="auto" w:fill="auto"/>
              </w:rPr>
              <w:t>月，派格宾联合核苷（酸）类似物用于成人慢性乙型肝炎患者</w:t>
            </w:r>
            <w:r>
              <w:rPr>
                <w:rFonts w:hint="eastAsia"/>
                <w:szCs w:val="24"/>
                <w:shd w:val="clear" w:color="auto" w:fill="auto"/>
              </w:rPr>
              <w:t>HBsAg</w:t>
            </w:r>
            <w:r>
              <w:rPr>
                <w:rFonts w:hint="eastAsia"/>
                <w:szCs w:val="24"/>
                <w:shd w:val="clear" w:color="auto" w:fill="auto"/>
              </w:rPr>
              <w:t>持续清除的新增适应症获得国家药监局批准。派格宾作为首</w:t>
            </w:r>
            <w:proofErr w:type="gramStart"/>
            <w:r>
              <w:rPr>
                <w:rFonts w:hint="eastAsia"/>
                <w:szCs w:val="24"/>
                <w:shd w:val="clear" w:color="auto" w:fill="auto"/>
              </w:rPr>
              <w:t>个获批该</w:t>
            </w:r>
            <w:proofErr w:type="gramEnd"/>
            <w:r>
              <w:rPr>
                <w:rFonts w:hint="eastAsia"/>
                <w:szCs w:val="24"/>
                <w:shd w:val="clear" w:color="auto" w:fill="auto"/>
              </w:rPr>
              <w:t>适应症的药品，将成为慢性乙型肝炎临床治愈的重要基石药物之一，为未来联合治疗方案的持续优化提供坚实基础，助力更多慢乙肝患者实现更高的治疗目标。此外，</w:t>
            </w:r>
            <w:r>
              <w:rPr>
                <w:rFonts w:hint="eastAsia"/>
                <w:szCs w:val="24"/>
                <w:shd w:val="clear" w:color="auto" w:fill="auto"/>
              </w:rPr>
              <w:t>2024</w:t>
            </w:r>
            <w:r>
              <w:rPr>
                <w:rFonts w:hint="eastAsia"/>
                <w:szCs w:val="24"/>
                <w:shd w:val="clear" w:color="auto" w:fill="auto"/>
              </w:rPr>
              <w:t>年</w:t>
            </w:r>
            <w:r>
              <w:rPr>
                <w:rFonts w:hint="eastAsia"/>
                <w:szCs w:val="24"/>
                <w:shd w:val="clear" w:color="auto" w:fill="auto"/>
              </w:rPr>
              <w:t>7</w:t>
            </w:r>
            <w:r>
              <w:rPr>
                <w:rFonts w:hint="eastAsia"/>
                <w:szCs w:val="24"/>
                <w:shd w:val="clear" w:color="auto" w:fill="auto"/>
              </w:rPr>
              <w:t>月，派格宾新增适应症“原发性血小板增多症”获得药物临床试验批准，目前该临床试验正有序开展。未来公司将不断深化和拓展产品应用领域。</w:t>
            </w:r>
          </w:p>
          <w:p w:rsidR="0007048D" w:rsidRDefault="007F678D" w:rsidP="00447B27">
            <w:pPr>
              <w:pStyle w:val="af5"/>
              <w:spacing w:beforeLines="50" w:before="156" w:afterLines="50" w:after="156"/>
              <w:ind w:firstLine="482"/>
              <w:rPr>
                <w:rFonts w:eastAsiaTheme="minorEastAsia"/>
                <w:b/>
                <w:color w:val="000000" w:themeColor="text1"/>
                <w:szCs w:val="24"/>
                <w:shd w:val="clear" w:color="auto" w:fill="auto"/>
              </w:rPr>
            </w:pPr>
            <w:r>
              <w:rPr>
                <w:rFonts w:hint="eastAsia"/>
                <w:b/>
                <w:color w:val="000000" w:themeColor="text1"/>
                <w:szCs w:val="24"/>
                <w:shd w:val="clear" w:color="auto" w:fill="auto"/>
              </w:rPr>
              <w:t>二、</w:t>
            </w:r>
            <w:r w:rsidR="0007048D">
              <w:rPr>
                <w:rFonts w:hint="eastAsia"/>
                <w:b/>
                <w:color w:val="000000" w:themeColor="text1"/>
                <w:szCs w:val="24"/>
                <w:shd w:val="clear" w:color="auto" w:fill="auto"/>
              </w:rPr>
              <w:t>预计未来</w:t>
            </w:r>
            <w:r w:rsidR="0007048D">
              <w:rPr>
                <w:rFonts w:hint="eastAsia"/>
                <w:b/>
                <w:color w:val="000000" w:themeColor="text1"/>
                <w:szCs w:val="24"/>
                <w:shd w:val="clear" w:color="auto" w:fill="auto"/>
              </w:rPr>
              <w:t>1-2</w:t>
            </w:r>
            <w:r w:rsidR="0007048D">
              <w:rPr>
                <w:rFonts w:hint="eastAsia"/>
                <w:b/>
                <w:color w:val="000000" w:themeColor="text1"/>
                <w:szCs w:val="24"/>
                <w:shd w:val="clear" w:color="auto" w:fill="auto"/>
              </w:rPr>
              <w:t>年内，哪个项目最有可能进入申报上市阶段，并为公司带来新的增长动力？</w:t>
            </w:r>
          </w:p>
          <w:p w:rsidR="005332EC" w:rsidRPr="0007048D" w:rsidRDefault="0007048D" w:rsidP="00447B27">
            <w:pPr>
              <w:pStyle w:val="af5"/>
              <w:ind w:firstLine="480"/>
              <w:rPr>
                <w:color w:val="000000" w:themeColor="text1"/>
                <w:szCs w:val="28"/>
                <w:lang w:bidi="ar"/>
              </w:rPr>
            </w:pPr>
            <w:r>
              <w:rPr>
                <w:rFonts w:hint="eastAsia"/>
                <w:color w:val="000000" w:themeColor="text1"/>
                <w:szCs w:val="24"/>
                <w:shd w:val="clear" w:color="auto" w:fill="auto"/>
              </w:rPr>
              <w:lastRenderedPageBreak/>
              <w:t>答：公司将继续聚焦免疫和代谢领域，积极寻求主业的创新与突破，推动战略从“以产品和公司技术为起始发展点”向“以真正解决临床疾病问题”全面升级，希望解决更多的临床问题。在</w:t>
            </w:r>
            <w:proofErr w:type="gramStart"/>
            <w:r>
              <w:rPr>
                <w:rFonts w:hint="eastAsia"/>
                <w:color w:val="000000" w:themeColor="text1"/>
                <w:szCs w:val="24"/>
                <w:shd w:val="clear" w:color="auto" w:fill="auto"/>
              </w:rPr>
              <w:t>研</w:t>
            </w:r>
            <w:proofErr w:type="gramEnd"/>
            <w:r>
              <w:rPr>
                <w:rFonts w:hint="eastAsia"/>
                <w:color w:val="000000" w:themeColor="text1"/>
                <w:szCs w:val="24"/>
                <w:shd w:val="clear" w:color="auto" w:fill="auto"/>
              </w:rPr>
              <w:t>项目有关情况您可查阅公司于</w:t>
            </w:r>
            <w:r>
              <w:rPr>
                <w:rFonts w:hint="eastAsia"/>
                <w:color w:val="000000" w:themeColor="text1"/>
                <w:szCs w:val="24"/>
                <w:shd w:val="clear" w:color="auto" w:fill="auto"/>
              </w:rPr>
              <w:t>2025</w:t>
            </w:r>
            <w:r>
              <w:rPr>
                <w:rFonts w:hint="eastAsia"/>
                <w:color w:val="000000" w:themeColor="text1"/>
                <w:szCs w:val="24"/>
                <w:shd w:val="clear" w:color="auto" w:fill="auto"/>
              </w:rPr>
              <w:t>年</w:t>
            </w:r>
            <w:r>
              <w:rPr>
                <w:rFonts w:hint="eastAsia"/>
                <w:color w:val="000000" w:themeColor="text1"/>
                <w:szCs w:val="24"/>
                <w:shd w:val="clear" w:color="auto" w:fill="auto"/>
              </w:rPr>
              <w:t>8</w:t>
            </w:r>
            <w:r>
              <w:rPr>
                <w:rFonts w:hint="eastAsia"/>
                <w:color w:val="000000" w:themeColor="text1"/>
                <w:szCs w:val="24"/>
                <w:shd w:val="clear" w:color="auto" w:fill="auto"/>
              </w:rPr>
              <w:t>月</w:t>
            </w:r>
            <w:r>
              <w:rPr>
                <w:rFonts w:hint="eastAsia"/>
                <w:color w:val="000000" w:themeColor="text1"/>
                <w:szCs w:val="24"/>
                <w:shd w:val="clear" w:color="auto" w:fill="auto"/>
              </w:rPr>
              <w:t>21</w:t>
            </w:r>
            <w:r>
              <w:rPr>
                <w:rFonts w:hint="eastAsia"/>
                <w:color w:val="000000" w:themeColor="text1"/>
                <w:szCs w:val="24"/>
                <w:shd w:val="clear" w:color="auto" w:fill="auto"/>
              </w:rPr>
              <w:t>日在上海证券交易所披露的《</w:t>
            </w:r>
            <w:r>
              <w:rPr>
                <w:rFonts w:hint="eastAsia"/>
                <w:color w:val="000000" w:themeColor="text1"/>
                <w:szCs w:val="24"/>
                <w:shd w:val="clear" w:color="auto" w:fill="auto"/>
              </w:rPr>
              <w:t>2025</w:t>
            </w:r>
            <w:r>
              <w:rPr>
                <w:rFonts w:hint="eastAsia"/>
                <w:color w:val="000000" w:themeColor="text1"/>
                <w:szCs w:val="24"/>
                <w:shd w:val="clear" w:color="auto" w:fill="auto"/>
              </w:rPr>
              <w:t>年半年度报告》中“核心技术与研发进展”章节相关内容。</w:t>
            </w:r>
          </w:p>
          <w:p w:rsidR="005332EC" w:rsidRDefault="007F678D" w:rsidP="00447B27">
            <w:pPr>
              <w:pStyle w:val="af5"/>
              <w:spacing w:beforeLines="50" w:before="156" w:afterLines="50" w:after="156"/>
              <w:ind w:firstLine="482"/>
              <w:rPr>
                <w:b/>
                <w:szCs w:val="24"/>
                <w:shd w:val="clear" w:color="auto" w:fill="auto"/>
              </w:rPr>
            </w:pPr>
            <w:r>
              <w:rPr>
                <w:rFonts w:hint="eastAsia"/>
                <w:b/>
                <w:szCs w:val="24"/>
                <w:shd w:val="clear" w:color="auto" w:fill="auto"/>
              </w:rPr>
              <w:t>三、请问公司如何看待核心产品派格宾（聚乙二醇干扰</w:t>
            </w:r>
            <w:r w:rsidRPr="00AD19F1">
              <w:rPr>
                <w:b/>
                <w:szCs w:val="24"/>
                <w:shd w:val="clear" w:color="auto" w:fill="auto"/>
              </w:rPr>
              <w:t>素</w:t>
            </w:r>
            <w:r w:rsidRPr="00AD19F1">
              <w:rPr>
                <w:b/>
                <w:szCs w:val="24"/>
                <w:shd w:val="clear" w:color="auto" w:fill="auto"/>
              </w:rPr>
              <w:t>α-2b</w:t>
            </w:r>
            <w:r>
              <w:rPr>
                <w:rFonts w:hint="eastAsia"/>
                <w:b/>
                <w:szCs w:val="24"/>
                <w:shd w:val="clear" w:color="auto" w:fill="auto"/>
              </w:rPr>
              <w:t>注射液）未来的市场空间和竞争格局？</w:t>
            </w:r>
          </w:p>
          <w:p w:rsidR="005332EC" w:rsidRDefault="007F678D" w:rsidP="00447B27">
            <w:pPr>
              <w:pStyle w:val="af5"/>
              <w:ind w:firstLine="480"/>
              <w:rPr>
                <w:szCs w:val="24"/>
                <w:shd w:val="clear" w:color="auto" w:fill="auto"/>
              </w:rPr>
            </w:pPr>
            <w:r>
              <w:rPr>
                <w:rFonts w:hint="eastAsia"/>
                <w:szCs w:val="24"/>
                <w:shd w:val="clear" w:color="auto" w:fill="auto"/>
              </w:rPr>
              <w:t>答：我国现有约</w:t>
            </w:r>
            <w:r>
              <w:rPr>
                <w:rFonts w:hint="eastAsia"/>
                <w:szCs w:val="24"/>
                <w:shd w:val="clear" w:color="auto" w:fill="auto"/>
              </w:rPr>
              <w:t>7500</w:t>
            </w:r>
            <w:r>
              <w:rPr>
                <w:rFonts w:hint="eastAsia"/>
                <w:szCs w:val="24"/>
                <w:shd w:val="clear" w:color="auto" w:fill="auto"/>
              </w:rPr>
              <w:t>万慢乙肝感染者，国家癌症中心数据显示，</w:t>
            </w:r>
            <w:r>
              <w:rPr>
                <w:rFonts w:hint="eastAsia"/>
                <w:szCs w:val="24"/>
                <w:shd w:val="clear" w:color="auto" w:fill="auto"/>
              </w:rPr>
              <w:t>2022</w:t>
            </w:r>
            <w:r>
              <w:rPr>
                <w:rFonts w:hint="eastAsia"/>
                <w:szCs w:val="24"/>
                <w:shd w:val="clear" w:color="auto" w:fill="auto"/>
              </w:rPr>
              <w:t>年我国新发肝癌病例约</w:t>
            </w:r>
            <w:r>
              <w:rPr>
                <w:rFonts w:hint="eastAsia"/>
                <w:szCs w:val="24"/>
                <w:shd w:val="clear" w:color="auto" w:fill="auto"/>
              </w:rPr>
              <w:t>37</w:t>
            </w:r>
            <w:r>
              <w:rPr>
                <w:rFonts w:hint="eastAsia"/>
                <w:szCs w:val="24"/>
                <w:shd w:val="clear" w:color="auto" w:fill="auto"/>
              </w:rPr>
              <w:t>万例，乙肝临床治愈和肝癌预防领域存在巨大未被满足的需求。当前干扰素渗透率仍较低，原因在于科学认识仍在进步、联合方案的探索处于起步阶段等，亟需行业共同推进科学研究，助力更多患者获得满意治疗结果。</w:t>
            </w:r>
          </w:p>
          <w:p w:rsidR="00447B27" w:rsidRDefault="007F678D" w:rsidP="00447B27">
            <w:pPr>
              <w:pStyle w:val="af5"/>
              <w:spacing w:beforeLines="50" w:before="156" w:afterLines="50" w:after="156"/>
              <w:ind w:firstLine="482"/>
              <w:rPr>
                <w:b/>
                <w:szCs w:val="24"/>
                <w:shd w:val="clear" w:color="auto" w:fill="auto"/>
              </w:rPr>
            </w:pPr>
            <w:r>
              <w:rPr>
                <w:rFonts w:hint="eastAsia"/>
                <w:b/>
                <w:szCs w:val="24"/>
                <w:shd w:val="clear" w:color="auto" w:fill="auto"/>
              </w:rPr>
              <w:t>四、</w:t>
            </w:r>
            <w:proofErr w:type="gramStart"/>
            <w:r w:rsidR="00447B27">
              <w:rPr>
                <w:rFonts w:hint="eastAsia"/>
                <w:b/>
                <w:szCs w:val="24"/>
                <w:shd w:val="clear" w:color="auto" w:fill="auto"/>
              </w:rPr>
              <w:t>益佩生</w:t>
            </w:r>
            <w:proofErr w:type="gramEnd"/>
            <w:r w:rsidR="00447B27">
              <w:rPr>
                <w:rFonts w:hint="eastAsia"/>
                <w:b/>
                <w:szCs w:val="24"/>
                <w:shd w:val="clear" w:color="auto" w:fill="auto"/>
              </w:rPr>
              <w:t>®</w:t>
            </w:r>
            <w:r w:rsidR="00447B27">
              <w:rPr>
                <w:rFonts w:hint="eastAsia"/>
                <w:b/>
                <w:szCs w:val="24"/>
                <w:shd w:val="clear" w:color="auto" w:fill="auto"/>
              </w:rPr>
              <w:t>（怡培生长注射液）三季度的销售额多少，未来有什么销售预期？</w:t>
            </w:r>
          </w:p>
          <w:p w:rsidR="005332EC" w:rsidRDefault="00447B27" w:rsidP="00447B27">
            <w:pPr>
              <w:pStyle w:val="af5"/>
              <w:spacing w:beforeLines="50" w:before="156" w:afterLines="50" w:after="156"/>
              <w:ind w:firstLine="480"/>
              <w:rPr>
                <w:szCs w:val="24"/>
                <w:shd w:val="clear" w:color="auto" w:fill="auto"/>
              </w:rPr>
            </w:pPr>
            <w:r>
              <w:rPr>
                <w:rFonts w:hint="eastAsia"/>
                <w:szCs w:val="24"/>
                <w:shd w:val="clear" w:color="auto" w:fill="auto"/>
              </w:rPr>
              <w:t>答：目前公司已基本完成团队搭建和前期推广等工作。公司将以客户为中心，持续专注于提升产品质量和服务水平，产品具体情况请关注公司后续相关公开信息。</w:t>
            </w:r>
          </w:p>
          <w:p w:rsidR="005332EC" w:rsidRDefault="007F678D" w:rsidP="00447B27">
            <w:pPr>
              <w:pStyle w:val="af5"/>
              <w:spacing w:beforeLines="50" w:before="156" w:afterLines="50" w:after="156"/>
              <w:ind w:firstLine="482"/>
              <w:rPr>
                <w:b/>
                <w:szCs w:val="24"/>
                <w:shd w:val="clear" w:color="auto" w:fill="auto"/>
              </w:rPr>
            </w:pPr>
            <w:r>
              <w:rPr>
                <w:rFonts w:hint="eastAsia"/>
                <w:b/>
                <w:szCs w:val="24"/>
                <w:shd w:val="clear" w:color="auto" w:fill="auto"/>
              </w:rPr>
              <w:t>五、珮金</w:t>
            </w:r>
            <w:r>
              <w:rPr>
                <w:rFonts w:hint="eastAsia"/>
                <w:b/>
                <w:szCs w:val="24"/>
                <w:shd w:val="clear" w:color="auto" w:fill="auto"/>
              </w:rPr>
              <w:t>®</w:t>
            </w:r>
            <w:r>
              <w:rPr>
                <w:rFonts w:hint="eastAsia"/>
                <w:b/>
                <w:szCs w:val="24"/>
                <w:shd w:val="clear" w:color="auto" w:fill="auto"/>
              </w:rPr>
              <w:t>（拓培非格司亭注射液）销售情况怎么样？是否会放量？</w:t>
            </w:r>
          </w:p>
          <w:p w:rsidR="005332EC" w:rsidRDefault="007F678D" w:rsidP="00447B27">
            <w:pPr>
              <w:pStyle w:val="af5"/>
              <w:ind w:firstLine="480"/>
              <w:rPr>
                <w:szCs w:val="24"/>
                <w:shd w:val="clear" w:color="auto" w:fill="auto"/>
              </w:rPr>
            </w:pPr>
            <w:r>
              <w:rPr>
                <w:rFonts w:hint="eastAsia"/>
                <w:szCs w:val="24"/>
                <w:shd w:val="clear" w:color="auto" w:fill="auto"/>
              </w:rPr>
              <w:t>答：珮金于</w:t>
            </w:r>
            <w:r>
              <w:rPr>
                <w:rFonts w:hint="eastAsia"/>
                <w:szCs w:val="24"/>
                <w:shd w:val="clear" w:color="auto" w:fill="auto"/>
              </w:rPr>
              <w:t>2023</w:t>
            </w:r>
            <w:r>
              <w:rPr>
                <w:rFonts w:hint="eastAsia"/>
                <w:szCs w:val="24"/>
                <w:shd w:val="clear" w:color="auto" w:fill="auto"/>
              </w:rPr>
              <w:t>年</w:t>
            </w:r>
            <w:r>
              <w:rPr>
                <w:rFonts w:hint="eastAsia"/>
                <w:szCs w:val="24"/>
                <w:shd w:val="clear" w:color="auto" w:fill="auto"/>
              </w:rPr>
              <w:t>6</w:t>
            </w:r>
            <w:r>
              <w:rPr>
                <w:rFonts w:hint="eastAsia"/>
                <w:szCs w:val="24"/>
                <w:shd w:val="clear" w:color="auto" w:fill="auto"/>
              </w:rPr>
              <w:t>月</w:t>
            </w:r>
            <w:r>
              <w:rPr>
                <w:rFonts w:hint="eastAsia"/>
                <w:szCs w:val="24"/>
                <w:shd w:val="clear" w:color="auto" w:fill="auto"/>
              </w:rPr>
              <w:t>30</w:t>
            </w:r>
            <w:r>
              <w:rPr>
                <w:rFonts w:hint="eastAsia"/>
                <w:szCs w:val="24"/>
                <w:shd w:val="clear" w:color="auto" w:fill="auto"/>
              </w:rPr>
              <w:t>日成功获批上市后，同年</w:t>
            </w:r>
            <w:r>
              <w:rPr>
                <w:rFonts w:hint="eastAsia"/>
                <w:szCs w:val="24"/>
                <w:shd w:val="clear" w:color="auto" w:fill="auto"/>
              </w:rPr>
              <w:t>12</w:t>
            </w:r>
            <w:r>
              <w:rPr>
                <w:rFonts w:hint="eastAsia"/>
                <w:szCs w:val="24"/>
                <w:shd w:val="clear" w:color="auto" w:fill="auto"/>
              </w:rPr>
              <w:t>月被纳入国家医疗保险目录，显著提升了患者的可及性，改善患者生活质量并降低治疗期间的感染风险。与目前已上市的同类长效产品相比，珮</w:t>
            </w:r>
            <w:proofErr w:type="gramStart"/>
            <w:r>
              <w:rPr>
                <w:rFonts w:hint="eastAsia"/>
                <w:szCs w:val="24"/>
                <w:shd w:val="clear" w:color="auto" w:fill="auto"/>
              </w:rPr>
              <w:t>金具有</w:t>
            </w:r>
            <w:proofErr w:type="gramEnd"/>
            <w:r>
              <w:rPr>
                <w:rFonts w:hint="eastAsia"/>
                <w:szCs w:val="24"/>
                <w:shd w:val="clear" w:color="auto" w:fill="auto"/>
              </w:rPr>
              <w:t>较长的药物半衰期、较低的药物剂量，药物剂量约为目前已上市同类长效产品的三分之一，能进一步降低药品相关不良反</w:t>
            </w:r>
            <w:r>
              <w:rPr>
                <w:rFonts w:hint="eastAsia"/>
                <w:szCs w:val="24"/>
                <w:shd w:val="clear" w:color="auto" w:fill="auto"/>
              </w:rPr>
              <w:lastRenderedPageBreak/>
              <w:t>应，更好地满足临床需求，目前珮金的销售工作正积极推进。</w:t>
            </w:r>
          </w:p>
          <w:p w:rsidR="00447B27" w:rsidRDefault="007F678D" w:rsidP="00447B27">
            <w:pPr>
              <w:pStyle w:val="af5"/>
              <w:spacing w:beforeLines="50" w:before="156" w:afterLines="50" w:after="156"/>
              <w:ind w:firstLine="482"/>
              <w:rPr>
                <w:b/>
                <w:szCs w:val="24"/>
                <w:shd w:val="clear" w:color="auto" w:fill="auto"/>
              </w:rPr>
            </w:pPr>
            <w:r>
              <w:rPr>
                <w:rFonts w:hint="eastAsia"/>
                <w:b/>
                <w:szCs w:val="24"/>
                <w:shd w:val="clear" w:color="auto" w:fill="auto"/>
              </w:rPr>
              <w:t>六、</w:t>
            </w:r>
            <w:proofErr w:type="gramStart"/>
            <w:r w:rsidR="00447B27">
              <w:rPr>
                <w:rFonts w:hint="eastAsia"/>
                <w:b/>
                <w:szCs w:val="24"/>
                <w:shd w:val="clear" w:color="auto" w:fill="auto"/>
              </w:rPr>
              <w:t>特</w:t>
            </w:r>
            <w:proofErr w:type="gramEnd"/>
            <w:r w:rsidR="00447B27">
              <w:rPr>
                <w:rFonts w:hint="eastAsia"/>
                <w:b/>
                <w:szCs w:val="24"/>
                <w:shd w:val="clear" w:color="auto" w:fill="auto"/>
              </w:rPr>
              <w:t>宝生物具体哪几款药物进入国家医保目录，哪几款药物</w:t>
            </w:r>
            <w:proofErr w:type="gramStart"/>
            <w:r w:rsidR="00447B27">
              <w:rPr>
                <w:rFonts w:hint="eastAsia"/>
                <w:b/>
                <w:szCs w:val="24"/>
                <w:shd w:val="clear" w:color="auto" w:fill="auto"/>
              </w:rPr>
              <w:t>进入</w:t>
            </w:r>
            <w:proofErr w:type="gramEnd"/>
            <w:r w:rsidR="00447B27">
              <w:rPr>
                <w:rFonts w:hint="eastAsia"/>
                <w:b/>
                <w:szCs w:val="24"/>
                <w:shd w:val="clear" w:color="auto" w:fill="auto"/>
              </w:rPr>
              <w:t>商保目录，</w:t>
            </w:r>
            <w:proofErr w:type="gramStart"/>
            <w:r w:rsidR="00447B27">
              <w:rPr>
                <w:rFonts w:hint="eastAsia"/>
                <w:b/>
                <w:szCs w:val="24"/>
                <w:shd w:val="clear" w:color="auto" w:fill="auto"/>
              </w:rPr>
              <w:t>益佩</w:t>
            </w:r>
            <w:proofErr w:type="gramEnd"/>
            <w:r w:rsidR="00447B27">
              <w:rPr>
                <w:rFonts w:hint="eastAsia"/>
                <w:b/>
                <w:szCs w:val="24"/>
                <w:shd w:val="clear" w:color="auto" w:fill="auto"/>
              </w:rPr>
              <w:t>生生长激素准备何时进入药保目录？</w:t>
            </w:r>
          </w:p>
          <w:p w:rsidR="005332EC" w:rsidRDefault="00447B27" w:rsidP="00447B27">
            <w:pPr>
              <w:pStyle w:val="af5"/>
              <w:ind w:firstLine="480"/>
              <w:rPr>
                <w:szCs w:val="24"/>
                <w:shd w:val="clear" w:color="auto" w:fill="auto"/>
              </w:rPr>
            </w:pPr>
            <w:r>
              <w:rPr>
                <w:rFonts w:hint="eastAsia"/>
                <w:szCs w:val="24"/>
                <w:shd w:val="clear" w:color="auto" w:fill="auto"/>
              </w:rPr>
              <w:t>答：公司产品派格宾、珮金、特尔立、特尔津、特尔康已进入国家医疗保险目录。</w:t>
            </w:r>
          </w:p>
        </w:tc>
      </w:tr>
      <w:tr w:rsidR="005332EC">
        <w:trPr>
          <w:trHeight w:val="2041"/>
          <w:jc w:val="center"/>
        </w:trPr>
        <w:tc>
          <w:tcPr>
            <w:tcW w:w="1278" w:type="pct"/>
            <w:vAlign w:val="center"/>
          </w:tcPr>
          <w:p w:rsidR="005332EC" w:rsidRDefault="007F678D"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rFonts w:ascii="宋体" w:hAnsi="Calibri" w:cs="宋体"/>
                <w:color w:val="000000"/>
                <w:kern w:val="0"/>
                <w:sz w:val="24"/>
              </w:rPr>
            </w:pPr>
            <w:r>
              <w:rPr>
                <w:rFonts w:ascii="宋体" w:hAnsi="Calibri" w:cs="宋体" w:hint="eastAsia"/>
                <w:color w:val="000000"/>
                <w:kern w:val="0"/>
                <w:sz w:val="24"/>
              </w:rPr>
              <w:lastRenderedPageBreak/>
              <w:t>关于本次活动是否涉及应当披露重大信息的说明</w:t>
            </w:r>
          </w:p>
        </w:tc>
        <w:tc>
          <w:tcPr>
            <w:tcW w:w="3722" w:type="pct"/>
            <w:vAlign w:val="center"/>
          </w:tcPr>
          <w:p w:rsidR="005332EC" w:rsidRDefault="007F678D">
            <w:pPr>
              <w:spacing w:line="460" w:lineRule="exact"/>
              <w:ind w:firstLineChars="200" w:firstLine="480"/>
              <w:rPr>
                <w:rFonts w:ascii="宋体" w:hAnsi="宋体" w:cs="黑体"/>
                <w:color w:val="000000"/>
                <w:kern w:val="0"/>
                <w:sz w:val="24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24"/>
              </w:rPr>
              <w:t>公司在交流过程中与投资者进行了充分沟通，并严格按照公司《信息披露管理制度》等规定，保证信息披露的真实、准确、完整、及时、公平，没有出现未公开重大信息泄露等情况。</w:t>
            </w:r>
          </w:p>
        </w:tc>
      </w:tr>
      <w:tr w:rsidR="005332EC">
        <w:trPr>
          <w:trHeight w:val="567"/>
          <w:jc w:val="center"/>
        </w:trPr>
        <w:tc>
          <w:tcPr>
            <w:tcW w:w="1278" w:type="pct"/>
            <w:vAlign w:val="center"/>
          </w:tcPr>
          <w:p w:rsidR="005332EC" w:rsidRDefault="007F678D"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color w:val="000000"/>
                <w:kern w:val="0"/>
                <w:sz w:val="24"/>
              </w:rPr>
            </w:pPr>
            <w:r>
              <w:rPr>
                <w:rFonts w:ascii="宋体" w:hAnsi="Calibri" w:cs="宋体" w:hint="eastAsia"/>
                <w:color w:val="000000"/>
                <w:kern w:val="0"/>
                <w:sz w:val="24"/>
              </w:rPr>
              <w:t>附件清单</w:t>
            </w:r>
          </w:p>
        </w:tc>
        <w:tc>
          <w:tcPr>
            <w:tcW w:w="3722" w:type="pct"/>
            <w:vAlign w:val="center"/>
          </w:tcPr>
          <w:p w:rsidR="005332EC" w:rsidRDefault="007F678D">
            <w:pPr>
              <w:jc w:val="left"/>
              <w:rPr>
                <w:rFonts w:ascii="宋体" w:hAnsi="宋体" w:cs="黑体"/>
                <w:color w:val="000000"/>
                <w:kern w:val="0"/>
                <w:sz w:val="24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24"/>
              </w:rPr>
              <w:t>无</w:t>
            </w:r>
          </w:p>
        </w:tc>
      </w:tr>
      <w:tr w:rsidR="005332EC">
        <w:trPr>
          <w:trHeight w:val="567"/>
          <w:jc w:val="center"/>
        </w:trPr>
        <w:tc>
          <w:tcPr>
            <w:tcW w:w="1278" w:type="pct"/>
            <w:vAlign w:val="center"/>
          </w:tcPr>
          <w:p w:rsidR="005332EC" w:rsidRDefault="007F678D">
            <w:pPr>
              <w:autoSpaceDE w:val="0"/>
              <w:autoSpaceDN w:val="0"/>
              <w:adjustRightInd w:val="0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3722" w:type="pct"/>
            <w:vAlign w:val="center"/>
          </w:tcPr>
          <w:p w:rsidR="005332EC" w:rsidRDefault="007F678D">
            <w:pPr>
              <w:autoSpaceDE w:val="0"/>
              <w:autoSpaceDN w:val="0"/>
              <w:adjustRightInd w:val="0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2025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>11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rFonts w:hint="eastAsia"/>
                <w:kern w:val="0"/>
                <w:sz w:val="24"/>
              </w:rPr>
              <w:t>5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</w:tbl>
    <w:p w:rsidR="005332EC" w:rsidRDefault="005332EC" w:rsidP="006C5094">
      <w:pPr>
        <w:rPr>
          <w:rFonts w:ascii="黑体" w:eastAsia="黑体" w:cs="黑体"/>
          <w:color w:val="000000"/>
          <w:kern w:val="0"/>
          <w:sz w:val="28"/>
          <w:szCs w:val="28"/>
        </w:rPr>
      </w:pPr>
    </w:p>
    <w:sectPr w:rsidR="005332EC">
      <w:footerReference w:type="default" r:id="rId8"/>
      <w:headerReference w:type="first" r:id="rId9"/>
      <w:pgSz w:w="11906" w:h="16838"/>
      <w:pgMar w:top="993" w:right="1797" w:bottom="851" w:left="1797" w:header="851" w:footer="897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92B9B" w:rsidRDefault="00292B9B">
      <w:r>
        <w:separator/>
      </w:r>
    </w:p>
  </w:endnote>
  <w:endnote w:type="continuationSeparator" w:id="0">
    <w:p w:rsidR="00292B9B" w:rsidRDefault="00292B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"/>
    </w:sdtPr>
    <w:sdtEndPr/>
    <w:sdtContent>
      <w:p w:rsidR="005332EC" w:rsidRDefault="007F678D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6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92B9B" w:rsidRDefault="00292B9B">
      <w:r>
        <w:separator/>
      </w:r>
    </w:p>
  </w:footnote>
  <w:footnote w:type="continuationSeparator" w:id="0">
    <w:p w:rsidR="00292B9B" w:rsidRDefault="00292B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332EC" w:rsidRDefault="005332EC">
    <w:pPr>
      <w:pStyle w:val="a9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grammar="clean"/>
  <w:defaultTabStop w:val="720"/>
  <w:drawingGridHorizontalSpacing w:val="105"/>
  <w:drawingGridVerticalSpacing w:val="156"/>
  <w:doNotShadeFormData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3F6"/>
    <w:rsid w:val="8B3F174F"/>
    <w:rsid w:val="8D36E612"/>
    <w:rsid w:val="905F28EE"/>
    <w:rsid w:val="9FEA241B"/>
    <w:rsid w:val="A3AF95FA"/>
    <w:rsid w:val="ADDF710A"/>
    <w:rsid w:val="AF7D7FE9"/>
    <w:rsid w:val="B1DB3B6B"/>
    <w:rsid w:val="B3CD8E4B"/>
    <w:rsid w:val="B6F2EBC4"/>
    <w:rsid w:val="B7D150EE"/>
    <w:rsid w:val="B7EF12BB"/>
    <w:rsid w:val="B7FF8FE0"/>
    <w:rsid w:val="BB2704A7"/>
    <w:rsid w:val="BB3E3256"/>
    <w:rsid w:val="BBAB8964"/>
    <w:rsid w:val="BEAFC38C"/>
    <w:rsid w:val="BFB7EF0B"/>
    <w:rsid w:val="BFDFBA2D"/>
    <w:rsid w:val="CABF8DF3"/>
    <w:rsid w:val="CE9DEBD9"/>
    <w:rsid w:val="CF1FE8E4"/>
    <w:rsid w:val="CFEFA4DD"/>
    <w:rsid w:val="D3FC8821"/>
    <w:rsid w:val="D6BF662F"/>
    <w:rsid w:val="D77BC5C8"/>
    <w:rsid w:val="D89FD2F3"/>
    <w:rsid w:val="D8B70FA5"/>
    <w:rsid w:val="D9FF3D75"/>
    <w:rsid w:val="DB5EBABE"/>
    <w:rsid w:val="DBFAA308"/>
    <w:rsid w:val="DCEF754D"/>
    <w:rsid w:val="DD5C73FA"/>
    <w:rsid w:val="DD7B1757"/>
    <w:rsid w:val="DD7C7A71"/>
    <w:rsid w:val="DEB964B8"/>
    <w:rsid w:val="DED738FC"/>
    <w:rsid w:val="DFBF96CD"/>
    <w:rsid w:val="DFCB2A3B"/>
    <w:rsid w:val="DFEB6E0E"/>
    <w:rsid w:val="DFF5C950"/>
    <w:rsid w:val="DFF6B3C3"/>
    <w:rsid w:val="DFFF8152"/>
    <w:rsid w:val="E5FD3D08"/>
    <w:rsid w:val="E7EE2585"/>
    <w:rsid w:val="EAFEDC80"/>
    <w:rsid w:val="EDE7D2DD"/>
    <w:rsid w:val="EDFEFAB5"/>
    <w:rsid w:val="EDFF1134"/>
    <w:rsid w:val="EE7FA752"/>
    <w:rsid w:val="EE9FA2AB"/>
    <w:rsid w:val="EEFBECB8"/>
    <w:rsid w:val="EEFFAABD"/>
    <w:rsid w:val="EF3E9C69"/>
    <w:rsid w:val="EFF656D3"/>
    <w:rsid w:val="F29F6930"/>
    <w:rsid w:val="F37FFE23"/>
    <w:rsid w:val="F457789A"/>
    <w:rsid w:val="F77631D6"/>
    <w:rsid w:val="F77F68EC"/>
    <w:rsid w:val="F7B4C45F"/>
    <w:rsid w:val="F85FAE22"/>
    <w:rsid w:val="FABF53E8"/>
    <w:rsid w:val="FBD94AD9"/>
    <w:rsid w:val="FBEB984B"/>
    <w:rsid w:val="FBF3C5AC"/>
    <w:rsid w:val="FC7F6852"/>
    <w:rsid w:val="FDBCFF26"/>
    <w:rsid w:val="FE57A2D7"/>
    <w:rsid w:val="FE8D19F8"/>
    <w:rsid w:val="FEB74C22"/>
    <w:rsid w:val="FEFFA1D3"/>
    <w:rsid w:val="FF73C86C"/>
    <w:rsid w:val="FF7BD010"/>
    <w:rsid w:val="FF7FE625"/>
    <w:rsid w:val="FFB94665"/>
    <w:rsid w:val="FFBE0746"/>
    <w:rsid w:val="FFC77282"/>
    <w:rsid w:val="FFD73A58"/>
    <w:rsid w:val="FFEEA024"/>
    <w:rsid w:val="FFF7C515"/>
    <w:rsid w:val="FFFE4454"/>
    <w:rsid w:val="FFFF5007"/>
    <w:rsid w:val="00000B99"/>
    <w:rsid w:val="00000C3F"/>
    <w:rsid w:val="0000154E"/>
    <w:rsid w:val="00001E48"/>
    <w:rsid w:val="0000227C"/>
    <w:rsid w:val="00002DB6"/>
    <w:rsid w:val="000065CA"/>
    <w:rsid w:val="0000707E"/>
    <w:rsid w:val="000125BA"/>
    <w:rsid w:val="000127EB"/>
    <w:rsid w:val="0001294D"/>
    <w:rsid w:val="00013170"/>
    <w:rsid w:val="00014319"/>
    <w:rsid w:val="00014F74"/>
    <w:rsid w:val="00017945"/>
    <w:rsid w:val="00017B4C"/>
    <w:rsid w:val="00020913"/>
    <w:rsid w:val="00026FD9"/>
    <w:rsid w:val="000275E4"/>
    <w:rsid w:val="00031559"/>
    <w:rsid w:val="000325E1"/>
    <w:rsid w:val="00033EB1"/>
    <w:rsid w:val="00041B76"/>
    <w:rsid w:val="0004604E"/>
    <w:rsid w:val="00046AD4"/>
    <w:rsid w:val="000502E7"/>
    <w:rsid w:val="00055922"/>
    <w:rsid w:val="00057E8D"/>
    <w:rsid w:val="00062C74"/>
    <w:rsid w:val="0006362C"/>
    <w:rsid w:val="00063A49"/>
    <w:rsid w:val="000658D0"/>
    <w:rsid w:val="00066671"/>
    <w:rsid w:val="00066A51"/>
    <w:rsid w:val="0007048D"/>
    <w:rsid w:val="00070AFC"/>
    <w:rsid w:val="00070B49"/>
    <w:rsid w:val="00070C9B"/>
    <w:rsid w:val="00072AED"/>
    <w:rsid w:val="000737BD"/>
    <w:rsid w:val="000770BC"/>
    <w:rsid w:val="0008251C"/>
    <w:rsid w:val="00083E24"/>
    <w:rsid w:val="00085506"/>
    <w:rsid w:val="00090199"/>
    <w:rsid w:val="00093E67"/>
    <w:rsid w:val="00096874"/>
    <w:rsid w:val="000A0063"/>
    <w:rsid w:val="000A16EE"/>
    <w:rsid w:val="000A4DEB"/>
    <w:rsid w:val="000A6FB9"/>
    <w:rsid w:val="000B2347"/>
    <w:rsid w:val="000B4BA6"/>
    <w:rsid w:val="000C128B"/>
    <w:rsid w:val="000D0FCA"/>
    <w:rsid w:val="000D3B07"/>
    <w:rsid w:val="000D5717"/>
    <w:rsid w:val="000D799E"/>
    <w:rsid w:val="000E4244"/>
    <w:rsid w:val="000E518C"/>
    <w:rsid w:val="000E6016"/>
    <w:rsid w:val="000F15C1"/>
    <w:rsid w:val="000F25AB"/>
    <w:rsid w:val="000F2782"/>
    <w:rsid w:val="000F3C5A"/>
    <w:rsid w:val="000F60A2"/>
    <w:rsid w:val="001107B6"/>
    <w:rsid w:val="00112EDC"/>
    <w:rsid w:val="00113527"/>
    <w:rsid w:val="00116C64"/>
    <w:rsid w:val="001246D4"/>
    <w:rsid w:val="00131D47"/>
    <w:rsid w:val="00133AC2"/>
    <w:rsid w:val="00134940"/>
    <w:rsid w:val="0013597E"/>
    <w:rsid w:val="00142F0F"/>
    <w:rsid w:val="00143A1C"/>
    <w:rsid w:val="00143DAA"/>
    <w:rsid w:val="00144672"/>
    <w:rsid w:val="00145369"/>
    <w:rsid w:val="0014798A"/>
    <w:rsid w:val="00147C8B"/>
    <w:rsid w:val="00153070"/>
    <w:rsid w:val="00157453"/>
    <w:rsid w:val="0016348F"/>
    <w:rsid w:val="001740D4"/>
    <w:rsid w:val="00176017"/>
    <w:rsid w:val="00181046"/>
    <w:rsid w:val="0018270C"/>
    <w:rsid w:val="0018642C"/>
    <w:rsid w:val="00187E2D"/>
    <w:rsid w:val="00193544"/>
    <w:rsid w:val="0019387D"/>
    <w:rsid w:val="00193F35"/>
    <w:rsid w:val="00194F1B"/>
    <w:rsid w:val="001957FC"/>
    <w:rsid w:val="00195EA6"/>
    <w:rsid w:val="0019719E"/>
    <w:rsid w:val="001A13BD"/>
    <w:rsid w:val="001A2B51"/>
    <w:rsid w:val="001A45CF"/>
    <w:rsid w:val="001A5A3A"/>
    <w:rsid w:val="001B106B"/>
    <w:rsid w:val="001B1A85"/>
    <w:rsid w:val="001B6563"/>
    <w:rsid w:val="001B7C46"/>
    <w:rsid w:val="001D22FC"/>
    <w:rsid w:val="001D5417"/>
    <w:rsid w:val="001D6E7A"/>
    <w:rsid w:val="001E353D"/>
    <w:rsid w:val="001E6D9B"/>
    <w:rsid w:val="001F203F"/>
    <w:rsid w:val="001F2C7A"/>
    <w:rsid w:val="001F4868"/>
    <w:rsid w:val="001F6BF6"/>
    <w:rsid w:val="001F7D9F"/>
    <w:rsid w:val="00200BD3"/>
    <w:rsid w:val="00201EB5"/>
    <w:rsid w:val="00203129"/>
    <w:rsid w:val="0020488A"/>
    <w:rsid w:val="00205A14"/>
    <w:rsid w:val="00207C3C"/>
    <w:rsid w:val="002108EC"/>
    <w:rsid w:val="00210C4F"/>
    <w:rsid w:val="002125FA"/>
    <w:rsid w:val="0021285C"/>
    <w:rsid w:val="00213E8D"/>
    <w:rsid w:val="00215CFB"/>
    <w:rsid w:val="00217358"/>
    <w:rsid w:val="00217450"/>
    <w:rsid w:val="00220430"/>
    <w:rsid w:val="002234D7"/>
    <w:rsid w:val="00223A87"/>
    <w:rsid w:val="0022450C"/>
    <w:rsid w:val="00227138"/>
    <w:rsid w:val="002339A8"/>
    <w:rsid w:val="00234FC8"/>
    <w:rsid w:val="00235084"/>
    <w:rsid w:val="00237F33"/>
    <w:rsid w:val="00244884"/>
    <w:rsid w:val="00250812"/>
    <w:rsid w:val="00251625"/>
    <w:rsid w:val="00254F2F"/>
    <w:rsid w:val="002550D4"/>
    <w:rsid w:val="00261E76"/>
    <w:rsid w:val="00263F6C"/>
    <w:rsid w:val="00265255"/>
    <w:rsid w:val="00270984"/>
    <w:rsid w:val="00270F78"/>
    <w:rsid w:val="00276BF3"/>
    <w:rsid w:val="00281614"/>
    <w:rsid w:val="002838C3"/>
    <w:rsid w:val="00286D56"/>
    <w:rsid w:val="00287E98"/>
    <w:rsid w:val="00292B9B"/>
    <w:rsid w:val="0029480F"/>
    <w:rsid w:val="00295488"/>
    <w:rsid w:val="002A2F17"/>
    <w:rsid w:val="002A467A"/>
    <w:rsid w:val="002A6417"/>
    <w:rsid w:val="002A7B7B"/>
    <w:rsid w:val="002B14F8"/>
    <w:rsid w:val="002B172A"/>
    <w:rsid w:val="002B5888"/>
    <w:rsid w:val="002C10C4"/>
    <w:rsid w:val="002C1512"/>
    <w:rsid w:val="002C1DD6"/>
    <w:rsid w:val="002C265C"/>
    <w:rsid w:val="002C5488"/>
    <w:rsid w:val="002C6D92"/>
    <w:rsid w:val="002D0847"/>
    <w:rsid w:val="002D122F"/>
    <w:rsid w:val="002D399D"/>
    <w:rsid w:val="002D6C43"/>
    <w:rsid w:val="002D7B46"/>
    <w:rsid w:val="002E47B8"/>
    <w:rsid w:val="002E4A08"/>
    <w:rsid w:val="002E4F25"/>
    <w:rsid w:val="002E58C9"/>
    <w:rsid w:val="002E698F"/>
    <w:rsid w:val="002F0148"/>
    <w:rsid w:val="002F0621"/>
    <w:rsid w:val="002F0980"/>
    <w:rsid w:val="002F1152"/>
    <w:rsid w:val="002F1AEF"/>
    <w:rsid w:val="002F1EB7"/>
    <w:rsid w:val="002F21F9"/>
    <w:rsid w:val="002F3FB4"/>
    <w:rsid w:val="00300FD2"/>
    <w:rsid w:val="003012E3"/>
    <w:rsid w:val="00304BDB"/>
    <w:rsid w:val="00315B85"/>
    <w:rsid w:val="00315E48"/>
    <w:rsid w:val="003225B2"/>
    <w:rsid w:val="0032544F"/>
    <w:rsid w:val="00325650"/>
    <w:rsid w:val="00330CF9"/>
    <w:rsid w:val="00336390"/>
    <w:rsid w:val="00340BB3"/>
    <w:rsid w:val="00343141"/>
    <w:rsid w:val="00344DEB"/>
    <w:rsid w:val="00347027"/>
    <w:rsid w:val="003553C5"/>
    <w:rsid w:val="0035580A"/>
    <w:rsid w:val="0035733D"/>
    <w:rsid w:val="003576D8"/>
    <w:rsid w:val="00360A87"/>
    <w:rsid w:val="003618D9"/>
    <w:rsid w:val="00364F76"/>
    <w:rsid w:val="00365E17"/>
    <w:rsid w:val="003675E0"/>
    <w:rsid w:val="00367740"/>
    <w:rsid w:val="00370C8B"/>
    <w:rsid w:val="00373614"/>
    <w:rsid w:val="003773F9"/>
    <w:rsid w:val="0039114D"/>
    <w:rsid w:val="0039122F"/>
    <w:rsid w:val="00393B7D"/>
    <w:rsid w:val="0039494E"/>
    <w:rsid w:val="003A2057"/>
    <w:rsid w:val="003A2322"/>
    <w:rsid w:val="003C420F"/>
    <w:rsid w:val="003C5B56"/>
    <w:rsid w:val="003D089D"/>
    <w:rsid w:val="003D0A0D"/>
    <w:rsid w:val="003D1771"/>
    <w:rsid w:val="003D5D16"/>
    <w:rsid w:val="003D6191"/>
    <w:rsid w:val="003D67F2"/>
    <w:rsid w:val="003D7BBB"/>
    <w:rsid w:val="003E5DEA"/>
    <w:rsid w:val="003E7443"/>
    <w:rsid w:val="003F35EE"/>
    <w:rsid w:val="003F6281"/>
    <w:rsid w:val="003F651B"/>
    <w:rsid w:val="00405028"/>
    <w:rsid w:val="00405A84"/>
    <w:rsid w:val="004169A2"/>
    <w:rsid w:val="00416AA1"/>
    <w:rsid w:val="0041710A"/>
    <w:rsid w:val="004233CD"/>
    <w:rsid w:val="00430DD0"/>
    <w:rsid w:val="00433274"/>
    <w:rsid w:val="00434A39"/>
    <w:rsid w:val="00434E51"/>
    <w:rsid w:val="00441212"/>
    <w:rsid w:val="00441CC4"/>
    <w:rsid w:val="00442C6B"/>
    <w:rsid w:val="004437D2"/>
    <w:rsid w:val="00445B7B"/>
    <w:rsid w:val="00447B27"/>
    <w:rsid w:val="00456023"/>
    <w:rsid w:val="00460FE1"/>
    <w:rsid w:val="0046300F"/>
    <w:rsid w:val="00466DB7"/>
    <w:rsid w:val="00467D0F"/>
    <w:rsid w:val="00471C62"/>
    <w:rsid w:val="004725BF"/>
    <w:rsid w:val="0047771C"/>
    <w:rsid w:val="0048081E"/>
    <w:rsid w:val="004825D1"/>
    <w:rsid w:val="00487103"/>
    <w:rsid w:val="00487BE4"/>
    <w:rsid w:val="00495FA1"/>
    <w:rsid w:val="00496F37"/>
    <w:rsid w:val="00496FAA"/>
    <w:rsid w:val="0049713B"/>
    <w:rsid w:val="004A0D66"/>
    <w:rsid w:val="004A4039"/>
    <w:rsid w:val="004A54F9"/>
    <w:rsid w:val="004B1618"/>
    <w:rsid w:val="004B1EFB"/>
    <w:rsid w:val="004B3754"/>
    <w:rsid w:val="004B56DD"/>
    <w:rsid w:val="004B5789"/>
    <w:rsid w:val="004B6536"/>
    <w:rsid w:val="004B7507"/>
    <w:rsid w:val="004C7620"/>
    <w:rsid w:val="004D0B61"/>
    <w:rsid w:val="004D1B89"/>
    <w:rsid w:val="004E36D1"/>
    <w:rsid w:val="004E39D6"/>
    <w:rsid w:val="004E7C73"/>
    <w:rsid w:val="004E7D0F"/>
    <w:rsid w:val="004F6F7B"/>
    <w:rsid w:val="004F746B"/>
    <w:rsid w:val="00500C73"/>
    <w:rsid w:val="00501352"/>
    <w:rsid w:val="005022E1"/>
    <w:rsid w:val="005026BE"/>
    <w:rsid w:val="0050598E"/>
    <w:rsid w:val="005100C2"/>
    <w:rsid w:val="00511D69"/>
    <w:rsid w:val="00511DAC"/>
    <w:rsid w:val="0051623C"/>
    <w:rsid w:val="0052053E"/>
    <w:rsid w:val="00523D66"/>
    <w:rsid w:val="00523FCE"/>
    <w:rsid w:val="00524345"/>
    <w:rsid w:val="005245A8"/>
    <w:rsid w:val="00524F23"/>
    <w:rsid w:val="00531482"/>
    <w:rsid w:val="005332EC"/>
    <w:rsid w:val="00533765"/>
    <w:rsid w:val="005427CD"/>
    <w:rsid w:val="005440D6"/>
    <w:rsid w:val="00544C9B"/>
    <w:rsid w:val="005518C5"/>
    <w:rsid w:val="00554239"/>
    <w:rsid w:val="005553E8"/>
    <w:rsid w:val="00562C07"/>
    <w:rsid w:val="00563B2A"/>
    <w:rsid w:val="005642B9"/>
    <w:rsid w:val="00565984"/>
    <w:rsid w:val="00570FE1"/>
    <w:rsid w:val="00580352"/>
    <w:rsid w:val="00580902"/>
    <w:rsid w:val="00581A83"/>
    <w:rsid w:val="00583847"/>
    <w:rsid w:val="005847C3"/>
    <w:rsid w:val="00587297"/>
    <w:rsid w:val="00590609"/>
    <w:rsid w:val="00591C01"/>
    <w:rsid w:val="0059201A"/>
    <w:rsid w:val="005972A5"/>
    <w:rsid w:val="00597715"/>
    <w:rsid w:val="00597BCB"/>
    <w:rsid w:val="005A30DC"/>
    <w:rsid w:val="005B1CC0"/>
    <w:rsid w:val="005C038F"/>
    <w:rsid w:val="005C2CD3"/>
    <w:rsid w:val="005C3888"/>
    <w:rsid w:val="005C740E"/>
    <w:rsid w:val="005C7C13"/>
    <w:rsid w:val="005D36A7"/>
    <w:rsid w:val="005D6D21"/>
    <w:rsid w:val="005E4BE4"/>
    <w:rsid w:val="005E78B7"/>
    <w:rsid w:val="005F0AA7"/>
    <w:rsid w:val="005F35E0"/>
    <w:rsid w:val="005F3D34"/>
    <w:rsid w:val="005F4F58"/>
    <w:rsid w:val="005F500A"/>
    <w:rsid w:val="005F5B65"/>
    <w:rsid w:val="00600B43"/>
    <w:rsid w:val="00600D7F"/>
    <w:rsid w:val="006010B6"/>
    <w:rsid w:val="006028F5"/>
    <w:rsid w:val="00604E74"/>
    <w:rsid w:val="00605514"/>
    <w:rsid w:val="006060BF"/>
    <w:rsid w:val="00606753"/>
    <w:rsid w:val="00606C0E"/>
    <w:rsid w:val="00613784"/>
    <w:rsid w:val="006206DF"/>
    <w:rsid w:val="006218D4"/>
    <w:rsid w:val="00621C1A"/>
    <w:rsid w:val="00622E68"/>
    <w:rsid w:val="00624174"/>
    <w:rsid w:val="006242EC"/>
    <w:rsid w:val="00624F16"/>
    <w:rsid w:val="00626705"/>
    <w:rsid w:val="00626D6F"/>
    <w:rsid w:val="006276EF"/>
    <w:rsid w:val="00632B02"/>
    <w:rsid w:val="006349DA"/>
    <w:rsid w:val="00634A0E"/>
    <w:rsid w:val="00637F0F"/>
    <w:rsid w:val="00640690"/>
    <w:rsid w:val="0064084A"/>
    <w:rsid w:val="006427F7"/>
    <w:rsid w:val="006473AC"/>
    <w:rsid w:val="00647405"/>
    <w:rsid w:val="00654611"/>
    <w:rsid w:val="00657A82"/>
    <w:rsid w:val="006623CA"/>
    <w:rsid w:val="006628B5"/>
    <w:rsid w:val="00663C4C"/>
    <w:rsid w:val="0066408C"/>
    <w:rsid w:val="00664E3E"/>
    <w:rsid w:val="00670E77"/>
    <w:rsid w:val="006721EB"/>
    <w:rsid w:val="006739D3"/>
    <w:rsid w:val="00676A28"/>
    <w:rsid w:val="00677F6A"/>
    <w:rsid w:val="00681C63"/>
    <w:rsid w:val="00684CC0"/>
    <w:rsid w:val="00685BA9"/>
    <w:rsid w:val="00686FC2"/>
    <w:rsid w:val="00687FB7"/>
    <w:rsid w:val="0069095F"/>
    <w:rsid w:val="00690BF4"/>
    <w:rsid w:val="00693166"/>
    <w:rsid w:val="00693FD0"/>
    <w:rsid w:val="006A6ADD"/>
    <w:rsid w:val="006A7E87"/>
    <w:rsid w:val="006B0B15"/>
    <w:rsid w:val="006B3051"/>
    <w:rsid w:val="006C0103"/>
    <w:rsid w:val="006C17FF"/>
    <w:rsid w:val="006C39CB"/>
    <w:rsid w:val="006C4DD9"/>
    <w:rsid w:val="006C5094"/>
    <w:rsid w:val="006D1871"/>
    <w:rsid w:val="006D2F0C"/>
    <w:rsid w:val="006D6C7C"/>
    <w:rsid w:val="006E0FD9"/>
    <w:rsid w:val="006E33B7"/>
    <w:rsid w:val="006E7391"/>
    <w:rsid w:val="006F5BEF"/>
    <w:rsid w:val="00700BC2"/>
    <w:rsid w:val="0070197D"/>
    <w:rsid w:val="00706BD8"/>
    <w:rsid w:val="0071220C"/>
    <w:rsid w:val="00714312"/>
    <w:rsid w:val="00715181"/>
    <w:rsid w:val="00715709"/>
    <w:rsid w:val="0071671B"/>
    <w:rsid w:val="00717CC1"/>
    <w:rsid w:val="00721209"/>
    <w:rsid w:val="00722DCC"/>
    <w:rsid w:val="00725676"/>
    <w:rsid w:val="007264CB"/>
    <w:rsid w:val="00730D84"/>
    <w:rsid w:val="00731507"/>
    <w:rsid w:val="00737C74"/>
    <w:rsid w:val="00737EFF"/>
    <w:rsid w:val="00742C75"/>
    <w:rsid w:val="00745302"/>
    <w:rsid w:val="007466D0"/>
    <w:rsid w:val="00746751"/>
    <w:rsid w:val="007523A6"/>
    <w:rsid w:val="00753B77"/>
    <w:rsid w:val="00757953"/>
    <w:rsid w:val="007579D2"/>
    <w:rsid w:val="00757E25"/>
    <w:rsid w:val="00761692"/>
    <w:rsid w:val="00764742"/>
    <w:rsid w:val="00764C22"/>
    <w:rsid w:val="0076525C"/>
    <w:rsid w:val="007667BE"/>
    <w:rsid w:val="00772C51"/>
    <w:rsid w:val="00775837"/>
    <w:rsid w:val="00776728"/>
    <w:rsid w:val="00781DBF"/>
    <w:rsid w:val="00783979"/>
    <w:rsid w:val="00793087"/>
    <w:rsid w:val="007A7809"/>
    <w:rsid w:val="007B384E"/>
    <w:rsid w:val="007B4B89"/>
    <w:rsid w:val="007B52A5"/>
    <w:rsid w:val="007B5D87"/>
    <w:rsid w:val="007B73A5"/>
    <w:rsid w:val="007B75C1"/>
    <w:rsid w:val="007B7F2B"/>
    <w:rsid w:val="007C1F7A"/>
    <w:rsid w:val="007C2913"/>
    <w:rsid w:val="007C3C5A"/>
    <w:rsid w:val="007C410C"/>
    <w:rsid w:val="007C7716"/>
    <w:rsid w:val="007D1491"/>
    <w:rsid w:val="007D57D4"/>
    <w:rsid w:val="007D7158"/>
    <w:rsid w:val="007D7222"/>
    <w:rsid w:val="007D7676"/>
    <w:rsid w:val="007E0AFE"/>
    <w:rsid w:val="007E3BA6"/>
    <w:rsid w:val="007E4533"/>
    <w:rsid w:val="007E4669"/>
    <w:rsid w:val="007E4C35"/>
    <w:rsid w:val="007E51FB"/>
    <w:rsid w:val="007E6443"/>
    <w:rsid w:val="007E6A0E"/>
    <w:rsid w:val="007F220E"/>
    <w:rsid w:val="007F43B4"/>
    <w:rsid w:val="007F5E30"/>
    <w:rsid w:val="007F619A"/>
    <w:rsid w:val="007F66D5"/>
    <w:rsid w:val="007F678D"/>
    <w:rsid w:val="008000BE"/>
    <w:rsid w:val="008048C8"/>
    <w:rsid w:val="008050A0"/>
    <w:rsid w:val="00806E73"/>
    <w:rsid w:val="00817297"/>
    <w:rsid w:val="00817942"/>
    <w:rsid w:val="008209F5"/>
    <w:rsid w:val="00824BB2"/>
    <w:rsid w:val="008307A2"/>
    <w:rsid w:val="0083088D"/>
    <w:rsid w:val="008309D7"/>
    <w:rsid w:val="00833913"/>
    <w:rsid w:val="008411CB"/>
    <w:rsid w:val="008419A2"/>
    <w:rsid w:val="00842895"/>
    <w:rsid w:val="0084473D"/>
    <w:rsid w:val="0084604B"/>
    <w:rsid w:val="00846C69"/>
    <w:rsid w:val="00850895"/>
    <w:rsid w:val="00857B75"/>
    <w:rsid w:val="0086069F"/>
    <w:rsid w:val="00860732"/>
    <w:rsid w:val="00866A38"/>
    <w:rsid w:val="00873DE8"/>
    <w:rsid w:val="00874611"/>
    <w:rsid w:val="00876E6C"/>
    <w:rsid w:val="00877B59"/>
    <w:rsid w:val="00877D31"/>
    <w:rsid w:val="008816DA"/>
    <w:rsid w:val="008867C4"/>
    <w:rsid w:val="008A2D60"/>
    <w:rsid w:val="008B0029"/>
    <w:rsid w:val="008B2F90"/>
    <w:rsid w:val="008B6605"/>
    <w:rsid w:val="008C325B"/>
    <w:rsid w:val="008C72F6"/>
    <w:rsid w:val="008D6D8E"/>
    <w:rsid w:val="008E0897"/>
    <w:rsid w:val="008E4667"/>
    <w:rsid w:val="008E6C29"/>
    <w:rsid w:val="008E7D2F"/>
    <w:rsid w:val="008F19A5"/>
    <w:rsid w:val="008F6999"/>
    <w:rsid w:val="008F6CC0"/>
    <w:rsid w:val="009002BF"/>
    <w:rsid w:val="00901472"/>
    <w:rsid w:val="009033A9"/>
    <w:rsid w:val="009039A1"/>
    <w:rsid w:val="009063DE"/>
    <w:rsid w:val="00906EC6"/>
    <w:rsid w:val="0091048F"/>
    <w:rsid w:val="009143A5"/>
    <w:rsid w:val="00922CCC"/>
    <w:rsid w:val="0092301E"/>
    <w:rsid w:val="00925519"/>
    <w:rsid w:val="00937A6B"/>
    <w:rsid w:val="00941E0F"/>
    <w:rsid w:val="009422E7"/>
    <w:rsid w:val="00943376"/>
    <w:rsid w:val="00945019"/>
    <w:rsid w:val="00947011"/>
    <w:rsid w:val="0094764D"/>
    <w:rsid w:val="00950306"/>
    <w:rsid w:val="00950B5B"/>
    <w:rsid w:val="0095386B"/>
    <w:rsid w:val="00955224"/>
    <w:rsid w:val="0095598E"/>
    <w:rsid w:val="00957F4C"/>
    <w:rsid w:val="00964DA6"/>
    <w:rsid w:val="00966C4F"/>
    <w:rsid w:val="00966CDC"/>
    <w:rsid w:val="0097567F"/>
    <w:rsid w:val="00976FB5"/>
    <w:rsid w:val="009772EC"/>
    <w:rsid w:val="0098083E"/>
    <w:rsid w:val="0098127F"/>
    <w:rsid w:val="00981DBB"/>
    <w:rsid w:val="00984DBF"/>
    <w:rsid w:val="009853BC"/>
    <w:rsid w:val="00986135"/>
    <w:rsid w:val="0099024A"/>
    <w:rsid w:val="009904A3"/>
    <w:rsid w:val="009905B1"/>
    <w:rsid w:val="009915AD"/>
    <w:rsid w:val="009942B8"/>
    <w:rsid w:val="00994802"/>
    <w:rsid w:val="0099554F"/>
    <w:rsid w:val="009968AF"/>
    <w:rsid w:val="009A0B9E"/>
    <w:rsid w:val="009A2446"/>
    <w:rsid w:val="009A342E"/>
    <w:rsid w:val="009A35FF"/>
    <w:rsid w:val="009A4C70"/>
    <w:rsid w:val="009A5868"/>
    <w:rsid w:val="009A77A7"/>
    <w:rsid w:val="009B0D36"/>
    <w:rsid w:val="009B4482"/>
    <w:rsid w:val="009B59D1"/>
    <w:rsid w:val="009B6C5A"/>
    <w:rsid w:val="009B7BBA"/>
    <w:rsid w:val="009B7FB5"/>
    <w:rsid w:val="009C0845"/>
    <w:rsid w:val="009C42B3"/>
    <w:rsid w:val="009C67D6"/>
    <w:rsid w:val="009D115B"/>
    <w:rsid w:val="009D2007"/>
    <w:rsid w:val="009D2A5C"/>
    <w:rsid w:val="009D318F"/>
    <w:rsid w:val="009D464A"/>
    <w:rsid w:val="009D7620"/>
    <w:rsid w:val="009E2897"/>
    <w:rsid w:val="009E3A69"/>
    <w:rsid w:val="009E72F7"/>
    <w:rsid w:val="009F0322"/>
    <w:rsid w:val="00A01BF8"/>
    <w:rsid w:val="00A05E52"/>
    <w:rsid w:val="00A118A1"/>
    <w:rsid w:val="00A12CFB"/>
    <w:rsid w:val="00A1615C"/>
    <w:rsid w:val="00A17C9B"/>
    <w:rsid w:val="00A23DF7"/>
    <w:rsid w:val="00A25527"/>
    <w:rsid w:val="00A27732"/>
    <w:rsid w:val="00A2776B"/>
    <w:rsid w:val="00A3064F"/>
    <w:rsid w:val="00A36D3C"/>
    <w:rsid w:val="00A437EA"/>
    <w:rsid w:val="00A532FB"/>
    <w:rsid w:val="00A551D2"/>
    <w:rsid w:val="00A552F3"/>
    <w:rsid w:val="00A62D25"/>
    <w:rsid w:val="00A630D3"/>
    <w:rsid w:val="00A63E52"/>
    <w:rsid w:val="00A66B48"/>
    <w:rsid w:val="00A6764D"/>
    <w:rsid w:val="00A67EAD"/>
    <w:rsid w:val="00A72DBC"/>
    <w:rsid w:val="00A7419A"/>
    <w:rsid w:val="00A770B5"/>
    <w:rsid w:val="00A77B3B"/>
    <w:rsid w:val="00A77DA5"/>
    <w:rsid w:val="00A8052C"/>
    <w:rsid w:val="00A8289A"/>
    <w:rsid w:val="00A84787"/>
    <w:rsid w:val="00A84E8F"/>
    <w:rsid w:val="00A925B3"/>
    <w:rsid w:val="00A92679"/>
    <w:rsid w:val="00A9267D"/>
    <w:rsid w:val="00A931BF"/>
    <w:rsid w:val="00A937D5"/>
    <w:rsid w:val="00A94DC2"/>
    <w:rsid w:val="00AA2F8C"/>
    <w:rsid w:val="00AA53F6"/>
    <w:rsid w:val="00AB3231"/>
    <w:rsid w:val="00AB7CEE"/>
    <w:rsid w:val="00AC00A3"/>
    <w:rsid w:val="00AC2882"/>
    <w:rsid w:val="00AC42C3"/>
    <w:rsid w:val="00AD19F1"/>
    <w:rsid w:val="00AD294C"/>
    <w:rsid w:val="00AD2B70"/>
    <w:rsid w:val="00AE038D"/>
    <w:rsid w:val="00AE2C8E"/>
    <w:rsid w:val="00AE35EF"/>
    <w:rsid w:val="00AE699F"/>
    <w:rsid w:val="00AF0792"/>
    <w:rsid w:val="00AF2564"/>
    <w:rsid w:val="00AF395D"/>
    <w:rsid w:val="00AF7C45"/>
    <w:rsid w:val="00B03441"/>
    <w:rsid w:val="00B07C96"/>
    <w:rsid w:val="00B14993"/>
    <w:rsid w:val="00B15588"/>
    <w:rsid w:val="00B20355"/>
    <w:rsid w:val="00B20CB0"/>
    <w:rsid w:val="00B25152"/>
    <w:rsid w:val="00B25FB3"/>
    <w:rsid w:val="00B27CA6"/>
    <w:rsid w:val="00B311D4"/>
    <w:rsid w:val="00B339BA"/>
    <w:rsid w:val="00B33F8B"/>
    <w:rsid w:val="00B3423A"/>
    <w:rsid w:val="00B34247"/>
    <w:rsid w:val="00B36ADF"/>
    <w:rsid w:val="00B3787D"/>
    <w:rsid w:val="00B37C38"/>
    <w:rsid w:val="00B41A77"/>
    <w:rsid w:val="00B44347"/>
    <w:rsid w:val="00B448AB"/>
    <w:rsid w:val="00B51125"/>
    <w:rsid w:val="00B5127F"/>
    <w:rsid w:val="00B51EE9"/>
    <w:rsid w:val="00B5246E"/>
    <w:rsid w:val="00B546D9"/>
    <w:rsid w:val="00B556FC"/>
    <w:rsid w:val="00B5747A"/>
    <w:rsid w:val="00B60F22"/>
    <w:rsid w:val="00B61453"/>
    <w:rsid w:val="00B62065"/>
    <w:rsid w:val="00B6362F"/>
    <w:rsid w:val="00B65C7A"/>
    <w:rsid w:val="00B703F4"/>
    <w:rsid w:val="00B77E34"/>
    <w:rsid w:val="00B80301"/>
    <w:rsid w:val="00B807DE"/>
    <w:rsid w:val="00B82940"/>
    <w:rsid w:val="00B8491C"/>
    <w:rsid w:val="00B865C9"/>
    <w:rsid w:val="00B974B4"/>
    <w:rsid w:val="00BA0477"/>
    <w:rsid w:val="00BA05E6"/>
    <w:rsid w:val="00BA1575"/>
    <w:rsid w:val="00BA26FF"/>
    <w:rsid w:val="00BA30C8"/>
    <w:rsid w:val="00BA6711"/>
    <w:rsid w:val="00BB4BB5"/>
    <w:rsid w:val="00BB5301"/>
    <w:rsid w:val="00BB657D"/>
    <w:rsid w:val="00BB7C8C"/>
    <w:rsid w:val="00BC4E84"/>
    <w:rsid w:val="00BC5229"/>
    <w:rsid w:val="00BC5CB8"/>
    <w:rsid w:val="00BC6C13"/>
    <w:rsid w:val="00BC77ED"/>
    <w:rsid w:val="00BD2C2F"/>
    <w:rsid w:val="00BD2CF7"/>
    <w:rsid w:val="00BD685F"/>
    <w:rsid w:val="00BE0A85"/>
    <w:rsid w:val="00BE0BEE"/>
    <w:rsid w:val="00BE359D"/>
    <w:rsid w:val="00BE5647"/>
    <w:rsid w:val="00BF45E1"/>
    <w:rsid w:val="00C01ECA"/>
    <w:rsid w:val="00C02D77"/>
    <w:rsid w:val="00C02FD2"/>
    <w:rsid w:val="00C064C9"/>
    <w:rsid w:val="00C065B7"/>
    <w:rsid w:val="00C15786"/>
    <w:rsid w:val="00C17A94"/>
    <w:rsid w:val="00C17D61"/>
    <w:rsid w:val="00C25035"/>
    <w:rsid w:val="00C33121"/>
    <w:rsid w:val="00C352F7"/>
    <w:rsid w:val="00C362CC"/>
    <w:rsid w:val="00C40ADD"/>
    <w:rsid w:val="00C43BC5"/>
    <w:rsid w:val="00C45C87"/>
    <w:rsid w:val="00C45CD2"/>
    <w:rsid w:val="00C525FE"/>
    <w:rsid w:val="00C54C20"/>
    <w:rsid w:val="00C611D2"/>
    <w:rsid w:val="00C612C6"/>
    <w:rsid w:val="00C664D6"/>
    <w:rsid w:val="00C7019F"/>
    <w:rsid w:val="00C7371C"/>
    <w:rsid w:val="00C83BF2"/>
    <w:rsid w:val="00C90D7D"/>
    <w:rsid w:val="00C91D41"/>
    <w:rsid w:val="00C9310D"/>
    <w:rsid w:val="00C93BF8"/>
    <w:rsid w:val="00C955AD"/>
    <w:rsid w:val="00C96FFD"/>
    <w:rsid w:val="00CA08F5"/>
    <w:rsid w:val="00CB027D"/>
    <w:rsid w:val="00CB0B28"/>
    <w:rsid w:val="00CB11AE"/>
    <w:rsid w:val="00CB318E"/>
    <w:rsid w:val="00CB3F99"/>
    <w:rsid w:val="00CB7579"/>
    <w:rsid w:val="00CC08E3"/>
    <w:rsid w:val="00CC5AE7"/>
    <w:rsid w:val="00CD1AF6"/>
    <w:rsid w:val="00CD3967"/>
    <w:rsid w:val="00CE06CA"/>
    <w:rsid w:val="00CF173A"/>
    <w:rsid w:val="00CF365D"/>
    <w:rsid w:val="00CF4BE4"/>
    <w:rsid w:val="00CF6510"/>
    <w:rsid w:val="00CF6CDC"/>
    <w:rsid w:val="00CF7445"/>
    <w:rsid w:val="00CF78D9"/>
    <w:rsid w:val="00D024FE"/>
    <w:rsid w:val="00D030A3"/>
    <w:rsid w:val="00D042B8"/>
    <w:rsid w:val="00D049E2"/>
    <w:rsid w:val="00D06C79"/>
    <w:rsid w:val="00D07D55"/>
    <w:rsid w:val="00D118CD"/>
    <w:rsid w:val="00D12AA6"/>
    <w:rsid w:val="00D142FC"/>
    <w:rsid w:val="00D15628"/>
    <w:rsid w:val="00D15640"/>
    <w:rsid w:val="00D218ED"/>
    <w:rsid w:val="00D21B24"/>
    <w:rsid w:val="00D22665"/>
    <w:rsid w:val="00D31394"/>
    <w:rsid w:val="00D42404"/>
    <w:rsid w:val="00D441B8"/>
    <w:rsid w:val="00D450C1"/>
    <w:rsid w:val="00D45D67"/>
    <w:rsid w:val="00D5108C"/>
    <w:rsid w:val="00D5178A"/>
    <w:rsid w:val="00D52574"/>
    <w:rsid w:val="00D52EE3"/>
    <w:rsid w:val="00D563F9"/>
    <w:rsid w:val="00D658F8"/>
    <w:rsid w:val="00D70F20"/>
    <w:rsid w:val="00D71AC5"/>
    <w:rsid w:val="00D76683"/>
    <w:rsid w:val="00D77AB6"/>
    <w:rsid w:val="00D808C9"/>
    <w:rsid w:val="00D82CD3"/>
    <w:rsid w:val="00D83BAE"/>
    <w:rsid w:val="00D84E81"/>
    <w:rsid w:val="00D87C8E"/>
    <w:rsid w:val="00D9594A"/>
    <w:rsid w:val="00DA4649"/>
    <w:rsid w:val="00DB051E"/>
    <w:rsid w:val="00DB1147"/>
    <w:rsid w:val="00DB7AD0"/>
    <w:rsid w:val="00DC012F"/>
    <w:rsid w:val="00DC5464"/>
    <w:rsid w:val="00DC58E7"/>
    <w:rsid w:val="00DD0704"/>
    <w:rsid w:val="00DD1955"/>
    <w:rsid w:val="00DD291D"/>
    <w:rsid w:val="00DD2CF4"/>
    <w:rsid w:val="00DD6DF8"/>
    <w:rsid w:val="00DE5223"/>
    <w:rsid w:val="00DE7072"/>
    <w:rsid w:val="00DE7B22"/>
    <w:rsid w:val="00DF5AA9"/>
    <w:rsid w:val="00DF77A0"/>
    <w:rsid w:val="00E022BD"/>
    <w:rsid w:val="00E02EC1"/>
    <w:rsid w:val="00E03494"/>
    <w:rsid w:val="00E04FD8"/>
    <w:rsid w:val="00E055E3"/>
    <w:rsid w:val="00E05BDB"/>
    <w:rsid w:val="00E10267"/>
    <w:rsid w:val="00E12E82"/>
    <w:rsid w:val="00E12F79"/>
    <w:rsid w:val="00E13009"/>
    <w:rsid w:val="00E17E84"/>
    <w:rsid w:val="00E2483C"/>
    <w:rsid w:val="00E25A6E"/>
    <w:rsid w:val="00E2638A"/>
    <w:rsid w:val="00E2717F"/>
    <w:rsid w:val="00E31546"/>
    <w:rsid w:val="00E32E31"/>
    <w:rsid w:val="00E3346D"/>
    <w:rsid w:val="00E339F8"/>
    <w:rsid w:val="00E3568A"/>
    <w:rsid w:val="00E36D3C"/>
    <w:rsid w:val="00E411A9"/>
    <w:rsid w:val="00E411F4"/>
    <w:rsid w:val="00E44066"/>
    <w:rsid w:val="00E44A97"/>
    <w:rsid w:val="00E46ED4"/>
    <w:rsid w:val="00E557D3"/>
    <w:rsid w:val="00E55C73"/>
    <w:rsid w:val="00E56BC1"/>
    <w:rsid w:val="00E61820"/>
    <w:rsid w:val="00E61A39"/>
    <w:rsid w:val="00E62D01"/>
    <w:rsid w:val="00E6592A"/>
    <w:rsid w:val="00E67038"/>
    <w:rsid w:val="00E67F1C"/>
    <w:rsid w:val="00E71F08"/>
    <w:rsid w:val="00E72408"/>
    <w:rsid w:val="00E733EC"/>
    <w:rsid w:val="00E74F22"/>
    <w:rsid w:val="00E76D22"/>
    <w:rsid w:val="00E906A6"/>
    <w:rsid w:val="00E927FD"/>
    <w:rsid w:val="00E94DDD"/>
    <w:rsid w:val="00E95F4F"/>
    <w:rsid w:val="00EA3D9B"/>
    <w:rsid w:val="00EA58E6"/>
    <w:rsid w:val="00EA7F37"/>
    <w:rsid w:val="00EA7FF3"/>
    <w:rsid w:val="00EB14DA"/>
    <w:rsid w:val="00EB410A"/>
    <w:rsid w:val="00EB413C"/>
    <w:rsid w:val="00EB726D"/>
    <w:rsid w:val="00EC4071"/>
    <w:rsid w:val="00EC5341"/>
    <w:rsid w:val="00EC764A"/>
    <w:rsid w:val="00ED1BC8"/>
    <w:rsid w:val="00ED28F2"/>
    <w:rsid w:val="00ED3400"/>
    <w:rsid w:val="00ED6511"/>
    <w:rsid w:val="00EE3986"/>
    <w:rsid w:val="00EE6500"/>
    <w:rsid w:val="00EF2BD1"/>
    <w:rsid w:val="00EF36B7"/>
    <w:rsid w:val="00EF3FDB"/>
    <w:rsid w:val="00EF6B3D"/>
    <w:rsid w:val="00EF6C6E"/>
    <w:rsid w:val="00F00607"/>
    <w:rsid w:val="00F04C6C"/>
    <w:rsid w:val="00F130CE"/>
    <w:rsid w:val="00F23109"/>
    <w:rsid w:val="00F262C7"/>
    <w:rsid w:val="00F30253"/>
    <w:rsid w:val="00F40B8C"/>
    <w:rsid w:val="00F417F4"/>
    <w:rsid w:val="00F462BA"/>
    <w:rsid w:val="00F51112"/>
    <w:rsid w:val="00F553CB"/>
    <w:rsid w:val="00F57007"/>
    <w:rsid w:val="00F57112"/>
    <w:rsid w:val="00F572F9"/>
    <w:rsid w:val="00F5772D"/>
    <w:rsid w:val="00F607C5"/>
    <w:rsid w:val="00F60DB1"/>
    <w:rsid w:val="00F61A5C"/>
    <w:rsid w:val="00F61DA9"/>
    <w:rsid w:val="00F65ED7"/>
    <w:rsid w:val="00F7448A"/>
    <w:rsid w:val="00F7596E"/>
    <w:rsid w:val="00F764A4"/>
    <w:rsid w:val="00F76E22"/>
    <w:rsid w:val="00F772C0"/>
    <w:rsid w:val="00F824D8"/>
    <w:rsid w:val="00F84064"/>
    <w:rsid w:val="00F8431B"/>
    <w:rsid w:val="00F92761"/>
    <w:rsid w:val="00F928D9"/>
    <w:rsid w:val="00F92D64"/>
    <w:rsid w:val="00F93BAF"/>
    <w:rsid w:val="00F95D2D"/>
    <w:rsid w:val="00F964F7"/>
    <w:rsid w:val="00F96F71"/>
    <w:rsid w:val="00F973A2"/>
    <w:rsid w:val="00F97600"/>
    <w:rsid w:val="00FA1185"/>
    <w:rsid w:val="00FA68CA"/>
    <w:rsid w:val="00FB0278"/>
    <w:rsid w:val="00FB39D0"/>
    <w:rsid w:val="00FB4966"/>
    <w:rsid w:val="00FB4CB6"/>
    <w:rsid w:val="00FB4DE0"/>
    <w:rsid w:val="00FC333D"/>
    <w:rsid w:val="00FC3FFE"/>
    <w:rsid w:val="00FC417C"/>
    <w:rsid w:val="00FC41F1"/>
    <w:rsid w:val="00FC5D79"/>
    <w:rsid w:val="00FC7AD0"/>
    <w:rsid w:val="00FD1062"/>
    <w:rsid w:val="00FD1AE3"/>
    <w:rsid w:val="00FD4D02"/>
    <w:rsid w:val="00FD65EB"/>
    <w:rsid w:val="00FD76C5"/>
    <w:rsid w:val="00FE1CAC"/>
    <w:rsid w:val="00FE1E9B"/>
    <w:rsid w:val="00FE354D"/>
    <w:rsid w:val="00FE6A88"/>
    <w:rsid w:val="00FF1F84"/>
    <w:rsid w:val="00FF393C"/>
    <w:rsid w:val="00FF4153"/>
    <w:rsid w:val="00FF61C3"/>
    <w:rsid w:val="00FF635B"/>
    <w:rsid w:val="00FF6A90"/>
    <w:rsid w:val="093009E1"/>
    <w:rsid w:val="0E433D8F"/>
    <w:rsid w:val="1C5D665B"/>
    <w:rsid w:val="1CBD53FA"/>
    <w:rsid w:val="1FDE283D"/>
    <w:rsid w:val="23C8760C"/>
    <w:rsid w:val="2DFFACD4"/>
    <w:rsid w:val="2E6B73DF"/>
    <w:rsid w:val="2FE5083E"/>
    <w:rsid w:val="39B22528"/>
    <w:rsid w:val="3AC91A82"/>
    <w:rsid w:val="3D9787ED"/>
    <w:rsid w:val="3EA30D63"/>
    <w:rsid w:val="3EFE5DB0"/>
    <w:rsid w:val="3FF49A49"/>
    <w:rsid w:val="3FF77CA5"/>
    <w:rsid w:val="3FFB46EC"/>
    <w:rsid w:val="3FFF8DDB"/>
    <w:rsid w:val="3FFFA9F3"/>
    <w:rsid w:val="438B1486"/>
    <w:rsid w:val="44FECC3D"/>
    <w:rsid w:val="451C1DA9"/>
    <w:rsid w:val="48FFD267"/>
    <w:rsid w:val="4AAF17C9"/>
    <w:rsid w:val="4CB55BC5"/>
    <w:rsid w:val="4D75CE6C"/>
    <w:rsid w:val="4EF7B269"/>
    <w:rsid w:val="4F7A8BDA"/>
    <w:rsid w:val="53FDF3AF"/>
    <w:rsid w:val="57FA7859"/>
    <w:rsid w:val="57FFD977"/>
    <w:rsid w:val="5B9F4F84"/>
    <w:rsid w:val="5BBF714D"/>
    <w:rsid w:val="5BCD1546"/>
    <w:rsid w:val="5CF6C8F9"/>
    <w:rsid w:val="5F9FED35"/>
    <w:rsid w:val="5FB321A3"/>
    <w:rsid w:val="5FBBEADD"/>
    <w:rsid w:val="5FDDE917"/>
    <w:rsid w:val="5FF78169"/>
    <w:rsid w:val="63DF74EE"/>
    <w:rsid w:val="65BB5456"/>
    <w:rsid w:val="66F7BF53"/>
    <w:rsid w:val="6A324FF0"/>
    <w:rsid w:val="6B7592EF"/>
    <w:rsid w:val="6BBC3E61"/>
    <w:rsid w:val="6BE7C33C"/>
    <w:rsid w:val="6D77FC8E"/>
    <w:rsid w:val="6D7F559A"/>
    <w:rsid w:val="6DF3A5AB"/>
    <w:rsid w:val="6F7D2B3A"/>
    <w:rsid w:val="6F9F0844"/>
    <w:rsid w:val="6FB3B9C5"/>
    <w:rsid w:val="6FDE62AD"/>
    <w:rsid w:val="70F7CFA0"/>
    <w:rsid w:val="737DF8F0"/>
    <w:rsid w:val="76FF1CFC"/>
    <w:rsid w:val="776CECA7"/>
    <w:rsid w:val="776E85EF"/>
    <w:rsid w:val="77FDECAF"/>
    <w:rsid w:val="7AFFEE7B"/>
    <w:rsid w:val="7BFFBCFD"/>
    <w:rsid w:val="7D6B05AB"/>
    <w:rsid w:val="7DD78487"/>
    <w:rsid w:val="7E7F829A"/>
    <w:rsid w:val="7EBDE828"/>
    <w:rsid w:val="7EEF6B19"/>
    <w:rsid w:val="7EF9AFA0"/>
    <w:rsid w:val="7EFD5268"/>
    <w:rsid w:val="7EFDCDEA"/>
    <w:rsid w:val="7F1FB747"/>
    <w:rsid w:val="7F497E04"/>
    <w:rsid w:val="7F5F5E97"/>
    <w:rsid w:val="7FC36EBE"/>
    <w:rsid w:val="7FE7C37C"/>
    <w:rsid w:val="7FFE7317"/>
    <w:rsid w:val="7FFF25C5"/>
    <w:rsid w:val="7FFFF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A097DBF"/>
  <w15:docId w15:val="{3D1629B2-DD89-4BE2-9751-C9088CDCB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iPriority w:val="9"/>
    <w:semiHidden/>
    <w:unhideWhenUsed/>
    <w:qFormat/>
    <w:pPr>
      <w:spacing w:beforeAutospacing="1" w:afterAutospacing="1"/>
      <w:jc w:val="left"/>
      <w:outlineLvl w:val="1"/>
    </w:pPr>
    <w:rPr>
      <w:rFonts w:ascii="宋体" w:hAnsi="宋体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4">
    <w:name w:val="toc 4"/>
    <w:basedOn w:val="a"/>
    <w:next w:val="a"/>
    <w:uiPriority w:val="39"/>
    <w:semiHidden/>
    <w:unhideWhenUsed/>
    <w:qFormat/>
    <w:pPr>
      <w:ind w:leftChars="600" w:left="1260"/>
    </w:pPr>
  </w:style>
  <w:style w:type="paragraph" w:styleId="TOC2">
    <w:name w:val="toc 2"/>
    <w:basedOn w:val="a"/>
    <w:next w:val="a"/>
    <w:uiPriority w:val="39"/>
    <w:unhideWhenUsed/>
    <w:qFormat/>
    <w:pPr>
      <w:widowControl/>
      <w:spacing w:after="100" w:line="276" w:lineRule="auto"/>
      <w:ind w:left="220"/>
      <w:jc w:val="left"/>
    </w:pPr>
    <w:rPr>
      <w:rFonts w:ascii="等线" w:eastAsia="等线" w:hAnsi="等线"/>
      <w:kern w:val="0"/>
      <w:sz w:val="22"/>
      <w:szCs w:val="22"/>
    </w:rPr>
  </w:style>
  <w:style w:type="paragraph" w:styleId="HTML">
    <w:name w:val="HTML Preformatted"/>
    <w:basedOn w:val="a"/>
    <w:link w:val="HTML0"/>
    <w:uiPriority w:val="99"/>
    <w:semiHidden/>
    <w:unhideWhenUsed/>
    <w:qFormat/>
    <w:pPr>
      <w:widowControl/>
      <w:pBdr>
        <w:top w:val="single" w:sz="6" w:space="7" w:color="CCCCCC"/>
        <w:left w:val="single" w:sz="6" w:space="7" w:color="CCCCCC"/>
        <w:bottom w:val="single" w:sz="6" w:space="7" w:color="CCCCCC"/>
        <w:right w:val="single" w:sz="6" w:space="7" w:color="CCCCCC"/>
      </w:pBdr>
      <w:shd w:val="clear" w:color="auto" w:fill="F5F5F5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spacing w:after="150"/>
      <w:jc w:val="left"/>
    </w:pPr>
    <w:rPr>
      <w:rFonts w:ascii="Consolas" w:hAnsi="Consolas" w:cs="Courier New"/>
      <w:color w:val="333333"/>
      <w:kern w:val="0"/>
      <w:sz w:val="20"/>
      <w:szCs w:val="20"/>
    </w:rPr>
  </w:style>
  <w:style w:type="paragraph" w:styleId="ab">
    <w:name w:val="Normal (Web)"/>
    <w:basedOn w:val="a"/>
    <w:uiPriority w:val="99"/>
    <w:semiHidden/>
    <w:unhideWhenUsed/>
    <w:qFormat/>
    <w:rPr>
      <w:sz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table" w:styleId="ae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basedOn w:val="a0"/>
    <w:uiPriority w:val="22"/>
    <w:qFormat/>
    <w:rPr>
      <w:b/>
    </w:rPr>
  </w:style>
  <w:style w:type="character" w:styleId="af0">
    <w:name w:val="page number"/>
    <w:basedOn w:val="a0"/>
    <w:qFormat/>
  </w:style>
  <w:style w:type="character" w:styleId="af1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f2">
    <w:name w:val="annotation reference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link w:val="a9"/>
    <w:uiPriority w:val="99"/>
    <w:qFormat/>
    <w:rPr>
      <w:sz w:val="18"/>
      <w:szCs w:val="18"/>
    </w:rPr>
  </w:style>
  <w:style w:type="character" w:customStyle="1" w:styleId="a8">
    <w:name w:val="页脚 字符"/>
    <w:link w:val="a7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paragraph" w:styleId="af3">
    <w:name w:val="List Paragraph"/>
    <w:basedOn w:val="a"/>
    <w:link w:val="af4"/>
    <w:uiPriority w:val="34"/>
    <w:qFormat/>
    <w:pPr>
      <w:ind w:firstLineChars="200" w:firstLine="420"/>
    </w:pPr>
    <w:rPr>
      <w:rFonts w:ascii="等线" w:eastAsia="等线" w:hAnsi="等线"/>
      <w:szCs w:val="22"/>
    </w:rPr>
  </w:style>
  <w:style w:type="character" w:customStyle="1" w:styleId="a6">
    <w:name w:val="批注框文本 字符"/>
    <w:link w:val="a5"/>
    <w:uiPriority w:val="99"/>
    <w:semiHidden/>
    <w:qFormat/>
    <w:rPr>
      <w:rFonts w:ascii="Times New Roman" w:hAnsi="Times New Roman"/>
      <w:kern w:val="2"/>
      <w:sz w:val="18"/>
      <w:szCs w:val="18"/>
    </w:rPr>
  </w:style>
  <w:style w:type="paragraph" w:customStyle="1" w:styleId="1">
    <w:name w:val="正文1"/>
    <w:qFormat/>
    <w:pPr>
      <w:jc w:val="both"/>
    </w:pPr>
    <w:rPr>
      <w:kern w:val="2"/>
      <w:sz w:val="21"/>
      <w:szCs w:val="21"/>
    </w:rPr>
  </w:style>
  <w:style w:type="paragraph" w:customStyle="1" w:styleId="10">
    <w:name w:val="修订1"/>
    <w:hidden/>
    <w:uiPriority w:val="99"/>
    <w:semiHidden/>
    <w:rPr>
      <w:kern w:val="2"/>
      <w:sz w:val="21"/>
      <w:szCs w:val="24"/>
    </w:rPr>
  </w:style>
  <w:style w:type="paragraph" w:customStyle="1" w:styleId="af5">
    <w:name w:val="日常使用"/>
    <w:basedOn w:val="a"/>
    <w:link w:val="af6"/>
    <w:qFormat/>
    <w:pPr>
      <w:spacing w:line="460" w:lineRule="exact"/>
      <w:ind w:firstLineChars="200" w:firstLine="200"/>
    </w:pPr>
    <w:rPr>
      <w:sz w:val="24"/>
      <w:szCs w:val="19"/>
      <w:shd w:val="clear" w:color="auto" w:fill="FFFFFF"/>
    </w:rPr>
  </w:style>
  <w:style w:type="character" w:customStyle="1" w:styleId="af6">
    <w:name w:val="日常使用 字符"/>
    <w:link w:val="af5"/>
    <w:qFormat/>
    <w:rPr>
      <w:rFonts w:ascii="Times New Roman" w:hAnsi="Times New Roman"/>
      <w:kern w:val="2"/>
      <w:sz w:val="24"/>
      <w:szCs w:val="19"/>
    </w:rPr>
  </w:style>
  <w:style w:type="paragraph" w:customStyle="1" w:styleId="af7">
    <w:name w:val="标准格式"/>
    <w:link w:val="af8"/>
    <w:qFormat/>
    <w:pPr>
      <w:spacing w:line="360" w:lineRule="exact"/>
      <w:ind w:firstLineChars="200" w:firstLine="200"/>
      <w:jc w:val="both"/>
    </w:pPr>
    <w:rPr>
      <w:rFonts w:cs="宋体"/>
      <w:color w:val="000000"/>
      <w:sz w:val="21"/>
      <w:szCs w:val="24"/>
    </w:rPr>
  </w:style>
  <w:style w:type="character" w:customStyle="1" w:styleId="af8">
    <w:name w:val="标准格式 字符"/>
    <w:link w:val="af7"/>
    <w:rPr>
      <w:rFonts w:ascii="Times New Roman" w:hAnsi="Times New Roman" w:cs="宋体"/>
      <w:color w:val="000000"/>
      <w:sz w:val="21"/>
      <w:szCs w:val="24"/>
    </w:rPr>
  </w:style>
  <w:style w:type="character" w:customStyle="1" w:styleId="af4">
    <w:name w:val="列表段落 字符"/>
    <w:link w:val="af3"/>
    <w:uiPriority w:val="34"/>
    <w:rPr>
      <w:rFonts w:ascii="等线" w:eastAsia="等线" w:hAnsi="等线"/>
      <w:kern w:val="2"/>
      <w:sz w:val="21"/>
      <w:szCs w:val="22"/>
    </w:rPr>
  </w:style>
  <w:style w:type="character" w:customStyle="1" w:styleId="a4">
    <w:name w:val="批注文字 字符"/>
    <w:link w:val="a3"/>
    <w:uiPriority w:val="99"/>
    <w:semiHidden/>
    <w:qFormat/>
    <w:rPr>
      <w:rFonts w:ascii="Times New Roman" w:hAnsi="Times New Roman"/>
      <w:kern w:val="2"/>
      <w:sz w:val="21"/>
      <w:szCs w:val="24"/>
    </w:rPr>
  </w:style>
  <w:style w:type="character" w:customStyle="1" w:styleId="ad">
    <w:name w:val="批注主题 字符"/>
    <w:link w:val="ac"/>
    <w:uiPriority w:val="99"/>
    <w:semiHidden/>
    <w:qFormat/>
    <w:rPr>
      <w:rFonts w:ascii="Times New Roman" w:hAnsi="Times New Roman"/>
      <w:b/>
      <w:bCs/>
      <w:kern w:val="2"/>
      <w:sz w:val="21"/>
      <w:szCs w:val="24"/>
    </w:rPr>
  </w:style>
  <w:style w:type="paragraph" w:customStyle="1" w:styleId="20">
    <w:name w:val="样式2"/>
    <w:basedOn w:val="a"/>
    <w:link w:val="21"/>
    <w:qFormat/>
    <w:pPr>
      <w:spacing w:line="460" w:lineRule="exact"/>
      <w:ind w:firstLineChars="200" w:firstLine="200"/>
      <w:outlineLvl w:val="1"/>
    </w:pPr>
    <w:rPr>
      <w:b/>
      <w:sz w:val="24"/>
    </w:rPr>
  </w:style>
  <w:style w:type="character" w:customStyle="1" w:styleId="21">
    <w:name w:val="样式2 字符"/>
    <w:link w:val="20"/>
    <w:qFormat/>
    <w:rPr>
      <w:rFonts w:ascii="Times New Roman" w:hAnsi="Times New Roman"/>
      <w:b/>
      <w:kern w:val="2"/>
      <w:sz w:val="24"/>
      <w:szCs w:val="24"/>
    </w:rPr>
  </w:style>
  <w:style w:type="paragraph" w:customStyle="1" w:styleId="005">
    <w:name w:val="005正文"/>
    <w:basedOn w:val="a"/>
    <w:link w:val="005Char"/>
    <w:qFormat/>
    <w:pPr>
      <w:spacing w:beforeLines="50"/>
    </w:pPr>
    <w:rPr>
      <w:szCs w:val="22"/>
    </w:rPr>
  </w:style>
  <w:style w:type="character" w:customStyle="1" w:styleId="005Char">
    <w:name w:val="005正文 Char"/>
    <w:link w:val="005"/>
    <w:qFormat/>
    <w:rPr>
      <w:rFonts w:ascii="Times New Roman" w:hAnsi="Times New Roman"/>
      <w:kern w:val="2"/>
      <w:sz w:val="21"/>
      <w:szCs w:val="22"/>
    </w:rPr>
  </w:style>
  <w:style w:type="character" w:customStyle="1" w:styleId="HTML0">
    <w:name w:val="HTML 预设格式 字符"/>
    <w:link w:val="HTML"/>
    <w:uiPriority w:val="99"/>
    <w:semiHidden/>
    <w:qFormat/>
    <w:rPr>
      <w:rFonts w:ascii="Consolas" w:hAnsi="Consolas" w:cs="Courier New"/>
      <w:color w:val="333333"/>
      <w:shd w:val="clear" w:color="auto" w:fill="F5F5F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Version="6" SelectedStyle="\APASixthEditionOfficeOnline.xsl" StyleName="APA"/>
</file>

<file path=customXml/itemProps1.xml><?xml version="1.0" encoding="utf-8"?>
<ds:datastoreItem xmlns:ds="http://schemas.openxmlformats.org/officeDocument/2006/customXml" ds:itemID="{0054567A-2D30-414B-BE73-D9F1E1BC2A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242</Words>
  <Characters>1385</Characters>
  <Application>Microsoft Office Word</Application>
  <DocSecurity>0</DocSecurity>
  <Lines>11</Lines>
  <Paragraphs>3</Paragraphs>
  <ScaleCrop>false</ScaleCrop>
  <Company>微软中国</Company>
  <LinksUpToDate>false</LinksUpToDate>
  <CharactersWithSpaces>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杨毅玲</dc:creator>
  <cp:lastModifiedBy>DB</cp:lastModifiedBy>
  <cp:revision>55</cp:revision>
  <dcterms:created xsi:type="dcterms:W3CDTF">2024-05-26T01:26:00Z</dcterms:created>
  <dcterms:modified xsi:type="dcterms:W3CDTF">2025-11-05T08:27:00Z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eyJoZGlkIjoiNjI5MWNkNWM4ODFjMzdlNTlmM2E5OGI1Njk3OThhN2UiLCJ1c2VySWQiOiI0NDQ4Nzc2MjkifQ==</vt:lpwstr>
  </property>
  <property fmtid="{D5CDD505-2E9C-101B-9397-08002B2CF9AE}" pid="4" name="ICV">
    <vt:lpwstr>1DE0CB06F9824F3BB2544D669F9F14AF_13</vt:lpwstr>
  </property>
</Properties>
</file>