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521539">
      <w:pPr>
        <w:spacing w:before="156" w:beforeLines="50" w:after="156" w:afterLines="50" w:line="400" w:lineRule="exact"/>
        <w:rPr>
          <w:rFonts w:ascii="宋体" w:hAnsi="宋体"/>
          <w:bCs/>
          <w:iCs/>
          <w:color w:val="000000"/>
          <w:sz w:val="24"/>
          <w:highlight w:val="none"/>
        </w:rPr>
      </w:pPr>
      <w:r>
        <w:rPr>
          <w:rFonts w:hint="eastAsia" w:ascii="宋体" w:hAnsi="宋体"/>
          <w:bCs/>
          <w:iCs/>
          <w:color w:val="000000"/>
          <w:sz w:val="24"/>
          <w:highlight w:val="none"/>
        </w:rPr>
        <w:t>证券代码：688435                                   证券简称：英方软件</w:t>
      </w:r>
    </w:p>
    <w:p w14:paraId="301A4774">
      <w:pPr>
        <w:spacing w:before="156" w:beforeLines="50" w:after="156" w:afterLines="50" w:line="400" w:lineRule="exact"/>
        <w:jc w:val="center"/>
        <w:rPr>
          <w:rFonts w:ascii="宋体" w:hAnsi="宋体"/>
          <w:b/>
          <w:bCs/>
          <w:iCs/>
          <w:color w:val="000000"/>
          <w:sz w:val="32"/>
          <w:szCs w:val="32"/>
          <w:highlight w:val="none"/>
        </w:rPr>
      </w:pPr>
      <w:r>
        <w:rPr>
          <w:rFonts w:hint="eastAsia" w:ascii="宋体" w:hAnsi="宋体"/>
          <w:b/>
          <w:bCs/>
          <w:iCs/>
          <w:color w:val="000000"/>
          <w:sz w:val="32"/>
          <w:szCs w:val="32"/>
          <w:highlight w:val="none"/>
        </w:rPr>
        <w:t>上海英方软件股份有限公司</w:t>
      </w:r>
    </w:p>
    <w:p w14:paraId="1763587E">
      <w:pPr>
        <w:spacing w:before="156" w:beforeLines="50" w:after="156" w:afterLines="50" w:line="400" w:lineRule="exact"/>
        <w:jc w:val="center"/>
        <w:rPr>
          <w:rFonts w:ascii="宋体" w:hAnsi="宋体"/>
          <w:b/>
          <w:bCs/>
          <w:iCs/>
          <w:color w:val="000000"/>
          <w:sz w:val="32"/>
          <w:szCs w:val="32"/>
          <w:highlight w:val="none"/>
        </w:rPr>
      </w:pPr>
      <w:r>
        <w:rPr>
          <w:rFonts w:hint="eastAsia" w:ascii="宋体" w:hAnsi="宋体"/>
          <w:b/>
          <w:bCs/>
          <w:iCs/>
          <w:color w:val="000000"/>
          <w:sz w:val="32"/>
          <w:szCs w:val="32"/>
          <w:highlight w:val="none"/>
        </w:rPr>
        <w:t>投资者关系活动记录表</w:t>
      </w:r>
    </w:p>
    <w:p w14:paraId="4FB3E1EE">
      <w:pPr>
        <w:spacing w:line="400" w:lineRule="exact"/>
        <w:rPr>
          <w:rFonts w:hint="default" w:ascii="宋体" w:hAnsi="宋体" w:eastAsiaTheme="minorEastAsia"/>
          <w:bCs/>
          <w:iCs/>
          <w:color w:val="000000"/>
          <w:sz w:val="24"/>
          <w:highlight w:val="yellow"/>
          <w:lang w:val="en-US" w:eastAsia="zh-CN"/>
        </w:rPr>
      </w:pPr>
      <w:r>
        <w:rPr>
          <w:rFonts w:hint="eastAsia" w:ascii="宋体" w:hAnsi="宋体"/>
          <w:bCs/>
          <w:iCs/>
          <w:color w:val="000000"/>
          <w:sz w:val="24"/>
          <w:highlight w:val="none"/>
        </w:rPr>
        <w:t xml:space="preserve">                                                      编号：202</w:t>
      </w:r>
      <w:r>
        <w:rPr>
          <w:rFonts w:hint="eastAsia" w:ascii="宋体" w:hAnsi="宋体"/>
          <w:bCs/>
          <w:iCs/>
          <w:color w:val="000000"/>
          <w:sz w:val="24"/>
          <w:highlight w:val="none"/>
          <w:lang w:val="en-US" w:eastAsia="zh-CN"/>
        </w:rPr>
        <w:t>5-008</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3"/>
        <w:gridCol w:w="7009"/>
      </w:tblGrid>
      <w:tr w14:paraId="441EA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14:paraId="23B38CBE">
            <w:pPr>
              <w:spacing w:line="480" w:lineRule="atLeast"/>
              <w:jc w:val="center"/>
              <w:rPr>
                <w:rFonts w:ascii="宋体" w:hAnsi="宋体"/>
                <w:bCs/>
                <w:iCs/>
                <w:color w:val="000000"/>
                <w:sz w:val="24"/>
                <w:highlight w:val="none"/>
              </w:rPr>
            </w:pPr>
            <w:r>
              <w:rPr>
                <w:rFonts w:hint="eastAsia" w:ascii="宋体" w:hAnsi="宋体"/>
                <w:bCs/>
                <w:iCs/>
                <w:color w:val="000000"/>
                <w:sz w:val="24"/>
                <w:highlight w:val="none"/>
              </w:rPr>
              <w:t>投资者关系活动类别</w:t>
            </w:r>
          </w:p>
        </w:tc>
        <w:tc>
          <w:tcPr>
            <w:tcW w:w="7009" w:type="dxa"/>
          </w:tcPr>
          <w:p w14:paraId="05D768B2">
            <w:pPr>
              <w:spacing w:line="360" w:lineRule="auto"/>
              <w:ind w:firstLine="480"/>
              <w:rPr>
                <w:rFonts w:ascii="宋体" w:hAnsi="宋体" w:eastAsia="宋体"/>
                <w:bCs/>
                <w:iCs/>
                <w:sz w:val="24"/>
                <w:szCs w:val="24"/>
                <w:highlight w:val="none"/>
              </w:rPr>
            </w:pPr>
            <w:r>
              <w:rPr>
                <w:rFonts w:hint="eastAsia" w:ascii="宋体" w:hAnsi="宋体" w:eastAsia="宋体"/>
                <w:bCs/>
                <w:iCs/>
                <w:sz w:val="24"/>
                <w:szCs w:val="24"/>
                <w:highlight w:val="none"/>
              </w:rPr>
              <w:t>□</w:t>
            </w:r>
            <w:r>
              <w:rPr>
                <w:rFonts w:hint="eastAsia" w:ascii="宋体" w:hAnsi="宋体" w:eastAsia="宋体"/>
                <w:sz w:val="24"/>
                <w:szCs w:val="24"/>
                <w:highlight w:val="none"/>
              </w:rPr>
              <w:t xml:space="preserve">特定对象调研        </w:t>
            </w:r>
            <w:r>
              <w:rPr>
                <w:rFonts w:hint="eastAsia" w:ascii="宋体" w:hAnsi="宋体" w:eastAsia="宋体"/>
                <w:bCs/>
                <w:iCs/>
                <w:sz w:val="24"/>
                <w:szCs w:val="24"/>
                <w:highlight w:val="none"/>
              </w:rPr>
              <w:t>□</w:t>
            </w:r>
            <w:r>
              <w:rPr>
                <w:rFonts w:hint="eastAsia" w:ascii="宋体" w:hAnsi="宋体" w:eastAsia="宋体"/>
                <w:sz w:val="24"/>
                <w:szCs w:val="24"/>
                <w:highlight w:val="none"/>
              </w:rPr>
              <w:t>分析师会议</w:t>
            </w:r>
          </w:p>
          <w:p w14:paraId="1CFD84FA">
            <w:pPr>
              <w:spacing w:line="360" w:lineRule="auto"/>
              <w:ind w:firstLine="480"/>
              <w:rPr>
                <w:rFonts w:ascii="宋体" w:hAnsi="宋体" w:eastAsia="宋体"/>
                <w:bCs/>
                <w:iCs/>
                <w:sz w:val="24"/>
                <w:szCs w:val="24"/>
                <w:highlight w:val="none"/>
              </w:rPr>
            </w:pPr>
            <w:r>
              <w:rPr>
                <w:rFonts w:hint="eastAsia" w:ascii="宋体" w:hAnsi="宋体" w:eastAsia="宋体"/>
                <w:bCs/>
                <w:iCs/>
                <w:sz w:val="24"/>
                <w:szCs w:val="24"/>
                <w:highlight w:val="none"/>
              </w:rPr>
              <w:t>□</w:t>
            </w:r>
            <w:r>
              <w:rPr>
                <w:rFonts w:hint="eastAsia" w:ascii="宋体" w:hAnsi="宋体" w:eastAsia="宋体"/>
                <w:sz w:val="24"/>
                <w:szCs w:val="24"/>
                <w:highlight w:val="none"/>
              </w:rPr>
              <w:t xml:space="preserve">媒体采访            </w:t>
            </w:r>
            <w:r>
              <w:rPr>
                <w:rFonts w:hint="eastAsia" w:ascii="宋体" w:hAnsi="宋体" w:eastAsia="宋体"/>
                <w:bCs/>
                <w:iCs/>
                <w:sz w:val="24"/>
                <w:szCs w:val="24"/>
                <w:highlight w:val="none"/>
              </w:rPr>
              <w:sym w:font="Wingdings 2" w:char="0052"/>
            </w:r>
            <w:r>
              <w:rPr>
                <w:rFonts w:hint="eastAsia" w:ascii="宋体" w:hAnsi="宋体" w:eastAsia="宋体"/>
                <w:sz w:val="24"/>
                <w:szCs w:val="24"/>
                <w:highlight w:val="none"/>
              </w:rPr>
              <w:t>业绩说明会</w:t>
            </w:r>
          </w:p>
          <w:p w14:paraId="6FB31B73">
            <w:pPr>
              <w:spacing w:line="360" w:lineRule="auto"/>
              <w:ind w:firstLine="480"/>
              <w:rPr>
                <w:rFonts w:ascii="宋体" w:hAnsi="宋体" w:eastAsia="宋体"/>
                <w:bCs/>
                <w:iCs/>
                <w:sz w:val="24"/>
                <w:szCs w:val="24"/>
                <w:highlight w:val="none"/>
              </w:rPr>
            </w:pPr>
            <w:r>
              <w:rPr>
                <w:rFonts w:hint="eastAsia" w:ascii="宋体" w:hAnsi="宋体" w:eastAsia="宋体"/>
                <w:bCs/>
                <w:iCs/>
                <w:sz w:val="24"/>
                <w:szCs w:val="24"/>
                <w:highlight w:val="none"/>
              </w:rPr>
              <w:t>□</w:t>
            </w:r>
            <w:r>
              <w:rPr>
                <w:rFonts w:hint="eastAsia" w:ascii="宋体" w:hAnsi="宋体" w:eastAsia="宋体"/>
                <w:sz w:val="24"/>
                <w:szCs w:val="24"/>
                <w:highlight w:val="none"/>
              </w:rPr>
              <w:t xml:space="preserve">新闻发布会          </w:t>
            </w:r>
            <w:r>
              <w:rPr>
                <w:rFonts w:hint="eastAsia" w:ascii="宋体" w:hAnsi="宋体" w:eastAsia="宋体"/>
                <w:bCs/>
                <w:iCs/>
                <w:sz w:val="24"/>
                <w:szCs w:val="24"/>
                <w:highlight w:val="none"/>
              </w:rPr>
              <w:t>□</w:t>
            </w:r>
            <w:r>
              <w:rPr>
                <w:rFonts w:hint="eastAsia" w:ascii="宋体" w:hAnsi="宋体" w:eastAsia="宋体"/>
                <w:sz w:val="24"/>
                <w:szCs w:val="24"/>
                <w:highlight w:val="none"/>
              </w:rPr>
              <w:t>路演活动</w:t>
            </w:r>
          </w:p>
          <w:p w14:paraId="1C4BAA30">
            <w:pPr>
              <w:tabs>
                <w:tab w:val="left" w:pos="2690"/>
                <w:tab w:val="center" w:pos="3199"/>
              </w:tabs>
              <w:spacing w:line="360" w:lineRule="auto"/>
              <w:ind w:firstLine="480"/>
              <w:rPr>
                <w:rFonts w:ascii="宋体" w:hAnsi="宋体" w:eastAsia="宋体"/>
                <w:bCs/>
                <w:iCs/>
                <w:sz w:val="24"/>
                <w:szCs w:val="24"/>
                <w:highlight w:val="none"/>
              </w:rPr>
            </w:pPr>
            <w:r>
              <w:rPr>
                <w:rFonts w:hint="eastAsia" w:ascii="宋体" w:hAnsi="宋体" w:eastAsia="宋体"/>
                <w:bCs/>
                <w:iCs/>
                <w:sz w:val="24"/>
                <w:szCs w:val="24"/>
                <w:highlight w:val="none"/>
              </w:rPr>
              <w:t>□</w:t>
            </w:r>
            <w:r>
              <w:rPr>
                <w:rFonts w:hint="eastAsia" w:ascii="宋体" w:hAnsi="宋体" w:eastAsia="宋体"/>
                <w:sz w:val="24"/>
                <w:szCs w:val="24"/>
                <w:highlight w:val="none"/>
              </w:rPr>
              <w:t xml:space="preserve">现场参观            </w:t>
            </w:r>
            <w:r>
              <w:rPr>
                <w:rFonts w:hint="eastAsia" w:ascii="宋体" w:hAnsi="宋体" w:eastAsia="宋体"/>
                <w:bCs/>
                <w:iCs/>
                <w:sz w:val="24"/>
                <w:szCs w:val="24"/>
                <w:highlight w:val="none"/>
              </w:rPr>
              <w:t>□</w:t>
            </w:r>
            <w:r>
              <w:rPr>
                <w:rFonts w:hint="eastAsia" w:ascii="宋体" w:hAnsi="宋体" w:eastAsia="宋体"/>
                <w:sz w:val="24"/>
                <w:szCs w:val="24"/>
                <w:highlight w:val="none"/>
              </w:rPr>
              <w:t>电话会议</w:t>
            </w:r>
          </w:p>
          <w:p w14:paraId="326E8A06">
            <w:pPr>
              <w:tabs>
                <w:tab w:val="center" w:pos="3199"/>
              </w:tabs>
              <w:spacing w:line="480" w:lineRule="atLeast"/>
              <w:ind w:firstLine="480" w:firstLineChars="200"/>
              <w:rPr>
                <w:rFonts w:ascii="宋体" w:hAnsi="宋体"/>
                <w:bCs/>
                <w:iCs/>
                <w:color w:val="000000"/>
                <w:sz w:val="24"/>
                <w:highlight w:val="none"/>
              </w:rPr>
            </w:pPr>
            <w:r>
              <w:rPr>
                <w:rFonts w:hint="eastAsia" w:ascii="宋体" w:hAnsi="宋体" w:eastAsia="宋体"/>
                <w:bCs/>
                <w:iCs/>
                <w:sz w:val="24"/>
                <w:szCs w:val="24"/>
                <w:highlight w:val="none"/>
              </w:rPr>
              <w:t>□</w:t>
            </w:r>
            <w:r>
              <w:rPr>
                <w:rFonts w:hint="eastAsia" w:ascii="宋体" w:hAnsi="宋体" w:eastAsia="宋体"/>
                <w:sz w:val="24"/>
                <w:szCs w:val="24"/>
                <w:highlight w:val="none"/>
              </w:rPr>
              <w:t>其他 （</w:t>
            </w:r>
            <w:r>
              <w:rPr>
                <w:rFonts w:hint="eastAsia" w:ascii="宋体" w:hAnsi="宋体" w:eastAsia="宋体"/>
                <w:sz w:val="24"/>
                <w:szCs w:val="24"/>
                <w:highlight w:val="none"/>
                <w:u w:val="single"/>
              </w:rPr>
              <w:t>请文字说明其他活动内容）</w:t>
            </w:r>
          </w:p>
        </w:tc>
      </w:tr>
      <w:tr w14:paraId="7BE45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513" w:type="dxa"/>
            <w:vAlign w:val="center"/>
          </w:tcPr>
          <w:p w14:paraId="2E9310E8">
            <w:pPr>
              <w:spacing w:line="480" w:lineRule="atLeast"/>
              <w:jc w:val="center"/>
              <w:rPr>
                <w:rFonts w:ascii="宋体" w:hAnsi="宋体"/>
                <w:bCs/>
                <w:iCs/>
                <w:color w:val="000000"/>
                <w:sz w:val="24"/>
                <w:highlight w:val="none"/>
              </w:rPr>
            </w:pPr>
            <w:r>
              <w:rPr>
                <w:rFonts w:hint="eastAsia" w:ascii="宋体" w:hAnsi="宋体"/>
                <w:bCs/>
                <w:iCs/>
                <w:color w:val="000000"/>
                <w:sz w:val="24"/>
                <w:highlight w:val="none"/>
              </w:rPr>
              <w:t>参与单位名称</w:t>
            </w:r>
          </w:p>
        </w:tc>
        <w:tc>
          <w:tcPr>
            <w:tcW w:w="7009" w:type="dxa"/>
            <w:vAlign w:val="center"/>
          </w:tcPr>
          <w:p w14:paraId="7707E6BE">
            <w:pPr>
              <w:spacing w:line="360" w:lineRule="auto"/>
              <w:rPr>
                <w:rFonts w:hint="default" w:ascii="宋体" w:hAnsi="宋体" w:eastAsiaTheme="minorEastAsia"/>
                <w:sz w:val="24"/>
                <w:szCs w:val="21"/>
                <w:highlight w:val="none"/>
                <w:lang w:val="en-US" w:eastAsia="zh-CN"/>
              </w:rPr>
            </w:pPr>
            <w:r>
              <w:rPr>
                <w:rFonts w:hint="default" w:ascii="宋体" w:hAnsi="宋体" w:eastAsiaTheme="minorEastAsia"/>
                <w:sz w:val="24"/>
                <w:szCs w:val="21"/>
                <w:highlight w:val="none"/>
                <w:lang w:val="en-US" w:eastAsia="zh-CN"/>
              </w:rPr>
              <w:t>参与公司网上202</w:t>
            </w:r>
            <w:r>
              <w:rPr>
                <w:rFonts w:hint="eastAsia" w:ascii="宋体" w:hAnsi="宋体"/>
                <w:sz w:val="24"/>
                <w:szCs w:val="21"/>
                <w:highlight w:val="none"/>
                <w:lang w:val="en-US" w:eastAsia="zh-CN"/>
              </w:rPr>
              <w:t>5年第三季度</w:t>
            </w:r>
            <w:r>
              <w:rPr>
                <w:rFonts w:hint="default" w:ascii="宋体" w:hAnsi="宋体" w:eastAsiaTheme="minorEastAsia"/>
                <w:sz w:val="24"/>
                <w:szCs w:val="21"/>
                <w:highlight w:val="none"/>
                <w:lang w:val="en-US" w:eastAsia="zh-CN"/>
              </w:rPr>
              <w:t>业绩说明会的投资者</w:t>
            </w:r>
          </w:p>
        </w:tc>
      </w:tr>
      <w:tr w14:paraId="49837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513" w:type="dxa"/>
            <w:vAlign w:val="center"/>
          </w:tcPr>
          <w:p w14:paraId="7E9E053C">
            <w:pPr>
              <w:spacing w:line="480" w:lineRule="atLeast"/>
              <w:jc w:val="center"/>
              <w:rPr>
                <w:rFonts w:ascii="宋体" w:hAnsi="宋体"/>
                <w:bCs/>
                <w:iCs/>
                <w:color w:val="000000"/>
                <w:sz w:val="24"/>
                <w:highlight w:val="none"/>
              </w:rPr>
            </w:pPr>
            <w:r>
              <w:rPr>
                <w:rFonts w:hint="eastAsia" w:ascii="宋体" w:hAnsi="宋体"/>
                <w:bCs/>
                <w:iCs/>
                <w:color w:val="000000"/>
                <w:sz w:val="24"/>
                <w:highlight w:val="none"/>
              </w:rPr>
              <w:t>时间</w:t>
            </w:r>
          </w:p>
        </w:tc>
        <w:tc>
          <w:tcPr>
            <w:tcW w:w="7009" w:type="dxa"/>
          </w:tcPr>
          <w:p w14:paraId="78C9ED2E">
            <w:pPr>
              <w:spacing w:line="480" w:lineRule="atLeast"/>
              <w:rPr>
                <w:rFonts w:hint="default" w:ascii="宋体" w:hAnsi="宋体"/>
                <w:bCs/>
                <w:iCs/>
                <w:color w:val="000000"/>
                <w:sz w:val="24"/>
                <w:highlight w:val="none"/>
                <w:lang w:val="en-US"/>
              </w:rPr>
            </w:pPr>
            <w:r>
              <w:rPr>
                <w:rFonts w:hint="eastAsia" w:ascii="宋体" w:hAnsi="宋体"/>
                <w:bCs/>
                <w:iCs/>
                <w:color w:val="000000"/>
                <w:sz w:val="24"/>
                <w:highlight w:val="none"/>
              </w:rPr>
              <w:t>202</w:t>
            </w:r>
            <w:r>
              <w:rPr>
                <w:rFonts w:hint="eastAsia" w:ascii="宋体" w:hAnsi="宋体"/>
                <w:bCs/>
                <w:iCs/>
                <w:color w:val="000000"/>
                <w:sz w:val="24"/>
                <w:highlight w:val="none"/>
                <w:lang w:val="en-US" w:eastAsia="zh-CN"/>
              </w:rPr>
              <w:t>5</w:t>
            </w:r>
            <w:r>
              <w:rPr>
                <w:rFonts w:hint="eastAsia" w:ascii="宋体" w:hAnsi="宋体"/>
                <w:bCs/>
                <w:iCs/>
                <w:color w:val="000000"/>
                <w:sz w:val="24"/>
                <w:highlight w:val="none"/>
              </w:rPr>
              <w:t>年</w:t>
            </w:r>
            <w:r>
              <w:rPr>
                <w:rFonts w:hint="eastAsia" w:ascii="宋体" w:hAnsi="宋体"/>
                <w:bCs/>
                <w:iCs/>
                <w:color w:val="000000"/>
                <w:sz w:val="24"/>
                <w:highlight w:val="none"/>
                <w:lang w:val="en-US" w:eastAsia="zh-CN"/>
              </w:rPr>
              <w:t>11月10日（14:00-15:00）</w:t>
            </w:r>
          </w:p>
        </w:tc>
      </w:tr>
      <w:tr w14:paraId="1587E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513" w:type="dxa"/>
            <w:vAlign w:val="center"/>
          </w:tcPr>
          <w:p w14:paraId="483FACD8">
            <w:pPr>
              <w:spacing w:line="360" w:lineRule="auto"/>
              <w:jc w:val="center"/>
              <w:rPr>
                <w:rFonts w:ascii="宋体" w:hAnsi="宋体"/>
                <w:bCs/>
                <w:iCs/>
                <w:color w:val="000000"/>
                <w:sz w:val="24"/>
                <w:highlight w:val="none"/>
              </w:rPr>
            </w:pPr>
            <w:r>
              <w:rPr>
                <w:rFonts w:hint="eastAsia" w:ascii="宋体" w:hAnsi="宋体"/>
                <w:bCs/>
                <w:iCs/>
                <w:color w:val="000000"/>
                <w:sz w:val="24"/>
                <w:highlight w:val="none"/>
              </w:rPr>
              <w:t>地点</w:t>
            </w:r>
          </w:p>
        </w:tc>
        <w:tc>
          <w:tcPr>
            <w:tcW w:w="7009" w:type="dxa"/>
            <w:vAlign w:val="center"/>
          </w:tcPr>
          <w:p w14:paraId="3BFEB20E">
            <w:pPr>
              <w:spacing w:line="360" w:lineRule="auto"/>
              <w:rPr>
                <w:rFonts w:hint="default" w:ascii="宋体" w:hAnsi="宋体" w:eastAsiaTheme="minorEastAsia"/>
                <w:bCs/>
                <w:iCs/>
                <w:color w:val="000000"/>
                <w:sz w:val="24"/>
                <w:highlight w:val="none"/>
                <w:lang w:val="en-US" w:eastAsia="zh-CN"/>
              </w:rPr>
            </w:pPr>
            <w:r>
              <w:rPr>
                <w:rFonts w:hint="eastAsia" w:ascii="宋体" w:hAnsi="宋体"/>
                <w:bCs/>
                <w:iCs/>
                <w:color w:val="000000"/>
                <w:sz w:val="24"/>
                <w:highlight w:val="none"/>
                <w:lang w:val="en-US" w:eastAsia="zh-CN"/>
              </w:rPr>
              <w:t>上海证券交易所上证路演中心</w:t>
            </w:r>
          </w:p>
        </w:tc>
      </w:tr>
      <w:tr w14:paraId="64899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14:paraId="6B847AE9">
            <w:pPr>
              <w:spacing w:line="276" w:lineRule="auto"/>
              <w:jc w:val="center"/>
              <w:rPr>
                <w:rFonts w:ascii="宋体" w:hAnsi="宋体"/>
                <w:bCs/>
                <w:iCs/>
                <w:color w:val="000000"/>
                <w:sz w:val="24"/>
                <w:highlight w:val="none"/>
              </w:rPr>
            </w:pPr>
            <w:r>
              <w:rPr>
                <w:rFonts w:hint="eastAsia" w:ascii="宋体" w:hAnsi="宋体"/>
                <w:bCs/>
                <w:iCs/>
                <w:color w:val="000000"/>
                <w:sz w:val="24"/>
                <w:highlight w:val="none"/>
              </w:rPr>
              <w:t>上市公司接待</w:t>
            </w:r>
          </w:p>
          <w:p w14:paraId="5CF42C2B">
            <w:pPr>
              <w:spacing w:line="276" w:lineRule="auto"/>
              <w:jc w:val="center"/>
              <w:rPr>
                <w:rFonts w:ascii="宋体" w:hAnsi="宋体"/>
                <w:bCs/>
                <w:iCs/>
                <w:color w:val="000000"/>
                <w:sz w:val="24"/>
                <w:highlight w:val="none"/>
              </w:rPr>
            </w:pPr>
            <w:r>
              <w:rPr>
                <w:rFonts w:hint="eastAsia" w:ascii="宋体" w:hAnsi="宋体"/>
                <w:bCs/>
                <w:iCs/>
                <w:color w:val="000000"/>
                <w:sz w:val="24"/>
                <w:highlight w:val="none"/>
              </w:rPr>
              <w:t>人员姓名</w:t>
            </w:r>
          </w:p>
        </w:tc>
        <w:tc>
          <w:tcPr>
            <w:tcW w:w="7009" w:type="dxa"/>
            <w:vAlign w:val="center"/>
          </w:tcPr>
          <w:p w14:paraId="5E7AF047">
            <w:pPr>
              <w:spacing w:line="276" w:lineRule="auto"/>
              <w:jc w:val="left"/>
              <w:rPr>
                <w:rFonts w:hint="default" w:ascii="宋体" w:hAnsi="宋体"/>
                <w:bCs/>
                <w:iCs/>
                <w:color w:val="000000"/>
                <w:sz w:val="24"/>
                <w:highlight w:val="none"/>
                <w:lang w:val="en-US" w:eastAsia="zh-CN"/>
              </w:rPr>
            </w:pPr>
            <w:r>
              <w:rPr>
                <w:rFonts w:hint="eastAsia" w:ascii="宋体" w:hAnsi="宋体"/>
                <w:bCs/>
                <w:iCs/>
                <w:color w:val="000000"/>
                <w:sz w:val="24"/>
                <w:highlight w:val="none"/>
              </w:rPr>
              <w:t>董事</w:t>
            </w:r>
            <w:r>
              <w:rPr>
                <w:rFonts w:hint="eastAsia" w:ascii="宋体" w:hAnsi="宋体"/>
                <w:bCs/>
                <w:iCs/>
                <w:color w:val="000000"/>
                <w:sz w:val="24"/>
                <w:highlight w:val="none"/>
                <w:lang w:val="en-US" w:eastAsia="zh-CN"/>
              </w:rPr>
              <w:t>长兼总经理：胡军擎</w:t>
            </w:r>
          </w:p>
          <w:p w14:paraId="3FD1B726">
            <w:pPr>
              <w:spacing w:line="276" w:lineRule="auto"/>
              <w:jc w:val="left"/>
              <w:rPr>
                <w:rFonts w:ascii="宋体" w:hAnsi="宋体"/>
                <w:bCs/>
                <w:iCs/>
                <w:color w:val="000000"/>
                <w:sz w:val="24"/>
                <w:highlight w:val="none"/>
              </w:rPr>
            </w:pPr>
            <w:r>
              <w:rPr>
                <w:rFonts w:hint="eastAsia" w:ascii="宋体" w:hAnsi="宋体"/>
                <w:bCs/>
                <w:iCs/>
                <w:color w:val="000000"/>
                <w:sz w:val="24"/>
                <w:highlight w:val="none"/>
                <w:lang w:val="en-US" w:eastAsia="zh-CN"/>
              </w:rPr>
              <w:t>财务总监：穆娜</w:t>
            </w:r>
          </w:p>
          <w:p w14:paraId="3C64C928">
            <w:pPr>
              <w:spacing w:line="276" w:lineRule="auto"/>
              <w:jc w:val="left"/>
              <w:rPr>
                <w:rFonts w:hint="eastAsia" w:ascii="宋体" w:hAnsi="宋体"/>
                <w:bCs/>
                <w:iCs/>
                <w:color w:val="000000"/>
                <w:sz w:val="24"/>
                <w:highlight w:val="none"/>
              </w:rPr>
            </w:pPr>
            <w:r>
              <w:rPr>
                <w:rFonts w:hint="eastAsia" w:ascii="宋体" w:hAnsi="宋体"/>
                <w:bCs/>
                <w:iCs/>
                <w:color w:val="000000"/>
                <w:sz w:val="24"/>
                <w:highlight w:val="none"/>
              </w:rPr>
              <w:t>董事会秘书</w:t>
            </w:r>
            <w:r>
              <w:rPr>
                <w:rFonts w:hint="eastAsia" w:ascii="宋体" w:hAnsi="宋体"/>
                <w:bCs/>
                <w:iCs/>
                <w:color w:val="000000"/>
                <w:sz w:val="24"/>
                <w:highlight w:val="none"/>
                <w:lang w:eastAsia="zh-CN"/>
              </w:rPr>
              <w:t>：</w:t>
            </w:r>
            <w:r>
              <w:rPr>
                <w:rFonts w:hint="eastAsia" w:ascii="宋体" w:hAnsi="宋体"/>
                <w:bCs/>
                <w:iCs/>
                <w:color w:val="000000"/>
                <w:sz w:val="24"/>
                <w:highlight w:val="none"/>
              </w:rPr>
              <w:t>沈蔡娟</w:t>
            </w:r>
          </w:p>
          <w:p w14:paraId="7A00183C">
            <w:pPr>
              <w:spacing w:line="276" w:lineRule="auto"/>
              <w:jc w:val="left"/>
              <w:rPr>
                <w:rFonts w:hint="default" w:ascii="宋体" w:hAnsi="宋体" w:eastAsiaTheme="minorEastAsia"/>
                <w:bCs/>
                <w:iCs/>
                <w:color w:val="000000"/>
                <w:sz w:val="24"/>
                <w:highlight w:val="none"/>
                <w:lang w:val="en-US" w:eastAsia="zh-CN"/>
              </w:rPr>
            </w:pPr>
            <w:r>
              <w:rPr>
                <w:rFonts w:hint="eastAsia" w:ascii="宋体" w:hAnsi="宋体"/>
                <w:bCs/>
                <w:iCs/>
                <w:color w:val="000000"/>
                <w:sz w:val="24"/>
                <w:highlight w:val="none"/>
                <w:lang w:val="en-US" w:eastAsia="zh-CN"/>
              </w:rPr>
              <w:t>独立董事：</w:t>
            </w:r>
            <w:r>
              <w:rPr>
                <w:rFonts w:hint="eastAsia" w:ascii="宋体" w:hAnsi="宋体"/>
                <w:sz w:val="24"/>
                <w:szCs w:val="21"/>
                <w:highlight w:val="none"/>
                <w:lang w:val="en-US" w:eastAsia="zh-CN"/>
              </w:rPr>
              <w:t>蔡钰如</w:t>
            </w:r>
          </w:p>
        </w:tc>
      </w:tr>
      <w:tr w14:paraId="3BD4C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14:paraId="2FB841CF">
            <w:pPr>
              <w:spacing w:line="360" w:lineRule="auto"/>
              <w:rPr>
                <w:rFonts w:ascii="宋体" w:hAnsi="宋体"/>
                <w:bCs/>
                <w:iCs/>
                <w:color w:val="000000"/>
                <w:sz w:val="24"/>
                <w:highlight w:val="none"/>
              </w:rPr>
            </w:pPr>
            <w:r>
              <w:rPr>
                <w:rFonts w:hint="eastAsia" w:ascii="宋体" w:hAnsi="宋体"/>
                <w:bCs/>
                <w:iCs/>
                <w:color w:val="000000"/>
                <w:sz w:val="24"/>
                <w:highlight w:val="none"/>
              </w:rPr>
              <w:t>投资者关系活动主要内容介绍</w:t>
            </w:r>
          </w:p>
          <w:p w14:paraId="45FB91E7">
            <w:pPr>
              <w:spacing w:line="360" w:lineRule="auto"/>
              <w:rPr>
                <w:rFonts w:ascii="宋体" w:hAnsi="宋体"/>
                <w:bCs/>
                <w:iCs/>
                <w:color w:val="000000"/>
                <w:sz w:val="24"/>
                <w:highlight w:val="none"/>
              </w:rPr>
            </w:pPr>
          </w:p>
        </w:tc>
        <w:tc>
          <w:tcPr>
            <w:tcW w:w="7009" w:type="dxa"/>
          </w:tcPr>
          <w:p w14:paraId="2535E571">
            <w:pPr>
              <w:pStyle w:val="25"/>
              <w:spacing w:before="156"/>
              <w:ind w:firstLine="480"/>
              <w:rPr>
                <w:rFonts w:ascii="宋体" w:hAnsi="宋体"/>
                <w:b/>
                <w:bCs/>
                <w:sz w:val="24"/>
                <w:szCs w:val="21"/>
                <w:highlight w:val="none"/>
              </w:rPr>
            </w:pPr>
            <w:r>
              <w:rPr>
                <w:rFonts w:hint="eastAsia" w:ascii="宋体" w:hAnsi="宋体"/>
                <w:b/>
                <w:bCs/>
                <w:sz w:val="24"/>
                <w:szCs w:val="21"/>
                <w:highlight w:val="none"/>
                <w:lang w:eastAsia="zh-CN"/>
              </w:rPr>
              <w:t>（</w:t>
            </w:r>
            <w:r>
              <w:rPr>
                <w:rFonts w:hint="eastAsia" w:ascii="宋体" w:hAnsi="宋体"/>
                <w:b/>
                <w:bCs/>
                <w:sz w:val="24"/>
                <w:szCs w:val="21"/>
                <w:highlight w:val="none"/>
                <w:lang w:val="en-US" w:eastAsia="zh-CN"/>
              </w:rPr>
              <w:t>1</w:t>
            </w:r>
            <w:r>
              <w:rPr>
                <w:rFonts w:hint="eastAsia" w:ascii="宋体" w:hAnsi="宋体"/>
                <w:b/>
                <w:bCs/>
                <w:sz w:val="24"/>
                <w:szCs w:val="21"/>
                <w:highlight w:val="none"/>
                <w:lang w:eastAsia="zh-CN"/>
              </w:rPr>
              <w:t>）</w:t>
            </w:r>
            <w:r>
              <w:rPr>
                <w:rFonts w:hint="eastAsia" w:ascii="宋体" w:hAnsi="宋体"/>
                <w:b/>
                <w:bCs/>
                <w:sz w:val="24"/>
                <w:szCs w:val="21"/>
                <w:highlight w:val="none"/>
              </w:rPr>
              <w:t>公司介绍</w:t>
            </w:r>
          </w:p>
          <w:p w14:paraId="758DF083">
            <w:pPr>
              <w:pStyle w:val="25"/>
              <w:spacing w:before="156"/>
              <w:ind w:firstLine="480"/>
              <w:rPr>
                <w:rFonts w:hint="eastAsia" w:ascii="宋体" w:hAnsi="宋体" w:cs="宋体"/>
                <w:sz w:val="24"/>
                <w:highlight w:val="none"/>
                <w:lang w:bidi="en-US"/>
              </w:rPr>
            </w:pPr>
            <w:r>
              <w:rPr>
                <w:rFonts w:hint="eastAsia" w:ascii="宋体" w:hAnsi="宋体" w:cs="宋体"/>
                <w:sz w:val="24"/>
                <w:highlight w:val="none"/>
                <w:lang w:bidi="en-US"/>
              </w:rPr>
              <w:t>上海英方软件股份有限公司（以下简称“英方软件”）是一家专注于数据复制的软件企业，创于2011年，总部位于上海，拥有庞大的研发团队和经验丰富的领军人物，设立了北京、上海、杭州三大研发中心，建成了北京到上海上千公里的数据复制实时平台，主营业务系为客户提供数据复制相关的软件、软硬件一体机及软件相关服务，是国内乃至国际市场上少数能同时掌握动态文件字节级、数据库语义级和卷层块级数据复制技术的高新技术企业。公司构造了“容灾+备份+云数据管理+大数据”等多层次、多策略、全域应用的四大产品系列，相关产品覆盖了容灾、备份、云灾备、数据库同步、数据迁移、文档共享与AI管理等经典应用场景，同时也推广到了智能灾备管理、数据副本管理、数据流管理、大数据收集分发、大数据平台实时同步、数据脱敏等更多应用领域。在助力各行业的数据安全和业务连续性的同时，帮助各类用户打破数据孤岛，实现数据互联互通，将数据价值最大化，为数字经济的发展保驾护航。</w:t>
            </w:r>
          </w:p>
          <w:p w14:paraId="73678142">
            <w:pPr>
              <w:pStyle w:val="25"/>
              <w:spacing w:before="156"/>
              <w:ind w:firstLine="480"/>
              <w:rPr>
                <w:rFonts w:hint="eastAsia" w:ascii="宋体" w:hAnsi="宋体" w:cs="宋体"/>
                <w:sz w:val="24"/>
                <w:highlight w:val="none"/>
                <w:lang w:bidi="en-US"/>
              </w:rPr>
            </w:pPr>
            <w:r>
              <w:rPr>
                <w:rFonts w:hint="eastAsia" w:ascii="宋体" w:hAnsi="宋体" w:cs="宋体"/>
                <w:sz w:val="24"/>
                <w:highlight w:val="none"/>
                <w:lang w:bidi="en-US"/>
              </w:rPr>
              <w:t>公司第三季度实现营业收入4,731万元，同比增长36.07%；研发投入为2,581万元，占营业收入的54.56%，公司前三季度营业收入累计达到1.3亿元，同比增长11.26%。持续的研发投入使公司在产品功能、技术架构等方面不断取得突破，推出了包括i2Availability、i2DRM、i2Stream、i2ShareAI 和i2COOPY等一系列新版本产品。这些创新为行业客户提供了更加安全、稳定和高效的数据安全与业务连续性保障解决方案，进一步巩固了英方软件在灾备市场的技术领导地位。</w:t>
            </w:r>
          </w:p>
          <w:p w14:paraId="070FD6B5">
            <w:pPr>
              <w:pStyle w:val="25"/>
              <w:spacing w:before="156"/>
              <w:ind w:firstLine="480"/>
              <w:rPr>
                <w:rFonts w:hint="eastAsia" w:ascii="宋体" w:hAnsi="宋体" w:cs="宋体"/>
                <w:sz w:val="24"/>
                <w:highlight w:val="none"/>
                <w:lang w:bidi="en-US"/>
              </w:rPr>
            </w:pPr>
            <w:r>
              <w:rPr>
                <w:rFonts w:hint="eastAsia" w:ascii="宋体" w:hAnsi="宋体" w:cs="宋体"/>
                <w:sz w:val="24"/>
                <w:highlight w:val="none"/>
                <w:lang w:bidi="en-US"/>
              </w:rPr>
              <w:t>在国内市场稳步发展的同时，英方软件的海外业务也展现出强劲的增长势头。公司在中国香港、中国澳门、东南亚、中东和北非等区域的市场表现日益强劲，随着全球数据安全需求的日益增长，英方软件的国际化战略稳步推进。海外业务的持续拓展，推动了公司收入增长，并显著提升了全球市场的竞争力。英方软件的全球布局和品牌影响力在不断扩大，未来将在更多国际市场上实现更大突破。</w:t>
            </w:r>
          </w:p>
          <w:p w14:paraId="3174707F">
            <w:pPr>
              <w:pStyle w:val="25"/>
              <w:spacing w:before="156"/>
              <w:ind w:firstLine="480"/>
              <w:rPr>
                <w:rFonts w:hint="eastAsia" w:ascii="宋体" w:hAnsi="宋体" w:cs="宋体"/>
                <w:sz w:val="24"/>
                <w:highlight w:val="none"/>
                <w:lang w:bidi="en-US"/>
              </w:rPr>
            </w:pPr>
            <w:r>
              <w:rPr>
                <w:rFonts w:hint="eastAsia" w:ascii="宋体" w:hAnsi="宋体" w:cs="宋体"/>
                <w:sz w:val="24"/>
                <w:highlight w:val="none"/>
                <w:lang w:bidi="en-US"/>
              </w:rPr>
              <w:t>展望未来，英方软件将继续加强技术研发和产品创新，深入挖掘数据安全和业务连续性保障领域的巨大潜力。公司将加速推动现有技术成果的市场转化，增强产品竞争力，提升客户体验，并进一步推动业务增长和市场份额的扩展。英方软件将坚定不移地执行创新驱动发展战略，持续加大研发投入，不断提升核心技术水平，努力为股东和客户创造长期价值。</w:t>
            </w:r>
          </w:p>
          <w:p w14:paraId="3ED8FA3C">
            <w:pPr>
              <w:pStyle w:val="25"/>
              <w:spacing w:before="156"/>
              <w:ind w:firstLine="480"/>
              <w:rPr>
                <w:rFonts w:ascii="宋体" w:hAnsi="宋体"/>
                <w:sz w:val="24"/>
                <w:szCs w:val="21"/>
                <w:highlight w:val="none"/>
              </w:rPr>
            </w:pPr>
            <w:r>
              <w:rPr>
                <w:rFonts w:hint="eastAsia" w:ascii="宋体" w:hAnsi="宋体"/>
                <w:b/>
                <w:bCs/>
                <w:sz w:val="24"/>
                <w:szCs w:val="21"/>
                <w:highlight w:val="none"/>
              </w:rPr>
              <w:t>（2）互动交流环节</w:t>
            </w:r>
          </w:p>
          <w:p w14:paraId="0B793352">
            <w:pPr>
              <w:pStyle w:val="25"/>
              <w:spacing w:before="156"/>
              <w:ind w:firstLine="480"/>
              <w:rPr>
                <w:rFonts w:hint="eastAsia" w:ascii="宋体" w:hAnsi="宋体" w:cs="Times New Roman"/>
                <w:b/>
                <w:bCs/>
                <w:sz w:val="24"/>
                <w:szCs w:val="21"/>
                <w:highlight w:val="none"/>
                <w:lang w:val="en-US" w:eastAsia="zh-CN"/>
              </w:rPr>
            </w:pPr>
            <w:r>
              <w:rPr>
                <w:rFonts w:hint="eastAsia" w:ascii="宋体" w:hAnsi="宋体" w:cs="Times New Roman"/>
                <w:b/>
                <w:bCs/>
                <w:sz w:val="24"/>
                <w:szCs w:val="21"/>
                <w:highlight w:val="none"/>
                <w:lang w:val="en-US" w:eastAsia="zh-CN"/>
              </w:rPr>
              <w:t>1.麻烦请问公司未来的分红计划和派息政策？</w:t>
            </w:r>
          </w:p>
          <w:p w14:paraId="767660D0">
            <w:pPr>
              <w:pStyle w:val="25"/>
              <w:spacing w:before="156" w:line="360" w:lineRule="auto"/>
              <w:ind w:firstLine="480"/>
              <w:rPr>
                <w:rFonts w:hint="eastAsia"/>
                <w:color w:val="000000"/>
                <w:highlight w:val="none"/>
                <w:lang w:val="en-US" w:eastAsia="zh-CN"/>
              </w:rPr>
            </w:pPr>
            <w:r>
              <w:rPr>
                <w:rFonts w:hint="eastAsia"/>
                <w:color w:val="000000"/>
                <w:highlight w:val="none"/>
                <w:lang w:val="en-US" w:eastAsia="zh-CN"/>
              </w:rPr>
              <w:t>尊敬的投资者，您好。公司的利润分配政策将严格遵守《公司章程》及相关法律法规，并结合实际经营情况和未来资金需求审慎决策以保障公司长远发展和全体股东利益。后续如有任何分红计划，公司将及时履行信息披露义务。感谢您的关注。</w:t>
            </w:r>
          </w:p>
          <w:p w14:paraId="56980192">
            <w:pPr>
              <w:pStyle w:val="25"/>
              <w:spacing w:before="156"/>
              <w:ind w:firstLine="480"/>
              <w:rPr>
                <w:rFonts w:hint="eastAsia" w:ascii="宋体" w:hAnsi="宋体"/>
                <w:b/>
                <w:bCs/>
                <w:sz w:val="24"/>
                <w:szCs w:val="21"/>
                <w:highlight w:val="none"/>
                <w:lang w:val="en-US" w:eastAsia="zh-CN"/>
              </w:rPr>
            </w:pPr>
            <w:r>
              <w:rPr>
                <w:rFonts w:hint="eastAsia" w:ascii="宋体" w:hAnsi="宋体"/>
                <w:b/>
                <w:bCs/>
                <w:szCs w:val="21"/>
                <w:highlight w:val="none"/>
                <w:lang w:val="en-US" w:eastAsia="zh-CN"/>
              </w:rPr>
              <w:t>2.</w:t>
            </w:r>
            <w:r>
              <w:rPr>
                <w:rFonts w:hint="eastAsia" w:ascii="宋体" w:hAnsi="宋体"/>
                <w:b/>
                <w:bCs/>
                <w:sz w:val="24"/>
                <w:szCs w:val="21"/>
                <w:highlight w:val="none"/>
                <w:lang w:val="en-US" w:eastAsia="zh-CN"/>
              </w:rPr>
              <w:t>请问公司在目前市场环境下有哪些技术优势，目前的市场表现如何？</w:t>
            </w:r>
          </w:p>
          <w:p w14:paraId="4FC167D8">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color w:val="000000"/>
                <w:sz w:val="24"/>
                <w:szCs w:val="24"/>
                <w:highlight w:val="none"/>
                <w:lang w:val="en-US" w:eastAsia="zh-CN"/>
              </w:rPr>
            </w:pPr>
            <w:r>
              <w:rPr>
                <w:rFonts w:hint="eastAsia"/>
                <w:color w:val="000000"/>
                <w:sz w:val="24"/>
                <w:szCs w:val="24"/>
                <w:highlight w:val="none"/>
                <w:lang w:val="en-US" w:eastAsia="zh-CN"/>
              </w:rPr>
              <w:t>尊敬的投资者，您好！英方软件在数据复制、灾备与数据管理领域深耕多年，核心竞争力主要体现在自主可控的软件技术体系，包括动态文件复制、数据库复制、持续数据保护（CDP）等核心算法，是国内乃至国际市场上少数能同时掌握动态文件字节级、数据库语义级和卷层块级数据复制技术的高新技术企业，荣获国家级专精特新“小巨人”企业称号。公司2025年前三季度，公司营收达1.32亿元，较去年同期增长11.26%，第三季度单季度营收较去年同期增长达36.07%，主系公司持续进行技术研发投入和市场开拓，进一步巩固技术领先优势并持续扩大市场份额所致。感谢您的关注。</w:t>
            </w:r>
          </w:p>
          <w:p w14:paraId="13939946">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b/>
                <w:bCs/>
                <w:color w:val="000000"/>
                <w:sz w:val="24"/>
                <w:szCs w:val="24"/>
                <w:highlight w:val="none"/>
                <w:lang w:val="en-US" w:eastAsia="zh-CN"/>
              </w:rPr>
            </w:pPr>
            <w:r>
              <w:rPr>
                <w:rFonts w:hint="eastAsia"/>
                <w:b/>
                <w:bCs/>
                <w:color w:val="000000"/>
                <w:sz w:val="24"/>
                <w:szCs w:val="24"/>
                <w:highlight w:val="none"/>
                <w:lang w:val="en-US" w:eastAsia="zh-CN"/>
              </w:rPr>
              <w:t>3、</w:t>
            </w:r>
            <w:r>
              <w:rPr>
                <w:rFonts w:hint="default"/>
                <w:b/>
                <w:bCs/>
                <w:color w:val="000000"/>
                <w:sz w:val="24"/>
                <w:szCs w:val="24"/>
                <w:highlight w:val="none"/>
                <w:lang w:val="en-US" w:eastAsia="zh-CN"/>
              </w:rPr>
              <w:t>近日数据存储产业链景气度向好，请问公司是否有相关业务受到市场拉动，未来公司存储相关业务发展前景如何？？</w:t>
            </w:r>
          </w:p>
          <w:p w14:paraId="561D32F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color w:val="000000"/>
                <w:sz w:val="24"/>
                <w:szCs w:val="24"/>
                <w:highlight w:val="none"/>
                <w:lang w:val="en-US" w:eastAsia="zh-CN"/>
              </w:rPr>
            </w:pPr>
            <w:r>
              <w:rPr>
                <w:rFonts w:hint="default"/>
                <w:color w:val="000000"/>
                <w:sz w:val="24"/>
                <w:szCs w:val="24"/>
                <w:highlight w:val="none"/>
                <w:lang w:val="en-US" w:eastAsia="zh-CN"/>
              </w:rPr>
              <w:t>尊敬的投资者，您好。在硬件层面，公司秉持“软件定义、生态协同”的发展策略，已与华为、超聚变、中科龙芯等国内主流厂商开展适配与联合研发，推出面向关键行业的灾备一体机及信创环境下的数据保护解决方案，以满足金融、政务、能源等领域客户对自主安全和高可靠性的需求。公司目前主营方向仍聚焦于软件层面的数据复制与数据韧性方案。公司始终高度关注市场变化，积极把握市场趋势与机遇。未来，公司将从软件产品与软硬件一体机两大产品发力：在“Data+”的应用实践积累的基础上，根据不同行业客户对产品功能的新要求，研发共性强、可复制的新产品；同时，面向数据要素+人工智能的新场景、新需求公司将根据客户的需求，不断推出新的一体机产品和新功能，持续提高一体机硬件产品的销售力度，力争在备份存储市场取得突破。感谢您的关注。</w:t>
            </w:r>
          </w:p>
          <w:p w14:paraId="180DED88">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eastAsia"/>
                <w:b/>
                <w:bCs/>
                <w:color w:val="000000"/>
                <w:sz w:val="24"/>
                <w:szCs w:val="24"/>
                <w:highlight w:val="none"/>
                <w:lang w:val="en-US" w:eastAsia="zh-CN"/>
              </w:rPr>
            </w:pPr>
            <w:r>
              <w:rPr>
                <w:rFonts w:hint="eastAsia"/>
                <w:b/>
                <w:bCs/>
                <w:color w:val="000000"/>
                <w:sz w:val="24"/>
                <w:szCs w:val="24"/>
                <w:highlight w:val="none"/>
                <w:lang w:val="en-US" w:eastAsia="zh-CN"/>
              </w:rPr>
              <w:t>4、请问公司海外业务板块布局如何？未来对公司收入利润有什么样的影响？</w:t>
            </w:r>
          </w:p>
          <w:p w14:paraId="4B472C44">
            <w:pPr>
              <w:keepNext w:val="0"/>
              <w:keepLines w:val="0"/>
              <w:pageBreakBefore w:val="0"/>
              <w:widowControl/>
              <w:numPr>
                <w:numId w:val="0"/>
              </w:numPr>
              <w:kinsoku/>
              <w:wordWrap/>
              <w:overflowPunct/>
              <w:topLinePunct w:val="0"/>
              <w:autoSpaceDE/>
              <w:autoSpaceDN/>
              <w:bidi w:val="0"/>
              <w:adjustRightInd/>
              <w:snapToGrid/>
              <w:spacing w:line="360" w:lineRule="auto"/>
              <w:ind w:firstLine="480" w:firstLineChars="200"/>
              <w:jc w:val="both"/>
              <w:textAlignment w:val="auto"/>
              <w:rPr>
                <w:rFonts w:hint="default"/>
                <w:color w:val="000000"/>
                <w:sz w:val="24"/>
                <w:szCs w:val="24"/>
                <w:highlight w:val="none"/>
                <w:lang w:val="en-US" w:eastAsia="zh-CN"/>
              </w:rPr>
            </w:pPr>
            <w:r>
              <w:rPr>
                <w:rFonts w:hint="default"/>
                <w:color w:val="000000"/>
                <w:sz w:val="24"/>
                <w:szCs w:val="24"/>
                <w:highlight w:val="none"/>
                <w:lang w:val="en-US" w:eastAsia="zh-CN"/>
              </w:rPr>
              <w:t>尊敬的投资者，您好。2024年设立的香港子公司，作为公司在亚太区域的重要支点，正积极承接母公司在数据复制与灾备领域的技术优势，目前已成功落地多个海外项目。业务范围已逐步扩展至东南亚、中东、中亚、北非及欧美等多个地区，并通过发展本地合作伙伴，持续推进更多项目的实际落地。未来，国际化是公司重要的战略方向之一。我们将通过引进具备国际视野的专业人才、持续完善合规与知识产权管理体系，推动英方软件的数据复制与业务韧性方案进一步走向全球，不断提升公司在国际市场的竞争力和品牌影响力。后续，我们也将持续规范披露定期报告和相关公告，及时向投资者们同步海外业务的财务表现。感谢您的关注。</w:t>
            </w:r>
          </w:p>
          <w:p w14:paraId="7004331B">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eastAsia"/>
                <w:b/>
                <w:bCs/>
                <w:color w:val="000000"/>
                <w:sz w:val="24"/>
                <w:szCs w:val="24"/>
                <w:highlight w:val="none"/>
                <w:lang w:val="en-US" w:eastAsia="zh-CN"/>
              </w:rPr>
            </w:pPr>
            <w:r>
              <w:rPr>
                <w:rFonts w:hint="eastAsia"/>
                <w:b/>
                <w:bCs/>
                <w:color w:val="000000"/>
                <w:sz w:val="24"/>
                <w:szCs w:val="24"/>
                <w:highlight w:val="none"/>
                <w:lang w:val="en-US" w:eastAsia="zh-CN"/>
              </w:rPr>
              <w:t>5、今日有新闻媒体报导工行APP储户余额显示出现故障，请问这与数据灾备需求是否相关？公司未来相关业务展望如何？</w:t>
            </w:r>
          </w:p>
          <w:p w14:paraId="6831997B">
            <w:pPr>
              <w:keepNext w:val="0"/>
              <w:keepLines w:val="0"/>
              <w:pageBreakBefore w:val="0"/>
              <w:widowControl/>
              <w:numPr>
                <w:numId w:val="0"/>
              </w:numPr>
              <w:kinsoku/>
              <w:wordWrap/>
              <w:overflowPunct/>
              <w:topLinePunct w:val="0"/>
              <w:autoSpaceDE/>
              <w:autoSpaceDN/>
              <w:bidi w:val="0"/>
              <w:adjustRightInd/>
              <w:snapToGrid/>
              <w:spacing w:line="360" w:lineRule="auto"/>
              <w:ind w:firstLine="480" w:firstLineChars="200"/>
              <w:jc w:val="both"/>
              <w:textAlignment w:val="auto"/>
              <w:rPr>
                <w:rFonts w:hint="eastAsia"/>
                <w:color w:val="000000"/>
                <w:sz w:val="24"/>
                <w:szCs w:val="24"/>
                <w:highlight w:val="none"/>
                <w:lang w:val="en-US" w:eastAsia="zh-CN"/>
              </w:rPr>
            </w:pPr>
            <w:r>
              <w:rPr>
                <w:rFonts w:hint="eastAsia"/>
                <w:color w:val="000000"/>
                <w:sz w:val="24"/>
                <w:szCs w:val="24"/>
                <w:highlight w:val="none"/>
                <w:lang w:val="en-US" w:eastAsia="zh-CN"/>
              </w:rPr>
              <w:t>尊敬的投资者，您好！英方软件的主营业务系为客户提供数据复制相关的软件、软硬件一体机及软件相关服务，其中软件产品方面秉持软件产品的标准化发展原则，持续深耕以数据复制功能为基础，结合操作系统、文件系统、存储系统、数据库管理系统、虚拟化平台、超融合平台、云原生、容器等应用环境的不同需求，持续投入研发资源实现实现单一产品的领先的同时，追求整体产品方案的均衡发展；软硬件一体机产品则针对客户软硬件一体化的需求，将软件嵌入到存储服务器硬件后形成。软硬件一体机的存储服务器带有一定的存储空间，可直接作为目标端存储数据，开箱即用，方便用户快速构建灾备系</w:t>
            </w:r>
            <w:bookmarkStart w:id="0" w:name="_GoBack"/>
            <w:bookmarkEnd w:id="0"/>
            <w:r>
              <w:rPr>
                <w:rFonts w:hint="eastAsia"/>
                <w:color w:val="000000"/>
                <w:sz w:val="24"/>
                <w:szCs w:val="24"/>
                <w:highlight w:val="none"/>
                <w:lang w:val="en-US" w:eastAsia="zh-CN"/>
              </w:rPr>
              <w:t>统。未来，公司还将持续深耕主业，不断满足客户与市场的新需求。感谢您的关注！</w:t>
            </w:r>
          </w:p>
          <w:p w14:paraId="6BC56CCF">
            <w:pPr>
              <w:keepNext w:val="0"/>
              <w:keepLines w:val="0"/>
              <w:pageBreakBefore w:val="0"/>
              <w:widowControl/>
              <w:numPr>
                <w:numId w:val="0"/>
              </w:numPr>
              <w:kinsoku/>
              <w:wordWrap/>
              <w:overflowPunct/>
              <w:topLinePunct w:val="0"/>
              <w:autoSpaceDE/>
              <w:autoSpaceDN/>
              <w:bidi w:val="0"/>
              <w:adjustRightInd/>
              <w:snapToGrid/>
              <w:spacing w:line="360" w:lineRule="auto"/>
              <w:jc w:val="both"/>
              <w:textAlignment w:val="auto"/>
              <w:rPr>
                <w:rFonts w:hint="default"/>
                <w:color w:val="000000"/>
                <w:sz w:val="24"/>
                <w:szCs w:val="24"/>
                <w:highlight w:val="none"/>
                <w:lang w:val="en-US" w:eastAsia="zh-CN"/>
              </w:rPr>
            </w:pPr>
          </w:p>
        </w:tc>
      </w:tr>
      <w:tr w14:paraId="726C4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14:paraId="6FB51469">
            <w:pPr>
              <w:spacing w:line="360" w:lineRule="auto"/>
              <w:rPr>
                <w:rFonts w:ascii="宋体" w:hAnsi="宋体"/>
                <w:bCs/>
                <w:iCs/>
                <w:color w:val="000000"/>
                <w:sz w:val="24"/>
                <w:highlight w:val="none"/>
              </w:rPr>
            </w:pPr>
            <w:r>
              <w:rPr>
                <w:rFonts w:ascii="宋体" w:hAnsi="宋体"/>
                <w:bCs/>
                <w:iCs/>
                <w:color w:val="000000"/>
                <w:sz w:val="24"/>
                <w:highlight w:val="none"/>
              </w:rPr>
              <w:t xml:space="preserve">附件清单（如有） </w:t>
            </w:r>
          </w:p>
        </w:tc>
        <w:tc>
          <w:tcPr>
            <w:tcW w:w="7009" w:type="dxa"/>
            <w:vAlign w:val="center"/>
          </w:tcPr>
          <w:p w14:paraId="3C72AE43">
            <w:pPr>
              <w:spacing w:line="360" w:lineRule="auto"/>
              <w:rPr>
                <w:rFonts w:ascii="宋体" w:hAnsi="宋体"/>
                <w:bCs/>
                <w:iCs/>
                <w:color w:val="000000"/>
                <w:sz w:val="24"/>
                <w:highlight w:val="none"/>
              </w:rPr>
            </w:pPr>
            <w:r>
              <w:rPr>
                <w:rFonts w:hint="eastAsia" w:ascii="宋体" w:hAnsi="宋体"/>
                <w:bCs/>
                <w:iCs/>
                <w:color w:val="000000"/>
                <w:sz w:val="24"/>
                <w:highlight w:val="none"/>
              </w:rPr>
              <w:t>无</w:t>
            </w:r>
          </w:p>
        </w:tc>
      </w:tr>
      <w:tr w14:paraId="1AAD3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3" w:type="dxa"/>
            <w:vAlign w:val="center"/>
          </w:tcPr>
          <w:p w14:paraId="6F8799EF">
            <w:pPr>
              <w:spacing w:line="360" w:lineRule="auto"/>
              <w:jc w:val="center"/>
              <w:rPr>
                <w:rFonts w:ascii="宋体" w:hAnsi="宋体"/>
                <w:bCs/>
                <w:iCs/>
                <w:color w:val="000000"/>
                <w:sz w:val="24"/>
                <w:highlight w:val="none"/>
              </w:rPr>
            </w:pPr>
            <w:r>
              <w:rPr>
                <w:rFonts w:hint="eastAsia" w:ascii="宋体" w:hAnsi="宋体"/>
                <w:bCs/>
                <w:iCs/>
                <w:color w:val="000000"/>
                <w:sz w:val="24"/>
                <w:highlight w:val="none"/>
              </w:rPr>
              <w:t>日期</w:t>
            </w:r>
          </w:p>
        </w:tc>
        <w:tc>
          <w:tcPr>
            <w:tcW w:w="7009" w:type="dxa"/>
            <w:vAlign w:val="center"/>
          </w:tcPr>
          <w:p w14:paraId="0642838F">
            <w:pPr>
              <w:spacing w:line="360" w:lineRule="auto"/>
              <w:rPr>
                <w:rFonts w:ascii="宋体" w:hAnsi="宋体"/>
                <w:bCs/>
                <w:iCs/>
                <w:color w:val="000000"/>
                <w:sz w:val="24"/>
                <w:highlight w:val="none"/>
              </w:rPr>
            </w:pPr>
            <w:r>
              <w:rPr>
                <w:rFonts w:hint="eastAsia" w:ascii="宋体" w:hAnsi="宋体"/>
                <w:bCs/>
                <w:iCs/>
                <w:color w:val="000000"/>
                <w:sz w:val="24"/>
                <w:highlight w:val="none"/>
              </w:rPr>
              <w:t>20</w:t>
            </w:r>
            <w:r>
              <w:rPr>
                <w:rFonts w:ascii="宋体" w:hAnsi="宋体"/>
                <w:bCs/>
                <w:iCs/>
                <w:color w:val="000000"/>
                <w:sz w:val="24"/>
                <w:highlight w:val="none"/>
              </w:rPr>
              <w:t>2</w:t>
            </w:r>
            <w:r>
              <w:rPr>
                <w:rFonts w:hint="eastAsia" w:ascii="宋体" w:hAnsi="宋体"/>
                <w:bCs/>
                <w:iCs/>
                <w:color w:val="000000"/>
                <w:sz w:val="24"/>
                <w:highlight w:val="none"/>
                <w:lang w:val="en-US" w:eastAsia="zh-CN"/>
              </w:rPr>
              <w:t>5</w:t>
            </w:r>
            <w:r>
              <w:rPr>
                <w:rFonts w:hint="eastAsia" w:ascii="宋体" w:hAnsi="宋体"/>
                <w:bCs/>
                <w:iCs/>
                <w:color w:val="000000"/>
                <w:sz w:val="24"/>
                <w:highlight w:val="none"/>
              </w:rPr>
              <w:t>年</w:t>
            </w:r>
            <w:r>
              <w:rPr>
                <w:rFonts w:hint="eastAsia" w:ascii="宋体" w:hAnsi="宋体"/>
                <w:bCs/>
                <w:iCs/>
                <w:color w:val="000000"/>
                <w:sz w:val="24"/>
                <w:highlight w:val="none"/>
                <w:lang w:val="en-US" w:eastAsia="zh-CN"/>
              </w:rPr>
              <w:t>11</w:t>
            </w:r>
            <w:r>
              <w:rPr>
                <w:rFonts w:hint="eastAsia" w:ascii="宋体" w:hAnsi="宋体"/>
                <w:bCs/>
                <w:iCs/>
                <w:color w:val="000000"/>
                <w:sz w:val="24"/>
                <w:highlight w:val="none"/>
              </w:rPr>
              <w:t>月</w:t>
            </w:r>
          </w:p>
        </w:tc>
      </w:tr>
    </w:tbl>
    <w:p w14:paraId="50C3BF69">
      <w:pPr>
        <w:widowControl/>
        <w:jc w:val="left"/>
        <w:rPr>
          <w:highlight w:val="yello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siyua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dkZjViNzI2NzFjNmI5NTFlN2UzMjNkNWYyMzdlOTkifQ=="/>
  </w:docVars>
  <w:rsids>
    <w:rsidRoot w:val="00907AA5"/>
    <w:rsid w:val="00035D2C"/>
    <w:rsid w:val="00054467"/>
    <w:rsid w:val="00062355"/>
    <w:rsid w:val="0006573D"/>
    <w:rsid w:val="00081366"/>
    <w:rsid w:val="000976CB"/>
    <w:rsid w:val="000B335E"/>
    <w:rsid w:val="000B7FAD"/>
    <w:rsid w:val="000C0A51"/>
    <w:rsid w:val="000D33F6"/>
    <w:rsid w:val="000E4B16"/>
    <w:rsid w:val="000F4D5F"/>
    <w:rsid w:val="00103A33"/>
    <w:rsid w:val="001057DB"/>
    <w:rsid w:val="00112B54"/>
    <w:rsid w:val="00124C9C"/>
    <w:rsid w:val="00131F47"/>
    <w:rsid w:val="00153D01"/>
    <w:rsid w:val="0016141B"/>
    <w:rsid w:val="0016246C"/>
    <w:rsid w:val="0016659B"/>
    <w:rsid w:val="001871D6"/>
    <w:rsid w:val="001940DF"/>
    <w:rsid w:val="001C1FFD"/>
    <w:rsid w:val="001C6D89"/>
    <w:rsid w:val="001D1897"/>
    <w:rsid w:val="001F2FDC"/>
    <w:rsid w:val="001F6A53"/>
    <w:rsid w:val="00230EE5"/>
    <w:rsid w:val="0023557C"/>
    <w:rsid w:val="0024568A"/>
    <w:rsid w:val="0025174B"/>
    <w:rsid w:val="002660F3"/>
    <w:rsid w:val="00270394"/>
    <w:rsid w:val="002A1899"/>
    <w:rsid w:val="002A4B9A"/>
    <w:rsid w:val="002C08C9"/>
    <w:rsid w:val="003039FA"/>
    <w:rsid w:val="00320313"/>
    <w:rsid w:val="0037673B"/>
    <w:rsid w:val="00383F8C"/>
    <w:rsid w:val="00397ABA"/>
    <w:rsid w:val="003A2691"/>
    <w:rsid w:val="003B1531"/>
    <w:rsid w:val="003B4E38"/>
    <w:rsid w:val="003D7149"/>
    <w:rsid w:val="003E3A99"/>
    <w:rsid w:val="00400BEE"/>
    <w:rsid w:val="00443C87"/>
    <w:rsid w:val="00444C44"/>
    <w:rsid w:val="00452CDD"/>
    <w:rsid w:val="00453980"/>
    <w:rsid w:val="00456F4C"/>
    <w:rsid w:val="00473824"/>
    <w:rsid w:val="00494439"/>
    <w:rsid w:val="004A48F7"/>
    <w:rsid w:val="004C0C6E"/>
    <w:rsid w:val="004D3744"/>
    <w:rsid w:val="004E18E4"/>
    <w:rsid w:val="00506587"/>
    <w:rsid w:val="00513FDB"/>
    <w:rsid w:val="00521F29"/>
    <w:rsid w:val="005457B4"/>
    <w:rsid w:val="00547A95"/>
    <w:rsid w:val="005562E9"/>
    <w:rsid w:val="00565CBB"/>
    <w:rsid w:val="0056752E"/>
    <w:rsid w:val="00587CDD"/>
    <w:rsid w:val="005A0F28"/>
    <w:rsid w:val="005C3B58"/>
    <w:rsid w:val="005D14B5"/>
    <w:rsid w:val="005D3623"/>
    <w:rsid w:val="005E7811"/>
    <w:rsid w:val="005F1972"/>
    <w:rsid w:val="00615EC7"/>
    <w:rsid w:val="006274D0"/>
    <w:rsid w:val="00634127"/>
    <w:rsid w:val="0064264E"/>
    <w:rsid w:val="00655619"/>
    <w:rsid w:val="00693040"/>
    <w:rsid w:val="00694A61"/>
    <w:rsid w:val="006A3D9A"/>
    <w:rsid w:val="006F2BE0"/>
    <w:rsid w:val="00752478"/>
    <w:rsid w:val="0078554E"/>
    <w:rsid w:val="0079056C"/>
    <w:rsid w:val="007906EC"/>
    <w:rsid w:val="007922E7"/>
    <w:rsid w:val="00793F45"/>
    <w:rsid w:val="007C279C"/>
    <w:rsid w:val="007C3675"/>
    <w:rsid w:val="007C770C"/>
    <w:rsid w:val="007E3A9B"/>
    <w:rsid w:val="00803617"/>
    <w:rsid w:val="00804C00"/>
    <w:rsid w:val="0081771C"/>
    <w:rsid w:val="00825818"/>
    <w:rsid w:val="00861607"/>
    <w:rsid w:val="00884602"/>
    <w:rsid w:val="0089311C"/>
    <w:rsid w:val="008A04D2"/>
    <w:rsid w:val="00907AA5"/>
    <w:rsid w:val="00914677"/>
    <w:rsid w:val="0092359A"/>
    <w:rsid w:val="009647B7"/>
    <w:rsid w:val="00982B5B"/>
    <w:rsid w:val="009A24D2"/>
    <w:rsid w:val="009D66DC"/>
    <w:rsid w:val="009E612F"/>
    <w:rsid w:val="009F4B8F"/>
    <w:rsid w:val="00A2072F"/>
    <w:rsid w:val="00A23E71"/>
    <w:rsid w:val="00A4497E"/>
    <w:rsid w:val="00A65C79"/>
    <w:rsid w:val="00AD31A0"/>
    <w:rsid w:val="00B03471"/>
    <w:rsid w:val="00B05289"/>
    <w:rsid w:val="00B428D4"/>
    <w:rsid w:val="00B4496D"/>
    <w:rsid w:val="00B457BA"/>
    <w:rsid w:val="00B50874"/>
    <w:rsid w:val="00B869F3"/>
    <w:rsid w:val="00B945FD"/>
    <w:rsid w:val="00B95355"/>
    <w:rsid w:val="00BA5388"/>
    <w:rsid w:val="00BA56F4"/>
    <w:rsid w:val="00BA680C"/>
    <w:rsid w:val="00BB4088"/>
    <w:rsid w:val="00BB6B7D"/>
    <w:rsid w:val="00BC23C1"/>
    <w:rsid w:val="00BC50A6"/>
    <w:rsid w:val="00BE0DA7"/>
    <w:rsid w:val="00BF3B19"/>
    <w:rsid w:val="00BF7123"/>
    <w:rsid w:val="00C1132F"/>
    <w:rsid w:val="00C115FB"/>
    <w:rsid w:val="00C60B00"/>
    <w:rsid w:val="00C87D0F"/>
    <w:rsid w:val="00C94D1E"/>
    <w:rsid w:val="00C95D38"/>
    <w:rsid w:val="00CB5B0F"/>
    <w:rsid w:val="00CB628D"/>
    <w:rsid w:val="00CC5F19"/>
    <w:rsid w:val="00CD4F4D"/>
    <w:rsid w:val="00CE7CDB"/>
    <w:rsid w:val="00D109BC"/>
    <w:rsid w:val="00D11273"/>
    <w:rsid w:val="00D13893"/>
    <w:rsid w:val="00D14267"/>
    <w:rsid w:val="00D17B26"/>
    <w:rsid w:val="00D24D2C"/>
    <w:rsid w:val="00D2667B"/>
    <w:rsid w:val="00D304E2"/>
    <w:rsid w:val="00D30929"/>
    <w:rsid w:val="00D43E8B"/>
    <w:rsid w:val="00D51945"/>
    <w:rsid w:val="00D75783"/>
    <w:rsid w:val="00D902F5"/>
    <w:rsid w:val="00DB385E"/>
    <w:rsid w:val="00DC39B0"/>
    <w:rsid w:val="00DF0083"/>
    <w:rsid w:val="00E00B7F"/>
    <w:rsid w:val="00E02931"/>
    <w:rsid w:val="00E0671B"/>
    <w:rsid w:val="00E22EA9"/>
    <w:rsid w:val="00E35D51"/>
    <w:rsid w:val="00E41004"/>
    <w:rsid w:val="00E41A04"/>
    <w:rsid w:val="00E51509"/>
    <w:rsid w:val="00E55598"/>
    <w:rsid w:val="00EA2D7D"/>
    <w:rsid w:val="00EB1594"/>
    <w:rsid w:val="00EC6259"/>
    <w:rsid w:val="00ED0943"/>
    <w:rsid w:val="00ED17BA"/>
    <w:rsid w:val="00ED6D17"/>
    <w:rsid w:val="00F01E74"/>
    <w:rsid w:val="00F31D0F"/>
    <w:rsid w:val="00F34116"/>
    <w:rsid w:val="00F34D15"/>
    <w:rsid w:val="00F94B3D"/>
    <w:rsid w:val="00FA61D1"/>
    <w:rsid w:val="00FC69E5"/>
    <w:rsid w:val="00FF279D"/>
    <w:rsid w:val="026E141F"/>
    <w:rsid w:val="027B6D79"/>
    <w:rsid w:val="04C87066"/>
    <w:rsid w:val="05DE1F43"/>
    <w:rsid w:val="073164B5"/>
    <w:rsid w:val="0A4056A9"/>
    <w:rsid w:val="0AB02BCD"/>
    <w:rsid w:val="0AEB20D2"/>
    <w:rsid w:val="0D046532"/>
    <w:rsid w:val="0F5645BD"/>
    <w:rsid w:val="10797AFB"/>
    <w:rsid w:val="11337CBF"/>
    <w:rsid w:val="14147227"/>
    <w:rsid w:val="166A2EB1"/>
    <w:rsid w:val="16E235F1"/>
    <w:rsid w:val="1A986F4F"/>
    <w:rsid w:val="1D074E56"/>
    <w:rsid w:val="1DE826EC"/>
    <w:rsid w:val="1E6D231E"/>
    <w:rsid w:val="1F171D44"/>
    <w:rsid w:val="1F5B6C81"/>
    <w:rsid w:val="1F5E3D65"/>
    <w:rsid w:val="23775F59"/>
    <w:rsid w:val="24E23D7C"/>
    <w:rsid w:val="25416D14"/>
    <w:rsid w:val="25C01E7E"/>
    <w:rsid w:val="26DF7048"/>
    <w:rsid w:val="26F57EA0"/>
    <w:rsid w:val="270C409F"/>
    <w:rsid w:val="27C7486A"/>
    <w:rsid w:val="27E06986"/>
    <w:rsid w:val="28700AC7"/>
    <w:rsid w:val="2AB51407"/>
    <w:rsid w:val="2B601F23"/>
    <w:rsid w:val="2F3839FD"/>
    <w:rsid w:val="2F437013"/>
    <w:rsid w:val="2F5922B5"/>
    <w:rsid w:val="2F835A02"/>
    <w:rsid w:val="316E496E"/>
    <w:rsid w:val="346C0F8D"/>
    <w:rsid w:val="34E24AFB"/>
    <w:rsid w:val="34E50FB5"/>
    <w:rsid w:val="35ED5885"/>
    <w:rsid w:val="396A0841"/>
    <w:rsid w:val="3AC64E24"/>
    <w:rsid w:val="3B645409"/>
    <w:rsid w:val="3B966657"/>
    <w:rsid w:val="3E0F64B4"/>
    <w:rsid w:val="3F204B9F"/>
    <w:rsid w:val="401873FE"/>
    <w:rsid w:val="40221ED0"/>
    <w:rsid w:val="40624D42"/>
    <w:rsid w:val="40EC58C2"/>
    <w:rsid w:val="42487538"/>
    <w:rsid w:val="438F3899"/>
    <w:rsid w:val="448E592F"/>
    <w:rsid w:val="456D41C6"/>
    <w:rsid w:val="469519CD"/>
    <w:rsid w:val="486017CE"/>
    <w:rsid w:val="488D48BB"/>
    <w:rsid w:val="48C61172"/>
    <w:rsid w:val="49F92FBC"/>
    <w:rsid w:val="4A506A7B"/>
    <w:rsid w:val="4AC31770"/>
    <w:rsid w:val="4B04143D"/>
    <w:rsid w:val="4BE97027"/>
    <w:rsid w:val="4C8B34F6"/>
    <w:rsid w:val="4CA8313E"/>
    <w:rsid w:val="4CE723A1"/>
    <w:rsid w:val="4E3F7116"/>
    <w:rsid w:val="4E4610A1"/>
    <w:rsid w:val="4F4B58B4"/>
    <w:rsid w:val="4F734876"/>
    <w:rsid w:val="501E4BFD"/>
    <w:rsid w:val="547877AD"/>
    <w:rsid w:val="5587376C"/>
    <w:rsid w:val="588C69A8"/>
    <w:rsid w:val="58E95FEA"/>
    <w:rsid w:val="5C3E620B"/>
    <w:rsid w:val="5D993739"/>
    <w:rsid w:val="5DAB1F64"/>
    <w:rsid w:val="606C2A77"/>
    <w:rsid w:val="60F45BE7"/>
    <w:rsid w:val="62A156F1"/>
    <w:rsid w:val="63AF3EC4"/>
    <w:rsid w:val="641E0D86"/>
    <w:rsid w:val="648A23AF"/>
    <w:rsid w:val="6A1D41BC"/>
    <w:rsid w:val="6A7B723E"/>
    <w:rsid w:val="6CD773CF"/>
    <w:rsid w:val="6F8E06AB"/>
    <w:rsid w:val="71136A90"/>
    <w:rsid w:val="739972EB"/>
    <w:rsid w:val="73DF15F2"/>
    <w:rsid w:val="748E002A"/>
    <w:rsid w:val="74AE1D28"/>
    <w:rsid w:val="77683805"/>
    <w:rsid w:val="78206C22"/>
    <w:rsid w:val="792D3904"/>
    <w:rsid w:val="798D4BFB"/>
    <w:rsid w:val="7A9274BD"/>
    <w:rsid w:val="7AFD55E3"/>
    <w:rsid w:val="7C0670B3"/>
    <w:rsid w:val="7D540579"/>
    <w:rsid w:val="7DA82479"/>
    <w:rsid w:val="7E5B5B46"/>
    <w:rsid w:val="7E747B3F"/>
    <w:rsid w:val="7F610F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ind w:left="100" w:leftChars="100" w:right="100" w:rightChars="100"/>
      <w:outlineLvl w:val="1"/>
    </w:pPr>
    <w:rPr>
      <w:rFonts w:asciiTheme="majorHAnsi" w:hAnsiTheme="majorHAnsi" w:cstheme="majorBidi"/>
      <w:b/>
      <w:bCs/>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6"/>
    <w:semiHidden/>
    <w:unhideWhenUsed/>
    <w:qFormat/>
    <w:uiPriority w:val="99"/>
    <w:rPr>
      <w:rFonts w:ascii="宋体" w:eastAsia="宋体"/>
      <w:sz w:val="18"/>
      <w:szCs w:val="18"/>
    </w:rPr>
  </w:style>
  <w:style w:type="paragraph" w:styleId="4">
    <w:name w:val="annotation text"/>
    <w:basedOn w:val="1"/>
    <w:link w:val="23"/>
    <w:semiHidden/>
    <w:unhideWhenUsed/>
    <w:qFormat/>
    <w:uiPriority w:val="99"/>
    <w:pPr>
      <w:jc w:val="left"/>
    </w:pPr>
  </w:style>
  <w:style w:type="paragraph" w:styleId="5">
    <w:name w:val="Balloon Text"/>
    <w:basedOn w:val="1"/>
    <w:link w:val="17"/>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20"/>
    <w:semiHidden/>
    <w:unhideWhenUsed/>
    <w:qFormat/>
    <w:uiPriority w:val="99"/>
    <w:pPr>
      <w:snapToGrid w:val="0"/>
      <w:jc w:val="left"/>
    </w:pPr>
    <w:rPr>
      <w:rFonts w:eastAsia="华文楷体"/>
      <w:sz w:val="18"/>
      <w:szCs w:val="18"/>
    </w:rPr>
  </w:style>
  <w:style w:type="paragraph" w:styleId="9">
    <w:name w:val="annotation subject"/>
    <w:basedOn w:val="4"/>
    <w:next w:val="4"/>
    <w:link w:val="24"/>
    <w:semiHidden/>
    <w:unhideWhenUsed/>
    <w:qFormat/>
    <w:uiPriority w:val="99"/>
    <w:rPr>
      <w:b/>
      <w:bCs/>
    </w:rPr>
  </w:style>
  <w:style w:type="character" w:styleId="12">
    <w:name w:val="annotation reference"/>
    <w:basedOn w:val="11"/>
    <w:semiHidden/>
    <w:unhideWhenUsed/>
    <w:qFormat/>
    <w:uiPriority w:val="99"/>
    <w:rPr>
      <w:sz w:val="21"/>
      <w:szCs w:val="21"/>
    </w:rPr>
  </w:style>
  <w:style w:type="character" w:styleId="13">
    <w:name w:val="footnote reference"/>
    <w:semiHidden/>
    <w:unhideWhenUsed/>
    <w:qFormat/>
    <w:uiPriority w:val="99"/>
    <w:rPr>
      <w:vertAlign w:val="superscript"/>
    </w:rPr>
  </w:style>
  <w:style w:type="character" w:customStyle="1" w:styleId="14">
    <w:name w:val="页眉 字符"/>
    <w:basedOn w:val="11"/>
    <w:link w:val="7"/>
    <w:qFormat/>
    <w:uiPriority w:val="99"/>
    <w:rPr>
      <w:sz w:val="18"/>
      <w:szCs w:val="18"/>
    </w:rPr>
  </w:style>
  <w:style w:type="character" w:customStyle="1" w:styleId="15">
    <w:name w:val="页脚 字符"/>
    <w:basedOn w:val="11"/>
    <w:link w:val="6"/>
    <w:qFormat/>
    <w:uiPriority w:val="99"/>
    <w:rPr>
      <w:sz w:val="18"/>
      <w:szCs w:val="18"/>
    </w:rPr>
  </w:style>
  <w:style w:type="character" w:customStyle="1" w:styleId="16">
    <w:name w:val="文档结构图 字符"/>
    <w:basedOn w:val="11"/>
    <w:link w:val="3"/>
    <w:semiHidden/>
    <w:qFormat/>
    <w:uiPriority w:val="99"/>
    <w:rPr>
      <w:rFonts w:ascii="宋体" w:eastAsia="宋体"/>
      <w:sz w:val="18"/>
      <w:szCs w:val="18"/>
    </w:rPr>
  </w:style>
  <w:style w:type="character" w:customStyle="1" w:styleId="17">
    <w:name w:val="批注框文本 字符"/>
    <w:basedOn w:val="11"/>
    <w:link w:val="5"/>
    <w:semiHidden/>
    <w:qFormat/>
    <w:uiPriority w:val="99"/>
    <w:rPr>
      <w:sz w:val="18"/>
      <w:szCs w:val="18"/>
    </w:r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9">
    <w:name w:val="脚注文本 Char"/>
    <w:semiHidden/>
    <w:qFormat/>
    <w:uiPriority w:val="99"/>
    <w:rPr>
      <w:rFonts w:eastAsia="华文楷体"/>
      <w:sz w:val="18"/>
      <w:szCs w:val="18"/>
    </w:rPr>
  </w:style>
  <w:style w:type="character" w:customStyle="1" w:styleId="20">
    <w:name w:val="脚注文本 字符"/>
    <w:basedOn w:val="11"/>
    <w:link w:val="8"/>
    <w:semiHidden/>
    <w:qFormat/>
    <w:uiPriority w:val="99"/>
    <w:rPr>
      <w:sz w:val="18"/>
      <w:szCs w:val="18"/>
    </w:rPr>
  </w:style>
  <w:style w:type="paragraph" w:styleId="21">
    <w:name w:val="List Paragraph"/>
    <w:basedOn w:val="1"/>
    <w:qFormat/>
    <w:uiPriority w:val="34"/>
    <w:pPr>
      <w:ind w:firstLine="420" w:firstLineChars="200"/>
    </w:pPr>
    <w:rPr>
      <w:rFonts w:ascii="Times New Roman" w:hAnsi="Times New Roman" w:eastAsia="宋体" w:cs="Times New Roman"/>
      <w:szCs w:val="24"/>
    </w:rPr>
  </w:style>
  <w:style w:type="paragraph" w:customStyle="1" w:styleId="22">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3">
    <w:name w:val="批注文字 字符"/>
    <w:basedOn w:val="11"/>
    <w:link w:val="4"/>
    <w:semiHidden/>
    <w:qFormat/>
    <w:uiPriority w:val="99"/>
    <w:rPr>
      <w:rFonts w:asciiTheme="minorHAnsi" w:hAnsiTheme="minorHAnsi" w:eastAsiaTheme="minorEastAsia" w:cstheme="minorBidi"/>
      <w:kern w:val="2"/>
      <w:sz w:val="21"/>
      <w:szCs w:val="22"/>
    </w:rPr>
  </w:style>
  <w:style w:type="character" w:customStyle="1" w:styleId="24">
    <w:name w:val="批注主题 字符"/>
    <w:basedOn w:val="23"/>
    <w:link w:val="9"/>
    <w:semiHidden/>
    <w:qFormat/>
    <w:uiPriority w:val="99"/>
    <w:rPr>
      <w:rFonts w:asciiTheme="minorHAnsi" w:hAnsiTheme="minorHAnsi" w:eastAsiaTheme="minorEastAsia" w:cstheme="minorBidi"/>
      <w:b/>
      <w:bCs/>
      <w:kern w:val="2"/>
      <w:sz w:val="21"/>
      <w:szCs w:val="22"/>
    </w:rPr>
  </w:style>
  <w:style w:type="paragraph" w:customStyle="1" w:styleId="25">
    <w:name w:val="005正文"/>
    <w:qFormat/>
    <w:uiPriority w:val="99"/>
    <w:pPr>
      <w:widowControl w:val="0"/>
      <w:spacing w:before="50" w:beforeLines="50"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26">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C63F0-5463-4442-B6F8-C000103F7A4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2188</Words>
  <Characters>2345</Characters>
  <Lines>12</Lines>
  <Paragraphs>3</Paragraphs>
  <TotalTime>335</TotalTime>
  <ScaleCrop>false</ScaleCrop>
  <LinksUpToDate>false</LinksUpToDate>
  <CharactersWithSpaces>2479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2023-02-06T01:53:00Z</dcterms:created>
  <dc:creator>fangz</dc:creator>
  <cp:lastModifiedBy>沈蔡娟</cp:lastModifiedBy>
  <dcterms:modified xsi:type="dcterms:W3CDTF">2025-11-10T13:46:27Z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FDC3F2207ADE4FEA8F8E884D0B9055AB</vt:lpwstr>
  </property>
  <property fmtid="{D5CDD505-2E9C-101B-9397-08002B2CF9AE}" pid="4" name="KSOTemplateDocerSaveRecord">
    <vt:lpwstr>eyJoZGlkIjoiODhjMzM2YzNmOTE2ZjViMDYxNDA0OGY2ZmJjNjZjOWEiLCJ1c2VySWQiOiIyMTc3MDAzOTkifQ==</vt:lpwstr>
  </property>
</Properties>
</file>