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3E5BA" w14:textId="77777777" w:rsidR="00766D13" w:rsidRDefault="006A782E">
      <w:pPr>
        <w:spacing w:line="360" w:lineRule="auto"/>
        <w:jc w:val="center"/>
        <w:rPr>
          <w:rFonts w:ascii="Times New Roman" w:eastAsia="宋体" w:hAnsi="Times New Roman"/>
          <w:b/>
          <w:bCs/>
          <w:iCs/>
          <w:color w:val="000000"/>
          <w:sz w:val="32"/>
          <w:szCs w:val="32"/>
        </w:rPr>
      </w:pPr>
      <w:r>
        <w:rPr>
          <w:rFonts w:ascii="Times New Roman" w:eastAsia="宋体" w:hAnsi="Times New Roman" w:hint="eastAsia"/>
          <w:b/>
          <w:bCs/>
          <w:iCs/>
          <w:color w:val="000000"/>
          <w:sz w:val="32"/>
          <w:szCs w:val="32"/>
          <w:lang w:bidi="ar"/>
        </w:rPr>
        <w:t>江苏微导纳米科技股份有限公司</w:t>
      </w:r>
    </w:p>
    <w:p w14:paraId="4F92CC45" w14:textId="77777777" w:rsidR="00766D13" w:rsidRDefault="006A782E">
      <w:pPr>
        <w:pStyle w:val="1"/>
        <w:widowControl/>
        <w:spacing w:before="0" w:after="0" w:line="360" w:lineRule="auto"/>
        <w:jc w:val="center"/>
        <w:rPr>
          <w:rFonts w:ascii="Times New Roman" w:eastAsia="宋体" w:hAnsi="Times New Roman"/>
          <w:iCs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 w:hint="eastAsia"/>
          <w:iCs/>
          <w:color w:val="000000"/>
          <w:kern w:val="0"/>
          <w:sz w:val="32"/>
          <w:szCs w:val="32"/>
        </w:rPr>
        <w:t>投资者关系活动记录表</w:t>
      </w: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4"/>
        <w:gridCol w:w="2743"/>
        <w:gridCol w:w="1174"/>
        <w:gridCol w:w="3019"/>
      </w:tblGrid>
      <w:tr w:rsidR="00766D13" w14:paraId="2AFE27D9" w14:textId="77777777">
        <w:trPr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A7397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投资者关系活动类别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8D95B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■</w:t>
            </w:r>
            <w:r>
              <w:rPr>
                <w:rFonts w:ascii="Times New Roman" w:eastAsia="宋体" w:hAnsi="Times New Roman" w:hint="eastAsia"/>
                <w:sz w:val="24"/>
                <w:lang w:bidi="ar"/>
              </w:rPr>
              <w:t>特定对象调研</w:t>
            </w:r>
            <w:r>
              <w:rPr>
                <w:rFonts w:ascii="Times New Roman" w:eastAsia="宋体" w:hAnsi="Times New Roman"/>
                <w:sz w:val="24"/>
                <w:lang w:bidi="ar"/>
              </w:rPr>
              <w:t xml:space="preserve">         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□</w:t>
            </w:r>
            <w:r>
              <w:rPr>
                <w:rFonts w:ascii="Times New Roman" w:eastAsia="宋体" w:hAnsi="Times New Roman" w:hint="eastAsia"/>
                <w:sz w:val="24"/>
                <w:lang w:bidi="ar"/>
              </w:rPr>
              <w:t>分析师会议</w:t>
            </w:r>
          </w:p>
          <w:p w14:paraId="4F1F2FF4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□</w:t>
            </w:r>
            <w:r>
              <w:rPr>
                <w:rFonts w:ascii="Times New Roman" w:eastAsia="宋体" w:hAnsi="Times New Roman" w:hint="eastAsia"/>
                <w:sz w:val="24"/>
                <w:lang w:bidi="ar"/>
              </w:rPr>
              <w:t>媒体采访</w:t>
            </w:r>
            <w:r>
              <w:rPr>
                <w:rFonts w:ascii="Times New Roman" w:eastAsia="宋体" w:hAnsi="Times New Roman"/>
                <w:sz w:val="24"/>
                <w:lang w:bidi="ar"/>
              </w:rPr>
              <w:t xml:space="preserve">             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□</w:t>
            </w:r>
            <w:r>
              <w:rPr>
                <w:rFonts w:ascii="Times New Roman" w:eastAsia="宋体" w:hAnsi="Times New Roman" w:hint="eastAsia"/>
                <w:sz w:val="24"/>
                <w:lang w:bidi="ar"/>
              </w:rPr>
              <w:t>业绩说明会</w:t>
            </w:r>
          </w:p>
          <w:p w14:paraId="56F69A8A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□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新闻发布会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 xml:space="preserve">           ■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路演活动</w:t>
            </w:r>
          </w:p>
          <w:p w14:paraId="6D725F04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■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现场参观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ab/>
              <w:t xml:space="preserve">            ■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电话会议</w:t>
            </w:r>
          </w:p>
          <w:p w14:paraId="1018B609" w14:textId="77777777" w:rsidR="00766D13" w:rsidRDefault="006A782E">
            <w:pPr>
              <w:tabs>
                <w:tab w:val="left" w:pos="2808"/>
                <w:tab w:val="center" w:pos="3199"/>
              </w:tabs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□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其他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（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u w:val="single"/>
                <w:lang w:bidi="ar"/>
              </w:rPr>
              <w:t>请文字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u w:val="single"/>
                <w:lang w:bidi="ar"/>
              </w:rPr>
              <w:t>说明其他活动内容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）</w:t>
            </w:r>
          </w:p>
        </w:tc>
      </w:tr>
      <w:tr w:rsidR="00766D13" w14:paraId="7C626078" w14:textId="77777777">
        <w:trPr>
          <w:trHeight w:val="67"/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3CDF1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参与单位名称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BA737" w14:textId="13217701" w:rsidR="00766D13" w:rsidRDefault="006A782E" w:rsidP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Grand Alliance Asset Management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Pinpoint Asset Management Limited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proofErr w:type="spellStart"/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Pleiad</w:t>
            </w:r>
            <w:proofErr w:type="spellEnd"/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 xml:space="preserve"> Investment Advisors 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Limited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WFM Asia (HK) Limited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Manulife Investment Management (Hong Kong)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Rays Capital Partners Limited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Frontier Capital Management Limited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Bank of America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、安信基金、一久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私募、方正证券、东方财富证券、博时基金、金鹰基金、国寿安保基金、中信证券、中</w:t>
            </w:r>
            <w:proofErr w:type="gramStart"/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信建投基金</w:t>
            </w:r>
            <w:proofErr w:type="gramEnd"/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、中银基金、全天候基金、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太平洋证券、</w:t>
            </w:r>
            <w:bookmarkStart w:id="0" w:name="_GoBack"/>
            <w:bookmarkEnd w:id="0"/>
            <w:proofErr w:type="gramStart"/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鲸鸿私募</w:t>
            </w:r>
            <w:proofErr w:type="gramEnd"/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、</w:t>
            </w:r>
            <w:proofErr w:type="gramStart"/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宁波乾弘久盛</w:t>
            </w:r>
            <w:proofErr w:type="gramEnd"/>
          </w:p>
        </w:tc>
      </w:tr>
      <w:tr w:rsidR="00766D13" w14:paraId="6B1D922F" w14:textId="77777777">
        <w:trPr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59492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公司接待人员姓名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6184B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董事会秘书龙文、证券事务代表朱敏晓、证券部王少峰</w:t>
            </w:r>
          </w:p>
        </w:tc>
      </w:tr>
      <w:tr w:rsidR="00766D13" w14:paraId="71707A76" w14:textId="77777777">
        <w:trPr>
          <w:trHeight w:val="90"/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2BFAB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日期</w:t>
            </w:r>
            <w:r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时间</w:t>
            </w: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B02DC" w14:textId="77777777" w:rsidR="00766D13" w:rsidRDefault="006A782E">
            <w:pPr>
              <w:jc w:val="center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2025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11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月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7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日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-2025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11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月</w:t>
            </w:r>
            <w:r>
              <w:rPr>
                <w:rFonts w:ascii="Times New Roman" w:eastAsia="宋体" w:hAnsi="Times New Roman"/>
                <w:bCs/>
                <w:iCs/>
                <w:color w:val="000000"/>
                <w:sz w:val="24"/>
                <w:lang w:bidi="ar"/>
              </w:rPr>
              <w:t>13</w:t>
            </w: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日</w:t>
            </w:r>
          </w:p>
        </w:tc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4E640" w14:textId="77777777" w:rsidR="00766D13" w:rsidRDefault="006A782E">
            <w:pPr>
              <w:jc w:val="center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地点</w:t>
            </w:r>
          </w:p>
        </w:tc>
        <w:tc>
          <w:tcPr>
            <w:tcW w:w="1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8DE0B" w14:textId="77777777" w:rsidR="00766D13" w:rsidRDefault="006A782E">
            <w:pPr>
              <w:jc w:val="center"/>
              <w:rPr>
                <w:rFonts w:ascii="Times New Roman" w:eastAsia="宋体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Cs/>
                <w:iCs/>
                <w:color w:val="000000"/>
                <w:sz w:val="24"/>
                <w:lang w:bidi="ar"/>
              </w:rPr>
              <w:t>公司会议室</w:t>
            </w:r>
          </w:p>
        </w:tc>
      </w:tr>
      <w:tr w:rsidR="00766D13" w14:paraId="2267F2E9" w14:textId="77777777">
        <w:trPr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FF306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投资者关系活动主要内容介绍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58DA4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iCs/>
                <w:color w:val="000000"/>
                <w:sz w:val="24"/>
                <w:lang w:bidi="ar"/>
              </w:rPr>
              <w:t>一、公司简介</w:t>
            </w:r>
          </w:p>
          <w:p w14:paraId="09AB9199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微导纳米是一家面向全球的半导体、泛半导体</w:t>
            </w:r>
            <w:proofErr w:type="gramStart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高端微纳装备</w:t>
            </w:r>
            <w:proofErr w:type="gramEnd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制造商，向下游半导体、泛半导体客户提供尖端薄膜设备、配套产品及服务。</w:t>
            </w:r>
          </w:p>
          <w:p w14:paraId="667DD7F9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公司是国内首家成功将</w:t>
            </w:r>
            <w:proofErr w:type="gramStart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量产型</w:t>
            </w:r>
            <w:proofErr w:type="gramEnd"/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High-</w:t>
            </w:r>
            <w:r>
              <w:rPr>
                <w:rFonts w:ascii="Times New Roman" w:eastAsia="宋体" w:hAnsi="Times New Roman"/>
                <w:i/>
                <w:iCs/>
                <w:color w:val="000000"/>
                <w:sz w:val="24"/>
                <w:lang w:bidi="ar"/>
              </w:rPr>
              <w:t>k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原子层沉积设备（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）应用于集成电路制造前道生产线的国产设备厂商，是国内首批成功开发并进入产业</w:t>
            </w:r>
            <w:proofErr w:type="gramStart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链核心</w:t>
            </w:r>
            <w:proofErr w:type="gramEnd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厂商量</w:t>
            </w:r>
            <w:proofErr w:type="gramStart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产线的硬掩</w:t>
            </w:r>
            <w:proofErr w:type="gramEnd"/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膜化学气相沉积设备（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CVD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）国产厂商，也是行业内率先为新型存储提供薄膜沉积技术支持的设备厂商之一。产品已覆盖逻辑、存储、先进封装、化合物半导体等多个细分领域。</w:t>
            </w:r>
          </w:p>
          <w:p w14:paraId="2C075A41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lastRenderedPageBreak/>
              <w:t>2025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1-9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月，公司实现营业收入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17.22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亿元，同比增长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11.48%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；实现归属于上市公司股东的净利润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24,849.52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万元，同比增长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64.83%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。其中，受益于国产存储芯片产能的持续扩充，以及逻辑、先进封装等领域设备国产化率的提升，公司半导体业务持续放量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，订单和收入均实现了快速增长。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2025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1-9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月，公司半导体设备营业收入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5.26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亿元，同比增长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78.27%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，占营业收入的比例达到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30.56%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；半导体领域新增订单约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14.83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亿元，同比增长</w:t>
            </w: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97.26%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。</w:t>
            </w:r>
          </w:p>
          <w:p w14:paraId="34874CFD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iCs/>
                <w:color w:val="000000"/>
                <w:sz w:val="24"/>
                <w:lang w:bidi="ar"/>
              </w:rPr>
              <w:t>二、主要交流问题及回复</w:t>
            </w:r>
          </w:p>
          <w:p w14:paraId="386D6752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1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、本轮存储芯片的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"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超级周期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"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对公司业务发展有何积极影响？</w:t>
            </w:r>
          </w:p>
          <w:p w14:paraId="4BAC1455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公司将显著受益于国内存储芯片头部客户的加速扩产与工艺升级。</w:t>
            </w:r>
          </w:p>
          <w:p w14:paraId="144C1769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公司作为国内领先的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与高端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CVD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设备供应商，设备已广泛应用于国产存储芯片产线，半导体新增订单中超过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80%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来自于存储芯片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NAND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与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DRAM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头部客户。为满足持续增长的市场需求，公司正积极扩大核心产品产能。</w:t>
            </w:r>
          </w:p>
          <w:p w14:paraId="0D8D2FCF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同时，公司还在持续推出新产品，相关工艺技术对推动存储芯片技术迭代尤其是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 DRAM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、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 NAND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技术的研发与产业化具有关键支撑作用。展望未来，随着存储芯片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结构堆叠层数持续提升及客户产能规模加速扩张，相关设备需求有望持续放量。</w:t>
            </w:r>
          </w:p>
          <w:p w14:paraId="082B72EA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2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、公司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设备和高端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CVD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设备市场竞争力如何？</w:t>
            </w:r>
          </w:p>
          <w:p w14:paraId="3005D9F7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公司是国内领先的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设备供应商，相关产品涵盖了行业所需主流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薄膜材料及工艺，在高介电常数材料、金属化合物薄膜等领域均实现了产业化应用，量产规模不断增加。高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端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CVD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设备方面，公司实现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了硬掩膜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等关键工艺的技术和产业化突破，订单和产品规模持续增长。</w:t>
            </w:r>
          </w:p>
          <w:p w14:paraId="7860BD62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3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技术在存储芯片技术演进中发挥怎样的关键作用？</w:t>
            </w:r>
          </w:p>
          <w:p w14:paraId="1EBD0858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随着存储芯片转向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架构，堆叠层数不断增加，器件结构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lastRenderedPageBreak/>
              <w:t>日趋复杂。在此背景下，传统沉积工艺已难以在复杂三维结构内实现均匀、保形的薄膜沉积。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（原子层沉积）技术凭借其优异的三维覆盖能力和原子级膜厚控制精度，成为制造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 NAND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和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3D DRAM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不可或缺的核心工艺。在国产存储芯片向更高层数与技术节点迭代的过程中，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技术的作用愈发关键，需求持续提升。</w:t>
            </w:r>
          </w:p>
          <w:p w14:paraId="2859093A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4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</w:t>
            </w: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CVD</w:t>
            </w:r>
            <w:proofErr w:type="gramStart"/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硬掩膜</w:t>
            </w:r>
            <w:proofErr w:type="gramEnd"/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工艺在存储芯片制造中又有怎样的关键作用？</w:t>
            </w:r>
          </w:p>
          <w:p w14:paraId="7E9E577B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CVD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硬掩膜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工艺是集成电路领域应用广泛的工艺之一，尤其是无定形碳沉积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的硬掩膜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，属于其中最为先进和有技术难度的部分之一。该工艺制备的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无定形碳硬掩膜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具有优异的刻蚀选择比，能够在长时间刻蚀过程中保持图形完整性，确保在数百层的堆叠结构中将设计图形精准转移到下层介质，为实现存储芯片的高密度集成提供了关键技术保障。</w:t>
            </w:r>
          </w:p>
          <w:p w14:paraId="2ADE4CED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5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、公司在存储芯片之外的其他半导体领域取得了哪些进展？</w:t>
            </w:r>
          </w:p>
          <w:p w14:paraId="1343A02B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除存储芯片外，公司在逻辑芯片和先进封装领域均取得重要突破。逻辑芯片领域，公司与国内主流厂商保持着稳定合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作，多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款设备</w:t>
            </w:r>
            <w:proofErr w:type="gramEnd"/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已通过客户严格的技术验证，关键指标达到国际先进水平，能够满足国内客户当前技术的需求以及未来技术更迭的需要。随着国内市场对高端国产薄膜沉积设备需求的增长，该领域业务有望保持增长态势。</w:t>
            </w:r>
          </w:p>
          <w:p w14:paraId="0A3FE7D1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先进封装领域，公司相关设备已在客户端进行验证，并与多家潜在客户开展技术交流。公司作为国内少数具备该领域设备研发与生产能力的企业之一，具有先发优势，相关业务预计将获得良好的发展机遇。</w:t>
            </w:r>
          </w:p>
          <w:p w14:paraId="1593CB7D" w14:textId="77777777" w:rsidR="00766D13" w:rsidRDefault="006A782E">
            <w:pPr>
              <w:spacing w:line="480" w:lineRule="atLeast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/>
                <w:b/>
                <w:sz w:val="24"/>
                <w:szCs w:val="22"/>
                <w:lang w:bidi="ar"/>
              </w:rPr>
              <w:t>6</w:t>
            </w:r>
            <w:r>
              <w:rPr>
                <w:rFonts w:ascii="Times New Roman" w:eastAsia="宋体" w:hAnsi="Times New Roman" w:hint="eastAsia"/>
                <w:b/>
                <w:sz w:val="24"/>
                <w:szCs w:val="22"/>
                <w:lang w:bidi="ar"/>
              </w:rPr>
              <w:t>、公司在半导体设备国产化进程中做出了哪些贡献，未来有什么样的发展战略？</w:t>
            </w:r>
          </w:p>
          <w:p w14:paraId="4ED0D303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公司定位为国产高端薄膜沉积技术领域的创新引领者。我国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lastRenderedPageBreak/>
              <w:t>半导体设备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产业在部分细分领域已取得显著进步，但整体国产化率仍处于较低水平，尤其在薄膜沉积等核心设备领域，中高端产品的国产化进程明显滞后，相关产品的需求尤为紧迫。</w:t>
            </w:r>
          </w:p>
          <w:p w14:paraId="0B60DDC8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公司凭借在高端薄膜沉积领域的技术积累，持续助力国内半导体产业的发展。过去几年，公司聚焦于国内半导体产业最亟需关键工艺环节，在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ALD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、高端</w:t>
            </w:r>
            <w:r>
              <w:rPr>
                <w:rFonts w:ascii="Times New Roman" w:eastAsia="宋体" w:hAnsi="Times New Roman"/>
                <w:sz w:val="24"/>
                <w:szCs w:val="22"/>
                <w:lang w:bidi="ar"/>
              </w:rPr>
              <w:t>CVD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等设备上取得了一系列技术突破并实现产业化应用，产品技术获得了逻辑、存储、先进封装、化合物半导体等多个领域头部客户的认可，并持续获得高端薄膜沉积设备的订单。</w:t>
            </w:r>
          </w:p>
          <w:p w14:paraId="5A12A4D3" w14:textId="77777777" w:rsidR="00766D13" w:rsidRDefault="006A782E">
            <w:pPr>
              <w:spacing w:line="480" w:lineRule="atLeast"/>
              <w:ind w:firstLineChars="200" w:firstLine="480"/>
              <w:rPr>
                <w:rFonts w:ascii="Times New Roman" w:eastAsia="宋体" w:hAnsi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未来，公司将继续聚焦半导体高端薄膜工艺和解决方案，持续推动半导</w:t>
            </w:r>
            <w:r>
              <w:rPr>
                <w:rFonts w:ascii="Times New Roman" w:eastAsia="宋体" w:hAnsi="Times New Roman" w:hint="eastAsia"/>
                <w:sz w:val="24"/>
                <w:szCs w:val="22"/>
                <w:lang w:bidi="ar"/>
              </w:rPr>
              <w:t>体设备国产化进程，服务并引领半导体新架构、新器件发展。</w:t>
            </w:r>
          </w:p>
        </w:tc>
      </w:tr>
      <w:tr w:rsidR="00766D13" w14:paraId="6F54783B" w14:textId="77777777">
        <w:trPr>
          <w:trHeight w:val="1104"/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96D4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lastRenderedPageBreak/>
              <w:t>风险提示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9900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、以上如涉及对行业的预测、公司发展战略等相关内容，不能视作公司或公司管理层对行业、公司发展的承诺和保证，敬请广大投资者注意投资风险。</w:t>
            </w:r>
          </w:p>
          <w:p w14:paraId="26E88636" w14:textId="77777777" w:rsidR="00766D13" w:rsidRDefault="006A782E">
            <w:pPr>
              <w:spacing w:line="480" w:lineRule="atLeast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/>
                <w:iCs/>
                <w:color w:val="000000"/>
                <w:sz w:val="24"/>
                <w:lang w:bidi="ar"/>
              </w:rPr>
              <w:t>2</w:t>
            </w: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、电话会议参会名单由会议组织方提供。</w:t>
            </w:r>
          </w:p>
        </w:tc>
      </w:tr>
      <w:tr w:rsidR="00766D13" w14:paraId="1E5F8782" w14:textId="77777777">
        <w:trPr>
          <w:trHeight w:val="1104"/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BA80E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关于本次活动是否涉及应当披露重大信息的说明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F8990" w14:textId="77777777" w:rsidR="00766D13" w:rsidRDefault="006A782E">
            <w:pPr>
              <w:spacing w:line="480" w:lineRule="atLeast"/>
              <w:jc w:val="left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不涉及</w:t>
            </w:r>
          </w:p>
        </w:tc>
      </w:tr>
      <w:tr w:rsidR="00766D13" w14:paraId="46230487" w14:textId="77777777">
        <w:trPr>
          <w:trHeight w:val="1104"/>
          <w:jc w:val="center"/>
        </w:trPr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BFADF" w14:textId="77777777" w:rsidR="00766D13" w:rsidRDefault="006A782E">
            <w:pPr>
              <w:jc w:val="left"/>
              <w:rPr>
                <w:rFonts w:ascii="Times New Roman" w:eastAsia="宋体" w:hAnsi="Times New Roman"/>
                <w:b/>
                <w:bCs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iCs/>
                <w:color w:val="000000"/>
                <w:sz w:val="24"/>
                <w:lang w:bidi="ar"/>
              </w:rPr>
              <w:t>附件</w:t>
            </w:r>
          </w:p>
        </w:tc>
        <w:tc>
          <w:tcPr>
            <w:tcW w:w="40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9D345" w14:textId="77777777" w:rsidR="00766D13" w:rsidRDefault="006A782E">
            <w:pPr>
              <w:spacing w:line="480" w:lineRule="atLeast"/>
              <w:jc w:val="left"/>
              <w:rPr>
                <w:rFonts w:ascii="Times New Roman" w:eastAsia="宋体" w:hAnsi="Times New Roman"/>
                <w:i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iCs/>
                <w:color w:val="000000"/>
                <w:sz w:val="24"/>
                <w:lang w:bidi="ar"/>
              </w:rPr>
              <w:t>无</w:t>
            </w:r>
          </w:p>
        </w:tc>
      </w:tr>
    </w:tbl>
    <w:p w14:paraId="40F0D25B" w14:textId="77777777" w:rsidR="00766D13" w:rsidRDefault="00766D13">
      <w:pPr>
        <w:rPr>
          <w:rFonts w:ascii="Times New Roman" w:eastAsia="宋体" w:hAnsi="Times New Roman"/>
        </w:rPr>
      </w:pPr>
    </w:p>
    <w:p w14:paraId="7F78B7CD" w14:textId="77777777" w:rsidR="00766D13" w:rsidRDefault="00766D13"/>
    <w:sectPr w:rsidR="00766D13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210"/>
  <w:drawingGridVerticalSpacing w:val="19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EFFF70E4"/>
    <w:rsid w:val="F7EEC240"/>
    <w:rsid w:val="FBF75102"/>
    <w:rsid w:val="FDDC5620"/>
    <w:rsid w:val="FDEA700A"/>
    <w:rsid w:val="FFBFCE42"/>
    <w:rsid w:val="00553531"/>
    <w:rsid w:val="006A782E"/>
    <w:rsid w:val="00766D13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3772BED"/>
    <w:rsid w:val="E7FE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24165E"/>
  <w15:docId w15:val="{5D3341D0-0212-4FA6-ACE2-B072717F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389</Words>
  <Characters>2218</Characters>
  <Application>Microsoft Office Word</Application>
  <DocSecurity>0</DocSecurity>
  <Lines>18</Lines>
  <Paragraphs>5</Paragraphs>
  <ScaleCrop>false</ScaleCrop>
  <Company>Microsoft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Securities</cp:lastModifiedBy>
  <cp:revision>3</cp:revision>
  <dcterms:created xsi:type="dcterms:W3CDTF">2018-05-28T01:24:00Z</dcterms:created>
  <dcterms:modified xsi:type="dcterms:W3CDTF">2025-11-13T10:12:00Z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2052-12.9.0.23627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95F382642622DA79B1AB15695C0B75CD_43</vt:lpwstr>
  </property>
</Properties>
</file>