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211C62"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证券代码：</w:t>
      </w:r>
      <w:r>
        <w:rPr>
          <w:rFonts w:ascii="宋体" w:hAnsi="宋体" w:eastAsia="宋体"/>
          <w:sz w:val="24"/>
          <w:szCs w:val="24"/>
        </w:rPr>
        <w:t xml:space="preserve">600332                                     </w:t>
      </w:r>
      <w:r>
        <w:rPr>
          <w:rFonts w:hint="eastAsia" w:ascii="宋体" w:hAnsi="宋体" w:eastAsia="宋体"/>
          <w:sz w:val="24"/>
          <w:szCs w:val="24"/>
        </w:rPr>
        <w:t>证券简称：白云山</w:t>
      </w:r>
    </w:p>
    <w:p w14:paraId="127F6F20">
      <w:pPr>
        <w:rPr>
          <w:rFonts w:ascii="宋体" w:hAnsi="宋体" w:eastAsia="宋体"/>
          <w:sz w:val="24"/>
          <w:szCs w:val="24"/>
        </w:rPr>
      </w:pPr>
    </w:p>
    <w:p w14:paraId="65BCB62A">
      <w:pPr>
        <w:jc w:val="center"/>
        <w:rPr>
          <w:rFonts w:ascii="宋体" w:hAnsi="宋体" w:eastAsia="宋体"/>
          <w:b/>
          <w:sz w:val="28"/>
          <w:szCs w:val="24"/>
        </w:rPr>
      </w:pPr>
      <w:r>
        <w:rPr>
          <w:rFonts w:hint="eastAsia" w:ascii="宋体" w:hAnsi="宋体" w:eastAsia="宋体"/>
          <w:b/>
          <w:sz w:val="28"/>
          <w:szCs w:val="24"/>
        </w:rPr>
        <w:t>广州白云山医药集团股份有限公司</w:t>
      </w:r>
    </w:p>
    <w:p w14:paraId="27289ED4">
      <w:pPr>
        <w:jc w:val="center"/>
        <w:rPr>
          <w:rFonts w:ascii="宋体" w:hAnsi="宋体" w:eastAsia="宋体"/>
          <w:b/>
          <w:sz w:val="28"/>
          <w:szCs w:val="24"/>
        </w:rPr>
      </w:pPr>
      <w:r>
        <w:rPr>
          <w:rFonts w:hint="eastAsia" w:ascii="宋体" w:hAnsi="宋体" w:eastAsia="宋体"/>
          <w:b/>
          <w:sz w:val="28"/>
          <w:szCs w:val="24"/>
        </w:rPr>
        <w:t>投资者关系活动记录表</w:t>
      </w:r>
    </w:p>
    <w:p w14:paraId="35A40147">
      <w:pPr>
        <w:rPr>
          <w:rFonts w:ascii="宋体" w:hAnsi="宋体" w:eastAsia="宋体"/>
          <w:sz w:val="24"/>
          <w:szCs w:val="24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6600"/>
      </w:tblGrid>
      <w:tr w14:paraId="4A24A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</w:trPr>
        <w:tc>
          <w:tcPr>
            <w:tcW w:w="1696" w:type="dxa"/>
            <w:vAlign w:val="center"/>
          </w:tcPr>
          <w:p w14:paraId="0E6775B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投资者关系活动类别</w:t>
            </w:r>
          </w:p>
        </w:tc>
        <w:tc>
          <w:tcPr>
            <w:tcW w:w="6600" w:type="dxa"/>
          </w:tcPr>
          <w:p w14:paraId="085E8532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sym w:font="Wingdings 2" w:char="0052"/>
            </w:r>
            <w:r>
              <w:rPr>
                <w:rFonts w:ascii="宋体" w:hAnsi="宋体" w:eastAsia="宋体"/>
                <w:sz w:val="24"/>
                <w:szCs w:val="24"/>
              </w:rPr>
              <w:t xml:space="preserve">特定对象调研 </w:t>
            </w:r>
            <w:r>
              <w:rPr>
                <w:rFonts w:ascii="宋体" w:hAnsi="宋体" w:eastAsia="宋体"/>
                <w:sz w:val="24"/>
                <w:szCs w:val="24"/>
              </w:rPr>
              <w:sym w:font="Wingdings 2" w:char="0052"/>
            </w:r>
            <w:r>
              <w:rPr>
                <w:rFonts w:ascii="宋体" w:hAnsi="宋体" w:eastAsia="宋体"/>
                <w:sz w:val="24"/>
                <w:szCs w:val="24"/>
              </w:rPr>
              <w:t xml:space="preserve">分析师会议 </w:t>
            </w:r>
          </w:p>
          <w:p w14:paraId="06C7171F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sym w:font="Wingdings 2" w:char="00A3"/>
            </w:r>
            <w:r>
              <w:rPr>
                <w:rFonts w:ascii="宋体" w:hAnsi="宋体" w:eastAsia="宋体"/>
                <w:sz w:val="24"/>
                <w:szCs w:val="24"/>
              </w:rPr>
              <w:t xml:space="preserve">媒体采访 </w:t>
            </w:r>
            <w:r>
              <w:rPr>
                <w:rFonts w:ascii="宋体" w:hAnsi="宋体" w:eastAsia="宋体"/>
                <w:sz w:val="24"/>
                <w:szCs w:val="24"/>
              </w:rPr>
              <w:sym w:font="Wingdings 2" w:char="00A3"/>
            </w:r>
            <w:r>
              <w:rPr>
                <w:rFonts w:ascii="宋体" w:hAnsi="宋体" w:eastAsia="宋体"/>
                <w:sz w:val="24"/>
                <w:szCs w:val="24"/>
              </w:rPr>
              <w:t xml:space="preserve">业绩说明会 </w:t>
            </w:r>
          </w:p>
          <w:p w14:paraId="22D3BE0A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□新闻发布会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sym w:font="Wingdings 2" w:char="00A3"/>
            </w:r>
            <w:r>
              <w:rPr>
                <w:rFonts w:ascii="宋体" w:hAnsi="宋体" w:eastAsia="宋体"/>
                <w:sz w:val="24"/>
                <w:szCs w:val="24"/>
              </w:rPr>
              <w:t xml:space="preserve">路演活动 </w:t>
            </w:r>
          </w:p>
          <w:p w14:paraId="5CE86780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sym w:font="Wingdings 2" w:char="0052"/>
            </w:r>
            <w:r>
              <w:rPr>
                <w:rFonts w:ascii="宋体" w:hAnsi="宋体" w:eastAsia="宋体"/>
                <w:sz w:val="24"/>
                <w:szCs w:val="24"/>
              </w:rPr>
              <w:t>现场参观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sym w:font="Wingdings 2" w:char="00A3"/>
            </w:r>
            <w:r>
              <w:rPr>
                <w:rFonts w:ascii="宋体" w:hAnsi="宋体" w:eastAsia="宋体"/>
                <w:sz w:val="24"/>
                <w:szCs w:val="24"/>
              </w:rPr>
              <w:t>其他</w:t>
            </w:r>
          </w:p>
        </w:tc>
      </w:tr>
      <w:tr w14:paraId="02393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5E5F811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召开方式</w:t>
            </w:r>
          </w:p>
        </w:tc>
        <w:tc>
          <w:tcPr>
            <w:tcW w:w="6600" w:type="dxa"/>
          </w:tcPr>
          <w:p w14:paraId="2F42643B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现场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线上会议</w:t>
            </w:r>
          </w:p>
        </w:tc>
      </w:tr>
      <w:tr w14:paraId="3935C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5955FDB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时间</w:t>
            </w:r>
          </w:p>
        </w:tc>
        <w:tc>
          <w:tcPr>
            <w:tcW w:w="6600" w:type="dxa"/>
          </w:tcPr>
          <w:p w14:paraId="36786B79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6</w:t>
            </w:r>
            <w:r>
              <w:rPr>
                <w:rFonts w:ascii="宋体" w:hAnsi="宋体" w:eastAsia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3月1日至3月31日</w:t>
            </w:r>
          </w:p>
        </w:tc>
      </w:tr>
      <w:tr w14:paraId="18EA9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181ECF8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地点</w:t>
            </w:r>
          </w:p>
        </w:tc>
        <w:tc>
          <w:tcPr>
            <w:tcW w:w="6600" w:type="dxa"/>
          </w:tcPr>
          <w:p w14:paraId="3FC3FCF1">
            <w:pPr>
              <w:spacing w:line="360" w:lineRule="auto"/>
              <w:rPr>
                <w:rFonts w:ascii="宋体" w:hAnsi="宋体" w:eastAsia="宋体"/>
                <w:sz w:val="24"/>
                <w:szCs w:val="24"/>
                <w:lang w:eastAsia="zh-Hans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交流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场地会议室、公司会议室</w:t>
            </w:r>
          </w:p>
        </w:tc>
      </w:tr>
      <w:tr w14:paraId="38458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696" w:type="dxa"/>
            <w:vAlign w:val="center"/>
          </w:tcPr>
          <w:p w14:paraId="339140B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公司参与人员</w:t>
            </w:r>
          </w:p>
        </w:tc>
        <w:tc>
          <w:tcPr>
            <w:tcW w:w="6600" w:type="dxa"/>
          </w:tcPr>
          <w:p w14:paraId="071A9704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执行董事兼总经理黎洪，董事会秘书黄雪贞，董秘室副主任陈文霞，董秘</w:t>
            </w:r>
            <w:bookmarkStart w:id="6" w:name="_GoBack"/>
            <w:bookmarkEnd w:id="6"/>
            <w:r>
              <w:rPr>
                <w:rFonts w:hint="eastAsia" w:ascii="宋体" w:hAnsi="宋体" w:eastAsia="宋体"/>
                <w:sz w:val="24"/>
                <w:szCs w:val="24"/>
              </w:rPr>
              <w:t>室经理郭云倩、李春瑶、杨超文</w:t>
            </w:r>
          </w:p>
        </w:tc>
      </w:tr>
      <w:tr w14:paraId="39CA6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696" w:type="dxa"/>
            <w:vAlign w:val="center"/>
          </w:tcPr>
          <w:p w14:paraId="6C1FA352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  <w:lang w:eastAsia="zh-Hans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Hans"/>
              </w:rPr>
              <w:t>接待人员</w:t>
            </w:r>
          </w:p>
        </w:tc>
        <w:tc>
          <w:tcPr>
            <w:tcW w:w="6600" w:type="dxa"/>
          </w:tcPr>
          <w:p w14:paraId="24593BF3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3月24日：中金公司、汇添富基金、富国基金、中欧基金、交银施罗德基金</w:t>
            </w:r>
          </w:p>
          <w:p w14:paraId="0C8246D0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3月25日：国联基金</w:t>
            </w:r>
          </w:p>
          <w:p w14:paraId="49332A39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3月26日：中金公司、新华资产、国联基金、工银瑞信</w:t>
            </w:r>
          </w:p>
          <w:p w14:paraId="08F472A1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3月27日：中信建投、泰康资产、新华资产、长盛基金、农银人寿</w:t>
            </w:r>
          </w:p>
          <w:p w14:paraId="2D513D85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3月30日：西部证券</w:t>
            </w:r>
          </w:p>
        </w:tc>
      </w:tr>
      <w:tr w14:paraId="20F58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</w:trPr>
        <w:tc>
          <w:tcPr>
            <w:tcW w:w="1696" w:type="dxa"/>
            <w:vAlign w:val="center"/>
          </w:tcPr>
          <w:p w14:paraId="616F96A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投资者关系活动主要内容介绍</w:t>
            </w:r>
          </w:p>
        </w:tc>
        <w:tc>
          <w:tcPr>
            <w:tcW w:w="6600" w:type="dxa"/>
          </w:tcPr>
          <w:p w14:paraId="64015FF5">
            <w:pPr>
              <w:widowControl/>
              <w:spacing w:line="500" w:lineRule="exact"/>
              <w:ind w:firstLine="480" w:firstLineChars="200"/>
              <w:jc w:val="lef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主要内容包括：</w:t>
            </w:r>
          </w:p>
          <w:p w14:paraId="7CC2B05C">
            <w:pPr>
              <w:pStyle w:val="2"/>
              <w:spacing w:line="500" w:lineRule="exact"/>
              <w:ind w:firstLine="482" w:firstLineChars="200"/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</w:pPr>
            <w:bookmarkStart w:id="0" w:name="OLE_LINK7"/>
            <w:bookmarkStart w:id="1" w:name="OLE_LINK8"/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  <w:lang w:bidi="ar"/>
              </w:rPr>
              <w:t>（一）公司2025年经营业绩情况如何？</w:t>
            </w:r>
          </w:p>
          <w:p w14:paraId="5256482E">
            <w:pPr>
              <w:pStyle w:val="2"/>
              <w:spacing w:line="500" w:lineRule="exact"/>
              <w:ind w:firstLine="480" w:firstLineChars="200"/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</w:pPr>
            <w:bookmarkStart w:id="2" w:name="OLE_LINK4"/>
            <w:bookmarkStart w:id="3" w:name="OLE_LINK3"/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  <w:t>答：</w:t>
            </w:r>
            <w:bookmarkStart w:id="4" w:name="OLE_LINK5"/>
            <w:bookmarkStart w:id="5" w:name="OLE_LINK6"/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  <w:t>2025年，公司</w:t>
            </w:r>
            <w:bookmarkEnd w:id="0"/>
            <w:bookmarkEnd w:id="1"/>
            <w:bookmarkEnd w:id="2"/>
            <w:bookmarkEnd w:id="3"/>
            <w:bookmarkEnd w:id="4"/>
            <w:bookmarkEnd w:id="5"/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  <w:t>依托产业优势，充分挖掘自身资源与资产，全面推进生产经营各项工作，推动业务持续稳定增长，全年实现营业收入约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val="en-US" w:eastAsia="zh-CN" w:bidi="ar"/>
              </w:rPr>
              <w:t>为人民币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  <w:t>776.56亿元，同比增长3.55%；利润总额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val="en-US" w:eastAsia="zh-CN" w:bidi="ar"/>
              </w:rPr>
              <w:t>约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  <w:t>为人民币36.9亿元，同比增长2.28%；归属于本公司股东的净利润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val="en-US" w:eastAsia="zh-CN" w:bidi="ar"/>
              </w:rPr>
              <w:t>约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  <w:t>为人民币29.83亿元，同比增长5.21%。</w:t>
            </w:r>
          </w:p>
          <w:p w14:paraId="2F3BB3A2">
            <w:pPr>
              <w:pStyle w:val="2"/>
              <w:spacing w:line="500" w:lineRule="exact"/>
              <w:ind w:firstLine="480" w:firstLineChars="200"/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</w:pPr>
          </w:p>
          <w:p w14:paraId="00DB46CC">
            <w:pPr>
              <w:pStyle w:val="2"/>
              <w:spacing w:line="500" w:lineRule="exact"/>
              <w:ind w:firstLine="482" w:firstLineChars="200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  <w:lang w:bidi="ar"/>
              </w:rPr>
              <w:t>（二）与以往年报相比，公司2025年报中关于业务的表述有所不同，这是因为什么？</w:t>
            </w:r>
          </w:p>
          <w:p w14:paraId="5453860B">
            <w:pPr>
              <w:pStyle w:val="2"/>
              <w:spacing w:line="500" w:lineRule="exact"/>
              <w:ind w:firstLine="480" w:firstLineChars="200"/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  <w:t>答：为贯彻落实公司“十五五”战略发展规划，围绕现代化、科技化、数字化、国际化发展方向，公司进一步明晰产业定位、优化业务结构、强化资源统筹与板块分类管理，以更加精准、完整地反映公司现代中药、化药科技、天然饮品、医药商业等四大基石业务及相关板块发展情况，相关统计数据亦相应予以调整。</w:t>
            </w:r>
          </w:p>
          <w:p w14:paraId="3D25F59D">
            <w:pPr>
              <w:pStyle w:val="2"/>
              <w:spacing w:line="500" w:lineRule="exact"/>
              <w:ind w:firstLine="482" w:firstLineChars="200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  <w:lang w:bidi="ar"/>
              </w:rPr>
            </w:pPr>
          </w:p>
          <w:p w14:paraId="698B777C">
            <w:pPr>
              <w:pStyle w:val="2"/>
              <w:spacing w:line="500" w:lineRule="exact"/>
              <w:ind w:firstLine="482" w:firstLineChars="200"/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  <w:lang w:bidi="ar"/>
              </w:rPr>
              <w:t>（三）2025年，公司</w:t>
            </w: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bidi="ar"/>
              </w:rPr>
              <w:t>经营活动产生的现金流量净额</w:t>
            </w:r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  <w:lang w:bidi="ar"/>
              </w:rPr>
              <w:t>同比下降的原因是什么？</w:t>
            </w:r>
          </w:p>
          <w:p w14:paraId="0AD884AE">
            <w:pPr>
              <w:pStyle w:val="2"/>
              <w:spacing w:line="500" w:lineRule="exact"/>
              <w:ind w:firstLine="480" w:firstLineChars="200"/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  <w:t>答：2025年，公司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经营活动产生的现金流量净额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  <w:t>同比下降主要是因为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公司下属企业货款回收有所下降，同时采购支付金额增加。</w:t>
            </w:r>
          </w:p>
          <w:p w14:paraId="5E504DD7">
            <w:pPr>
              <w:pStyle w:val="2"/>
              <w:spacing w:line="500" w:lineRule="exact"/>
              <w:ind w:firstLine="0" w:firstLineChars="0"/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</w:pPr>
          </w:p>
          <w:p w14:paraId="7E312E88">
            <w:pPr>
              <w:pStyle w:val="2"/>
              <w:spacing w:line="500" w:lineRule="exact"/>
              <w:ind w:firstLine="482" w:firstLineChars="200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四</w:t>
            </w:r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  <w:lang w:bidi="ar"/>
              </w:rPr>
              <w:t>）公司对“十五五”有何规划？</w:t>
            </w:r>
          </w:p>
          <w:p w14:paraId="5083AC47">
            <w:pPr>
              <w:pStyle w:val="2"/>
              <w:spacing w:line="500" w:lineRule="exact"/>
              <w:ind w:firstLine="480" w:firstLineChars="200"/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  <w:t>答：未来五年，公司将坚持现代化、科技化、数字化、国际化发展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方向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  <w:t>，在推动现代中药、化药科技、天然饮品、医药商业四大基石业务板块提质增效的同时，积蓄动能，培育促进消费健康、生物创新、医疗服务等业务发展，推动公司实现高质量发展。</w:t>
            </w:r>
          </w:p>
          <w:p w14:paraId="68272487">
            <w:pPr>
              <w:pStyle w:val="2"/>
              <w:spacing w:line="500" w:lineRule="exact"/>
              <w:ind w:firstLine="480" w:firstLineChars="200"/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</w:pPr>
          </w:p>
          <w:p w14:paraId="5C3B4A4C">
            <w:pPr>
              <w:pStyle w:val="2"/>
              <w:spacing w:line="500" w:lineRule="exact"/>
              <w:ind w:firstLine="482" w:firstLineChars="200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五</w:t>
            </w:r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  <w:lang w:bidi="ar"/>
              </w:rPr>
              <w:t>）未来公司研发创新将重点投入哪些方面？有何规划？</w:t>
            </w:r>
          </w:p>
          <w:p w14:paraId="7D329146">
            <w:pPr>
              <w:pStyle w:val="2"/>
              <w:spacing w:line="500" w:lineRule="exact"/>
              <w:ind w:firstLine="480" w:firstLineChars="200"/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  <w:t>答：公司将进一步加大研发投入，推动创新转型，依托六大创新平台，加速推进抗肿瘤、抗感染、妇科、男科、儿科、外用药、医疗营养保健领域等项目研发进程与新药上市进度；同时围绕呼吸、慢病、肿瘤、生殖等核心治疗领域，筛选适配公司发展的科研项目，进一步丰富潜在项目储备，为创新管线提供重要支撑。此外，公司将持续引进全球研发人才，不断增强公司科研团队实力，同时进一步优化创新体制机制，完善考核评价体系，健全容错纠错机制，实施多元激励。</w:t>
            </w:r>
          </w:p>
          <w:p w14:paraId="7AA6EEA4">
            <w:pPr>
              <w:pStyle w:val="2"/>
              <w:spacing w:line="500" w:lineRule="exact"/>
              <w:ind w:firstLine="480" w:firstLineChars="200"/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</w:pPr>
          </w:p>
          <w:p w14:paraId="02D9E270">
            <w:pPr>
              <w:pStyle w:val="2"/>
              <w:spacing w:line="500" w:lineRule="exact"/>
              <w:ind w:firstLine="482" w:firstLineChars="200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六</w:t>
            </w:r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  <w:lang w:bidi="ar"/>
              </w:rPr>
              <w:t>）2025年，公司现代中药、化药科技主营业务收入同比</w:t>
            </w: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bidi="ar"/>
              </w:rPr>
              <w:t>略有</w:t>
            </w:r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  <w:lang w:bidi="ar"/>
              </w:rPr>
              <w:t>下滑的原因是什么？未来，公司对制药业务有何规划？</w:t>
            </w:r>
          </w:p>
          <w:p w14:paraId="5BA948A2">
            <w:pPr>
              <w:pStyle w:val="2"/>
              <w:spacing w:line="500" w:lineRule="exact"/>
              <w:ind w:firstLine="480" w:firstLineChars="200"/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  <w:t>答：受市场需求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阶段性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  <w:t>不足以及竞争加剧等因素影响，公司现代中药、化药科技业务主要产品，如金戈、注射用头孢呋辛钠、小柴胡颗粒等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val="en-US" w:eastAsia="zh-CN" w:bidi="ar"/>
              </w:rPr>
              <w:t>仍有一定销售压力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  <w:t>，现代中药、化药科技主营业务收入同比有所下滑。</w:t>
            </w:r>
          </w:p>
          <w:p w14:paraId="2E849904">
            <w:pPr>
              <w:pStyle w:val="2"/>
              <w:spacing w:line="500" w:lineRule="exact"/>
              <w:ind w:firstLine="480" w:firstLineChars="200"/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  <w:t>未来，公司将通过深化临床研究、加强品牌建设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  <w:t>推进营销渠道的拓展与布局，进一步巩固并提升现代中药及化药科技在呼吸系统、消化代谢、心脑血管、妇科生殖以及生殖健康、抗感染、抗肿瘤等领域优势与竞争力，推动医药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val="en-US" w:eastAsia="zh-CN" w:bidi="ar"/>
              </w:rPr>
              <w:t>制造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  <w:t>业务稳定发展。</w:t>
            </w:r>
          </w:p>
          <w:p w14:paraId="2FE2BAD2">
            <w:pPr>
              <w:pStyle w:val="2"/>
              <w:spacing w:line="500" w:lineRule="exact"/>
              <w:ind w:firstLine="480" w:firstLineChars="200"/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</w:pPr>
          </w:p>
          <w:p w14:paraId="46CF76CF">
            <w:pPr>
              <w:pStyle w:val="2"/>
              <w:spacing w:line="500" w:lineRule="exact"/>
              <w:ind w:firstLine="482" w:firstLineChars="200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七</w:t>
            </w:r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  <w:lang w:bidi="ar"/>
              </w:rPr>
              <w:t>）公司天然饮品业务国际化发展有何新进展、新举措？</w:t>
            </w:r>
          </w:p>
          <w:p w14:paraId="2B440081">
            <w:pPr>
              <w:pStyle w:val="2"/>
              <w:spacing w:line="500" w:lineRule="exact"/>
              <w:ind w:firstLine="480" w:firstLineChars="200"/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  <w:t>答：2025年，公司天然饮品业务大力推进国际化进程，与多家海外公司达成战略合作，启动海外本土化运营项目，并推进王老吉国际品牌标识“WALOVI”及国际罐在多国发布与上市，推动天然饮品业务海外销售额实现同比增长。</w:t>
            </w:r>
          </w:p>
          <w:p w14:paraId="55473D42">
            <w:pPr>
              <w:pStyle w:val="2"/>
              <w:spacing w:line="500" w:lineRule="exact"/>
              <w:ind w:firstLine="480" w:firstLineChars="200"/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  <w:t>下一步，公司天然饮品将持续加码国际化战略，加快海外产能布局，持续优化东南亚供应链网络，同时强化欧美及其他市场布局，力争在国际市场拓展方面取得新突破。</w:t>
            </w:r>
          </w:p>
          <w:p w14:paraId="0D639D25">
            <w:pPr>
              <w:pStyle w:val="2"/>
              <w:spacing w:line="500" w:lineRule="exact"/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</w:pPr>
          </w:p>
          <w:p w14:paraId="46267679">
            <w:pPr>
              <w:pStyle w:val="2"/>
              <w:spacing w:line="500" w:lineRule="exact"/>
              <w:ind w:firstLine="482" w:firstLineChars="200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八</w:t>
            </w:r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  <w:lang w:bidi="ar"/>
              </w:rPr>
              <w:t>）公司天然饮品业务是否有推出新品？</w:t>
            </w:r>
          </w:p>
          <w:p w14:paraId="29197B65">
            <w:pPr>
              <w:pStyle w:val="2"/>
              <w:spacing w:line="500" w:lineRule="exact"/>
              <w:ind w:firstLine="480" w:firstLineChars="200"/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  <w:t>答：2025年，公司天然饮品业务围绕单品多元化和品类多元化战略，持续推进产品创新：（1）推出王老吉云柚青松口味新品；（2）针对餐饮渠道，推出490ml的果肉果汁新品---果摇爽，目前已上市青提、菠萝百香果、黄桃、荔枝4款口味；（3）结合运动饮料消费特征，推出1L装闪充电解质饮料，目前共上市刺梨柠檬和海盐荔枝2款口味；（4）以广东三宝中的化橘红、陈皮为原料，研制推出0糖0脂0卡的天然植物饮品－－化橘红陈皮；（5）以品类拓展为战略方向，推出森石活泉天然矿泉水。</w:t>
            </w:r>
          </w:p>
          <w:p w14:paraId="4933BC08">
            <w:pPr>
              <w:pStyle w:val="2"/>
              <w:spacing w:line="500" w:lineRule="exact"/>
              <w:ind w:firstLine="480" w:firstLineChars="200"/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  <w:t>2026年，公司将进一步深化单品多元化与品类多元化发展路径，持续完善产品矩阵。</w:t>
            </w:r>
          </w:p>
          <w:p w14:paraId="2A1EB9AC">
            <w:pPr>
              <w:pStyle w:val="2"/>
              <w:spacing w:line="500" w:lineRule="exact"/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</w:pPr>
          </w:p>
          <w:p w14:paraId="337D79EB">
            <w:pPr>
              <w:pStyle w:val="2"/>
              <w:spacing w:line="500" w:lineRule="exact"/>
              <w:ind w:firstLine="482" w:firstLineChars="200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九</w:t>
            </w:r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  <w:lang w:bidi="ar"/>
              </w:rPr>
              <w:t>）未来，天然饮品的发展重点是什么？</w:t>
            </w:r>
          </w:p>
          <w:p w14:paraId="4C4B6C2D">
            <w:pPr>
              <w:pStyle w:val="2"/>
              <w:spacing w:line="500" w:lineRule="exact"/>
              <w:ind w:firstLine="480" w:firstLineChars="200"/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  <w:t>答：未来，公司天然饮品业务将以“拓展赛道，升级品牌”为核心目标，全面推进各项战略举措：一是持续深耕核心消费场景，强化品牌文化认知，推动品牌价值不断提升；二是积极拓展重点消费领域，引导消费心智向日常健康饮品升级，持续扩大品牌消费群体；三是统筹国内国际两个市场，系统培育发展新增长点。</w:t>
            </w:r>
          </w:p>
          <w:p w14:paraId="2D65FEB0">
            <w:pPr>
              <w:pStyle w:val="2"/>
              <w:spacing w:line="500" w:lineRule="exact"/>
              <w:ind w:firstLine="480" w:firstLineChars="200"/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</w:pPr>
          </w:p>
          <w:p w14:paraId="1B33E7E0">
            <w:pPr>
              <w:pStyle w:val="2"/>
              <w:spacing w:line="500" w:lineRule="exact"/>
              <w:ind w:firstLine="482" w:firstLineChars="200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  <w:lang w:bidi="ar"/>
              </w:rPr>
              <w:t>（十）2025年，公司医药商业营业收入实现增长的原因是什么？</w:t>
            </w:r>
          </w:p>
          <w:p w14:paraId="6E318EF0">
            <w:pPr>
              <w:pStyle w:val="2"/>
              <w:spacing w:line="500" w:lineRule="exact"/>
              <w:ind w:firstLine="480" w:firstLineChars="200"/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  <w:t>答：2025年，公司医药商业营业收入实现同比增长，主要得益于：（1）医疗批发业务通过持续优化合作机制、深度整合渠道资源，同时加紧创新药、国谈药的抢夺和准入，积极拓展增量来源，实现分销业务稳健增长；（2）零售业务紧抓“双通道”政策机遇，强化批零联动，推动实现零售业务经营质量持续提升。</w:t>
            </w:r>
          </w:p>
          <w:p w14:paraId="639C884B">
            <w:pPr>
              <w:pStyle w:val="2"/>
              <w:spacing w:line="500" w:lineRule="exact"/>
              <w:ind w:firstLine="482" w:firstLineChars="200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  <w:lang w:bidi="ar"/>
              </w:rPr>
            </w:pPr>
          </w:p>
          <w:p w14:paraId="2A9446A5">
            <w:pPr>
              <w:pStyle w:val="2"/>
              <w:spacing w:line="500" w:lineRule="exact"/>
              <w:ind w:firstLine="482" w:firstLineChars="200"/>
              <w:rPr>
                <w:rFonts w:ascii="Times New Roman" w:hAnsi="Times New Roman" w:eastAsia="仿宋_GB2312"/>
                <w:b/>
                <w:bCs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  <w:lang w:bidi="ar"/>
              </w:rPr>
              <w:t>（十</w:t>
            </w: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一</w:t>
            </w:r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  <w:lang w:bidi="ar"/>
              </w:rPr>
              <w:t>）</w:t>
            </w: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  <w:lang w:bidi="ar"/>
              </w:rPr>
              <w:t>2025年，公司应收账款有所增加，针对当前回款情况，未来是否会采取措施控制应收账款的规模、改善回款情况？</w:t>
            </w:r>
          </w:p>
          <w:p w14:paraId="5C0EA617">
            <w:pPr>
              <w:pStyle w:val="2"/>
              <w:spacing w:line="500" w:lineRule="exact"/>
              <w:ind w:firstLine="480" w:firstLineChars="200"/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  <w:t>答：2025年，受部分地区医保拨付政策执行差异等因素影响，医疗机构回款有所放缓，公司医药商业应收账款账龄延长，导致计提的应收账款坏账增加。为有效应对回款挑战，公司将密切跟踪国家及地方医保基金即时结算、直接结算改革进展，力争借助政策窗口改善回款环境，同时持续强化应收账款精细化管理，并通过制定回款计划、法律清收、应收账款保理、资产证券化等多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bidi="ar"/>
              </w:rPr>
              <w:t>项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  <w:t>举措加快资金回笼。</w:t>
            </w:r>
          </w:p>
          <w:p w14:paraId="6EAD1ECB">
            <w:pPr>
              <w:pStyle w:val="2"/>
              <w:spacing w:line="500" w:lineRule="exact"/>
              <w:ind w:firstLine="480" w:firstLineChars="200"/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</w:pPr>
          </w:p>
          <w:p w14:paraId="13D303FA">
            <w:pPr>
              <w:pStyle w:val="2"/>
              <w:spacing w:line="500" w:lineRule="exact"/>
              <w:ind w:firstLine="482" w:firstLineChars="200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  <w:lang w:bidi="ar"/>
              </w:rPr>
              <w:t>（十</w:t>
            </w: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二</w:t>
            </w:r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  <w:lang w:bidi="ar"/>
              </w:rPr>
              <w:t>）未来，公司医药商业有何发展规划？</w:t>
            </w:r>
          </w:p>
          <w:p w14:paraId="28A8D82A">
            <w:pPr>
              <w:pStyle w:val="2"/>
              <w:spacing w:line="500" w:lineRule="exact"/>
              <w:ind w:firstLine="480" w:firstLineChars="200"/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  <w:t>答：未来，公司医药商业将聚焦高质量发展主线，持续巩固药品批发的压舱石作用，同时深耕医疗器械、消费者健康及国际业务，构建更加均衡的业务格局，推动综合实力与发展质效持续提升。</w:t>
            </w:r>
          </w:p>
          <w:p w14:paraId="3113554A">
            <w:pPr>
              <w:pStyle w:val="2"/>
              <w:spacing w:line="500" w:lineRule="exact"/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</w:pPr>
          </w:p>
          <w:p w14:paraId="48CCEFD9">
            <w:pPr>
              <w:pStyle w:val="2"/>
              <w:spacing w:line="500" w:lineRule="exact"/>
              <w:ind w:firstLine="482" w:firstLineChars="200"/>
              <w:rPr>
                <w:rFonts w:ascii="Times New Roman" w:hAnsi="Times New Roman" w:eastAsia="仿宋_GB2312"/>
                <w:b/>
                <w:bCs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  <w:lang w:bidi="ar"/>
              </w:rPr>
              <w:t>（十</w:t>
            </w:r>
            <w:r>
              <w:rPr>
                <w:rFonts w:hint="eastAsia" w:ascii="Times New Roman" w:hAnsi="Times New Roman" w:eastAsia="仿宋_GB2312"/>
                <w:b/>
                <w:bCs/>
                <w:sz w:val="24"/>
                <w:szCs w:val="24"/>
                <w:lang w:val="en-US" w:eastAsia="zh-CN" w:bidi="ar"/>
              </w:rPr>
              <w:t>三</w:t>
            </w: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  <w:lang w:bidi="ar"/>
              </w:rPr>
              <w:t>）公司在薪酬绩效与激励机制方面有何进展？</w:t>
            </w:r>
          </w:p>
          <w:p w14:paraId="6DF2922B">
            <w:pPr>
              <w:pStyle w:val="2"/>
              <w:spacing w:line="500" w:lineRule="exact"/>
              <w:ind w:firstLine="480" w:firstLineChars="200"/>
              <w:rPr>
                <w:rFonts w:ascii="Times New Roman" w:hAnsi="Times New Roman" w:eastAsia="仿宋_GB2312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  <w:lang w:bidi="ar"/>
              </w:rPr>
              <w:t>答：公司已聘请第三方机构，结合公司实际发展需求，探索制定薪酬绩效优化方案，进一步激发人才动力，加强人才队伍建设；同时，积极探索适合公司或下属企业发展的改革方案，探索开展混改、职业经理人机制等创新性举措，同时支持符合条件的下属企业探索开展股权激励、员工持股等，进一步激发下属子公司发展活力。</w:t>
            </w:r>
          </w:p>
          <w:p w14:paraId="240033D9">
            <w:pPr>
              <w:pStyle w:val="2"/>
              <w:spacing w:line="500" w:lineRule="exact"/>
              <w:ind w:firstLine="480" w:firstLineChars="200"/>
              <w:rPr>
                <w:rFonts w:ascii="Times New Roman" w:hAnsi="Times New Roman" w:eastAsia="仿宋_GB2312"/>
                <w:sz w:val="24"/>
                <w:szCs w:val="24"/>
                <w:lang w:bidi="ar"/>
              </w:rPr>
            </w:pPr>
          </w:p>
          <w:p w14:paraId="1AAA3CA1">
            <w:pPr>
              <w:pStyle w:val="2"/>
              <w:spacing w:line="500" w:lineRule="exact"/>
              <w:ind w:firstLine="482" w:firstLineChars="200"/>
              <w:rPr>
                <w:rFonts w:ascii="Times New Roman" w:hAnsi="Times New Roman" w:eastAsia="仿宋_GB2312"/>
                <w:b/>
                <w:bCs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  <w:lang w:bidi="ar"/>
              </w:rPr>
              <w:t>（十</w:t>
            </w:r>
            <w:r>
              <w:rPr>
                <w:rFonts w:hint="eastAsia" w:ascii="Times New Roman" w:hAnsi="Times New Roman" w:eastAsia="仿宋_GB2312"/>
                <w:b/>
                <w:bCs/>
                <w:sz w:val="24"/>
                <w:szCs w:val="24"/>
                <w:lang w:val="en-US" w:eastAsia="zh-CN" w:bidi="ar"/>
              </w:rPr>
              <w:t>四</w:t>
            </w: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  <w:lang w:bidi="ar"/>
              </w:rPr>
              <w:t>）公司是否会进行回购？</w:t>
            </w:r>
          </w:p>
          <w:p w14:paraId="7B41F9E7">
            <w:pPr>
              <w:pStyle w:val="2"/>
              <w:spacing w:line="500" w:lineRule="exact"/>
              <w:ind w:firstLine="480" w:firstLineChars="200"/>
              <w:rPr>
                <w:rFonts w:ascii="Times New Roman" w:hAnsi="Times New Roman" w:eastAsia="仿宋_GB2312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  <w:lang w:bidi="ar"/>
              </w:rPr>
              <w:t>答：公司暂无回购计划。后续，公司如有回购计划，将按照两地上市规则履行披露义务。</w:t>
            </w:r>
          </w:p>
          <w:p w14:paraId="2031598C">
            <w:pPr>
              <w:pStyle w:val="2"/>
              <w:spacing w:line="500" w:lineRule="exact"/>
              <w:ind w:firstLine="480" w:firstLineChars="200"/>
              <w:rPr>
                <w:rFonts w:ascii="Times New Roman" w:hAnsi="Times New Roman" w:eastAsia="仿宋_GB2312"/>
                <w:sz w:val="24"/>
                <w:szCs w:val="24"/>
                <w:lang w:bidi="ar"/>
              </w:rPr>
            </w:pPr>
          </w:p>
          <w:p w14:paraId="4981C874">
            <w:pPr>
              <w:pStyle w:val="2"/>
              <w:spacing w:line="500" w:lineRule="exact"/>
              <w:ind w:firstLine="482" w:firstLineChars="200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  <w:lang w:bidi="ar"/>
              </w:rPr>
              <w:t>（十</w:t>
            </w: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五</w:t>
            </w:r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  <w:lang w:bidi="ar"/>
              </w:rPr>
              <w:t>）未来公司是否会提高分红？</w:t>
            </w:r>
          </w:p>
          <w:p w14:paraId="00A20B99">
            <w:pPr>
              <w:pStyle w:val="2"/>
              <w:spacing w:line="500" w:lineRule="exact"/>
              <w:ind w:firstLine="480" w:firstLineChars="200"/>
              <w:rPr>
                <w:rFonts w:ascii="宋体" w:hAnsi="宋体" w:eastAsia="宋体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  <w:t>答：为进一步提升投资者回报，公司已制定2025年现金分红方案，拟每股派发现金红利0.45元（含税）。2025年度，公司现金分红（含中期分红）总额约为13.82亿元，占本年度归属于股东的净利润的比例为46.32%。未来，公司将根据企业经营的实际情况，继续经营好业绩，争取在合理范围内给投资者更大回报。</w:t>
            </w:r>
          </w:p>
        </w:tc>
      </w:tr>
    </w:tbl>
    <w:p w14:paraId="66CC59A6">
      <w:pPr>
        <w:rPr>
          <w:rFonts w:ascii="宋体" w:hAnsi="宋体" w:eastAsia="宋体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9B27B9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E8D152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3E8D152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hMmVlNzFjNDI0ZTliMTBjN2NmZDYxODZkZGVmMDcifQ=="/>
  </w:docVars>
  <w:rsids>
    <w:rsidRoot w:val="00172A27"/>
    <w:rsid w:val="00025CB0"/>
    <w:rsid w:val="00026AD9"/>
    <w:rsid w:val="00032329"/>
    <w:rsid w:val="000423CF"/>
    <w:rsid w:val="00044D1C"/>
    <w:rsid w:val="00050DF4"/>
    <w:rsid w:val="0005752C"/>
    <w:rsid w:val="00061C18"/>
    <w:rsid w:val="0008758C"/>
    <w:rsid w:val="000C455F"/>
    <w:rsid w:val="00150AE8"/>
    <w:rsid w:val="001512EA"/>
    <w:rsid w:val="00162AF3"/>
    <w:rsid w:val="00172A27"/>
    <w:rsid w:val="00181A29"/>
    <w:rsid w:val="00190A5F"/>
    <w:rsid w:val="00192476"/>
    <w:rsid w:val="0019375C"/>
    <w:rsid w:val="001A7C3F"/>
    <w:rsid w:val="001B2FA5"/>
    <w:rsid w:val="001D5B13"/>
    <w:rsid w:val="001D6CF4"/>
    <w:rsid w:val="001E2434"/>
    <w:rsid w:val="001E2B27"/>
    <w:rsid w:val="001E5849"/>
    <w:rsid w:val="001F0D8E"/>
    <w:rsid w:val="002030C7"/>
    <w:rsid w:val="00227682"/>
    <w:rsid w:val="00234F62"/>
    <w:rsid w:val="0023523C"/>
    <w:rsid w:val="00237154"/>
    <w:rsid w:val="0023740A"/>
    <w:rsid w:val="00244BDD"/>
    <w:rsid w:val="002A55F9"/>
    <w:rsid w:val="002D34CA"/>
    <w:rsid w:val="002D719D"/>
    <w:rsid w:val="002F071F"/>
    <w:rsid w:val="0031151B"/>
    <w:rsid w:val="00333576"/>
    <w:rsid w:val="003638D2"/>
    <w:rsid w:val="00372AEC"/>
    <w:rsid w:val="00372E22"/>
    <w:rsid w:val="003843DA"/>
    <w:rsid w:val="00393833"/>
    <w:rsid w:val="003B20EB"/>
    <w:rsid w:val="003D4A24"/>
    <w:rsid w:val="003E2611"/>
    <w:rsid w:val="00416276"/>
    <w:rsid w:val="00417D16"/>
    <w:rsid w:val="0042267D"/>
    <w:rsid w:val="00426DE7"/>
    <w:rsid w:val="00430C9F"/>
    <w:rsid w:val="00440515"/>
    <w:rsid w:val="00444319"/>
    <w:rsid w:val="004508A9"/>
    <w:rsid w:val="00454DB9"/>
    <w:rsid w:val="004575B0"/>
    <w:rsid w:val="004629A5"/>
    <w:rsid w:val="00464276"/>
    <w:rsid w:val="004830A0"/>
    <w:rsid w:val="004A0494"/>
    <w:rsid w:val="004D0DC3"/>
    <w:rsid w:val="004D7C37"/>
    <w:rsid w:val="00535815"/>
    <w:rsid w:val="005666FB"/>
    <w:rsid w:val="0058744F"/>
    <w:rsid w:val="005A0C6A"/>
    <w:rsid w:val="005A6D48"/>
    <w:rsid w:val="005D695F"/>
    <w:rsid w:val="005E6EA6"/>
    <w:rsid w:val="005F2058"/>
    <w:rsid w:val="005F2987"/>
    <w:rsid w:val="005F4FCF"/>
    <w:rsid w:val="005F6069"/>
    <w:rsid w:val="00624602"/>
    <w:rsid w:val="00631DD3"/>
    <w:rsid w:val="006366B1"/>
    <w:rsid w:val="00641E4D"/>
    <w:rsid w:val="00643621"/>
    <w:rsid w:val="00653716"/>
    <w:rsid w:val="00672B6C"/>
    <w:rsid w:val="00676F1A"/>
    <w:rsid w:val="0068760B"/>
    <w:rsid w:val="00690627"/>
    <w:rsid w:val="00694DCE"/>
    <w:rsid w:val="006A31C5"/>
    <w:rsid w:val="006B399C"/>
    <w:rsid w:val="006C7988"/>
    <w:rsid w:val="006D3077"/>
    <w:rsid w:val="006E36C1"/>
    <w:rsid w:val="006F0129"/>
    <w:rsid w:val="006F78C2"/>
    <w:rsid w:val="007118FE"/>
    <w:rsid w:val="00711D0F"/>
    <w:rsid w:val="00711D80"/>
    <w:rsid w:val="007137B8"/>
    <w:rsid w:val="00716CD9"/>
    <w:rsid w:val="007616A5"/>
    <w:rsid w:val="007636A3"/>
    <w:rsid w:val="007802B8"/>
    <w:rsid w:val="00795FD5"/>
    <w:rsid w:val="007A2E2D"/>
    <w:rsid w:val="007C124C"/>
    <w:rsid w:val="007C2D01"/>
    <w:rsid w:val="007E76DC"/>
    <w:rsid w:val="008000EC"/>
    <w:rsid w:val="00806304"/>
    <w:rsid w:val="00812351"/>
    <w:rsid w:val="00816522"/>
    <w:rsid w:val="008534FA"/>
    <w:rsid w:val="00861A58"/>
    <w:rsid w:val="008F5BDD"/>
    <w:rsid w:val="00900532"/>
    <w:rsid w:val="00916D30"/>
    <w:rsid w:val="0092138B"/>
    <w:rsid w:val="00924CFF"/>
    <w:rsid w:val="00926D52"/>
    <w:rsid w:val="00940C21"/>
    <w:rsid w:val="00941BE8"/>
    <w:rsid w:val="00954ADF"/>
    <w:rsid w:val="00957621"/>
    <w:rsid w:val="00965600"/>
    <w:rsid w:val="00981F53"/>
    <w:rsid w:val="009846E6"/>
    <w:rsid w:val="009917D2"/>
    <w:rsid w:val="009A2F93"/>
    <w:rsid w:val="009B2D59"/>
    <w:rsid w:val="009D1231"/>
    <w:rsid w:val="009E4068"/>
    <w:rsid w:val="00A04B95"/>
    <w:rsid w:val="00A055C7"/>
    <w:rsid w:val="00A27FC2"/>
    <w:rsid w:val="00A31AD1"/>
    <w:rsid w:val="00A42E7E"/>
    <w:rsid w:val="00A838B1"/>
    <w:rsid w:val="00AB16B9"/>
    <w:rsid w:val="00AB2E37"/>
    <w:rsid w:val="00AB78DB"/>
    <w:rsid w:val="00AD1DDC"/>
    <w:rsid w:val="00AE3836"/>
    <w:rsid w:val="00AF4F8E"/>
    <w:rsid w:val="00B10F38"/>
    <w:rsid w:val="00B2542A"/>
    <w:rsid w:val="00B34BCA"/>
    <w:rsid w:val="00B409FC"/>
    <w:rsid w:val="00B4791A"/>
    <w:rsid w:val="00B47DA0"/>
    <w:rsid w:val="00B82458"/>
    <w:rsid w:val="00B85224"/>
    <w:rsid w:val="00B85BF3"/>
    <w:rsid w:val="00B86058"/>
    <w:rsid w:val="00BA4FAB"/>
    <w:rsid w:val="00BD34F3"/>
    <w:rsid w:val="00BE71DD"/>
    <w:rsid w:val="00BF53F3"/>
    <w:rsid w:val="00BF6490"/>
    <w:rsid w:val="00C17FFD"/>
    <w:rsid w:val="00C30AEE"/>
    <w:rsid w:val="00C419EA"/>
    <w:rsid w:val="00C52639"/>
    <w:rsid w:val="00C618C3"/>
    <w:rsid w:val="00C6785D"/>
    <w:rsid w:val="00C67F92"/>
    <w:rsid w:val="00C74C1A"/>
    <w:rsid w:val="00C84386"/>
    <w:rsid w:val="00C90242"/>
    <w:rsid w:val="00CB14DC"/>
    <w:rsid w:val="00CC5714"/>
    <w:rsid w:val="00CE6791"/>
    <w:rsid w:val="00CF047B"/>
    <w:rsid w:val="00CF1631"/>
    <w:rsid w:val="00CF4DDB"/>
    <w:rsid w:val="00D075FA"/>
    <w:rsid w:val="00D132CA"/>
    <w:rsid w:val="00D15514"/>
    <w:rsid w:val="00D22970"/>
    <w:rsid w:val="00D22A15"/>
    <w:rsid w:val="00D25777"/>
    <w:rsid w:val="00D32B0B"/>
    <w:rsid w:val="00D4320B"/>
    <w:rsid w:val="00DA63E6"/>
    <w:rsid w:val="00DB1D0E"/>
    <w:rsid w:val="00DC5CB4"/>
    <w:rsid w:val="00DD7901"/>
    <w:rsid w:val="00DE1A21"/>
    <w:rsid w:val="00E00758"/>
    <w:rsid w:val="00E10DEB"/>
    <w:rsid w:val="00E163CE"/>
    <w:rsid w:val="00E24D7D"/>
    <w:rsid w:val="00E265BD"/>
    <w:rsid w:val="00E4048D"/>
    <w:rsid w:val="00E46AD2"/>
    <w:rsid w:val="00E735D9"/>
    <w:rsid w:val="00E7643E"/>
    <w:rsid w:val="00E863F3"/>
    <w:rsid w:val="00EA7ED8"/>
    <w:rsid w:val="00EC4BF3"/>
    <w:rsid w:val="00EC7D58"/>
    <w:rsid w:val="00ED3436"/>
    <w:rsid w:val="00F01C36"/>
    <w:rsid w:val="00F06EDA"/>
    <w:rsid w:val="00F22A2A"/>
    <w:rsid w:val="00F269D3"/>
    <w:rsid w:val="00F609E2"/>
    <w:rsid w:val="00FB5649"/>
    <w:rsid w:val="00FC6C8E"/>
    <w:rsid w:val="00FC7316"/>
    <w:rsid w:val="00FE79E5"/>
    <w:rsid w:val="010D427B"/>
    <w:rsid w:val="01201F55"/>
    <w:rsid w:val="01AD3A23"/>
    <w:rsid w:val="026B2CB8"/>
    <w:rsid w:val="03920A67"/>
    <w:rsid w:val="03C9092D"/>
    <w:rsid w:val="04212517"/>
    <w:rsid w:val="04917185"/>
    <w:rsid w:val="05BF3CB6"/>
    <w:rsid w:val="063D4CBA"/>
    <w:rsid w:val="06622973"/>
    <w:rsid w:val="07102EA3"/>
    <w:rsid w:val="07452CE3"/>
    <w:rsid w:val="074B4461"/>
    <w:rsid w:val="07852DBD"/>
    <w:rsid w:val="079E79DA"/>
    <w:rsid w:val="07A27EEC"/>
    <w:rsid w:val="07A836F4"/>
    <w:rsid w:val="07B03875"/>
    <w:rsid w:val="07B32739"/>
    <w:rsid w:val="0882554E"/>
    <w:rsid w:val="090C0028"/>
    <w:rsid w:val="091A677A"/>
    <w:rsid w:val="09EB2C7F"/>
    <w:rsid w:val="0A2F6341"/>
    <w:rsid w:val="0A764C3F"/>
    <w:rsid w:val="0A8344B4"/>
    <w:rsid w:val="0AA7304A"/>
    <w:rsid w:val="0ADD5073"/>
    <w:rsid w:val="0AE71698"/>
    <w:rsid w:val="0AEC3153"/>
    <w:rsid w:val="0AF11EFA"/>
    <w:rsid w:val="0B801AF3"/>
    <w:rsid w:val="0BCE214B"/>
    <w:rsid w:val="0BE24FAD"/>
    <w:rsid w:val="0BFD6B61"/>
    <w:rsid w:val="0C17188A"/>
    <w:rsid w:val="0C9B098C"/>
    <w:rsid w:val="0CB240D8"/>
    <w:rsid w:val="0CCE789E"/>
    <w:rsid w:val="0D9E5A0B"/>
    <w:rsid w:val="0E1600BC"/>
    <w:rsid w:val="0E5928AD"/>
    <w:rsid w:val="0EE20AF5"/>
    <w:rsid w:val="0F5B1954"/>
    <w:rsid w:val="0FBF0E36"/>
    <w:rsid w:val="0FE85BEC"/>
    <w:rsid w:val="0FE91A0F"/>
    <w:rsid w:val="104C4D64"/>
    <w:rsid w:val="11976A68"/>
    <w:rsid w:val="11B36F2A"/>
    <w:rsid w:val="11BD6E3E"/>
    <w:rsid w:val="11E91587"/>
    <w:rsid w:val="12170AB5"/>
    <w:rsid w:val="12353631"/>
    <w:rsid w:val="124C4FD5"/>
    <w:rsid w:val="125A30C4"/>
    <w:rsid w:val="128D521B"/>
    <w:rsid w:val="12ED7A68"/>
    <w:rsid w:val="130152C1"/>
    <w:rsid w:val="133F476E"/>
    <w:rsid w:val="13482EF0"/>
    <w:rsid w:val="1363595C"/>
    <w:rsid w:val="14123C2A"/>
    <w:rsid w:val="142D0E0E"/>
    <w:rsid w:val="148E15C6"/>
    <w:rsid w:val="15036C38"/>
    <w:rsid w:val="15507A24"/>
    <w:rsid w:val="16055DDA"/>
    <w:rsid w:val="161812FA"/>
    <w:rsid w:val="162219DC"/>
    <w:rsid w:val="16806CB1"/>
    <w:rsid w:val="16CA07EC"/>
    <w:rsid w:val="16D056D6"/>
    <w:rsid w:val="16DC407B"/>
    <w:rsid w:val="16EF1130"/>
    <w:rsid w:val="179E3A27"/>
    <w:rsid w:val="17C9137B"/>
    <w:rsid w:val="17CA65CA"/>
    <w:rsid w:val="17E54BD3"/>
    <w:rsid w:val="17F0126D"/>
    <w:rsid w:val="18090EA0"/>
    <w:rsid w:val="181E5365"/>
    <w:rsid w:val="18290801"/>
    <w:rsid w:val="18545F68"/>
    <w:rsid w:val="189360E5"/>
    <w:rsid w:val="18EE0096"/>
    <w:rsid w:val="19293B87"/>
    <w:rsid w:val="1940793F"/>
    <w:rsid w:val="19A215B9"/>
    <w:rsid w:val="19E70E0E"/>
    <w:rsid w:val="19FC104D"/>
    <w:rsid w:val="1A0E09F0"/>
    <w:rsid w:val="1A8707A2"/>
    <w:rsid w:val="1AB7210B"/>
    <w:rsid w:val="1AC65D6F"/>
    <w:rsid w:val="1B5B5EB7"/>
    <w:rsid w:val="1B6B70D8"/>
    <w:rsid w:val="1B6E62F4"/>
    <w:rsid w:val="1B8515C8"/>
    <w:rsid w:val="1BAB4AC5"/>
    <w:rsid w:val="1BD65A0D"/>
    <w:rsid w:val="1C051F94"/>
    <w:rsid w:val="1C3861F8"/>
    <w:rsid w:val="1C4A1A87"/>
    <w:rsid w:val="1C4B4A0F"/>
    <w:rsid w:val="1C5A6817"/>
    <w:rsid w:val="1C5B5A42"/>
    <w:rsid w:val="1CA94A00"/>
    <w:rsid w:val="1CD43639"/>
    <w:rsid w:val="1D494184"/>
    <w:rsid w:val="1D7B7E7D"/>
    <w:rsid w:val="1D8944E9"/>
    <w:rsid w:val="1DCE33A3"/>
    <w:rsid w:val="1DD333DB"/>
    <w:rsid w:val="1DDE150B"/>
    <w:rsid w:val="1E3C42D4"/>
    <w:rsid w:val="1ECB4267"/>
    <w:rsid w:val="1F3638AE"/>
    <w:rsid w:val="1F594E5D"/>
    <w:rsid w:val="1FBD2442"/>
    <w:rsid w:val="202D1DEC"/>
    <w:rsid w:val="20681567"/>
    <w:rsid w:val="20B348F3"/>
    <w:rsid w:val="20D075ED"/>
    <w:rsid w:val="210743EB"/>
    <w:rsid w:val="212D4142"/>
    <w:rsid w:val="21303941"/>
    <w:rsid w:val="215D5E73"/>
    <w:rsid w:val="217D46AD"/>
    <w:rsid w:val="218F236A"/>
    <w:rsid w:val="21D30E45"/>
    <w:rsid w:val="22121D98"/>
    <w:rsid w:val="222F1E4B"/>
    <w:rsid w:val="223E68AF"/>
    <w:rsid w:val="2265586D"/>
    <w:rsid w:val="23361B69"/>
    <w:rsid w:val="233A223B"/>
    <w:rsid w:val="234B1C36"/>
    <w:rsid w:val="23563407"/>
    <w:rsid w:val="23CF4182"/>
    <w:rsid w:val="25C83F87"/>
    <w:rsid w:val="25DB0FD9"/>
    <w:rsid w:val="25F95EEC"/>
    <w:rsid w:val="261C0BF7"/>
    <w:rsid w:val="262275D1"/>
    <w:rsid w:val="266876DA"/>
    <w:rsid w:val="26862B41"/>
    <w:rsid w:val="26F61EFB"/>
    <w:rsid w:val="273A716C"/>
    <w:rsid w:val="2758774E"/>
    <w:rsid w:val="278E4F1E"/>
    <w:rsid w:val="280D4603"/>
    <w:rsid w:val="287912E5"/>
    <w:rsid w:val="287C121A"/>
    <w:rsid w:val="292E501E"/>
    <w:rsid w:val="29512368"/>
    <w:rsid w:val="29B535B1"/>
    <w:rsid w:val="2A1A2444"/>
    <w:rsid w:val="2A3648F0"/>
    <w:rsid w:val="2A715156"/>
    <w:rsid w:val="2A790107"/>
    <w:rsid w:val="2A86447F"/>
    <w:rsid w:val="2ADF2513"/>
    <w:rsid w:val="2B075C65"/>
    <w:rsid w:val="2B447689"/>
    <w:rsid w:val="2B591E08"/>
    <w:rsid w:val="2BBB02AC"/>
    <w:rsid w:val="2BCF10A6"/>
    <w:rsid w:val="2C1300E8"/>
    <w:rsid w:val="2C575738"/>
    <w:rsid w:val="2C8B5ED0"/>
    <w:rsid w:val="2C960884"/>
    <w:rsid w:val="2CA973E9"/>
    <w:rsid w:val="2D4521E4"/>
    <w:rsid w:val="2DD90EBD"/>
    <w:rsid w:val="2DF81343"/>
    <w:rsid w:val="2E6B2BC6"/>
    <w:rsid w:val="2EE47B19"/>
    <w:rsid w:val="2F2D14C0"/>
    <w:rsid w:val="2F6A3570"/>
    <w:rsid w:val="2F964F05"/>
    <w:rsid w:val="2FEA11EA"/>
    <w:rsid w:val="3036293F"/>
    <w:rsid w:val="30896480"/>
    <w:rsid w:val="30963095"/>
    <w:rsid w:val="30A07565"/>
    <w:rsid w:val="30AB5BFC"/>
    <w:rsid w:val="31363720"/>
    <w:rsid w:val="314E47F2"/>
    <w:rsid w:val="315C308A"/>
    <w:rsid w:val="31807F66"/>
    <w:rsid w:val="31B118FD"/>
    <w:rsid w:val="32874D75"/>
    <w:rsid w:val="32A7158A"/>
    <w:rsid w:val="32AE46C6"/>
    <w:rsid w:val="32DE69D8"/>
    <w:rsid w:val="32EB2B64"/>
    <w:rsid w:val="334F6D3D"/>
    <w:rsid w:val="335C6172"/>
    <w:rsid w:val="336229E7"/>
    <w:rsid w:val="337F6B6E"/>
    <w:rsid w:val="33911F37"/>
    <w:rsid w:val="33E21C1A"/>
    <w:rsid w:val="34311A53"/>
    <w:rsid w:val="343230D5"/>
    <w:rsid w:val="346C48F4"/>
    <w:rsid w:val="346D766F"/>
    <w:rsid w:val="34E71972"/>
    <w:rsid w:val="34F9186F"/>
    <w:rsid w:val="3533084D"/>
    <w:rsid w:val="354D54A9"/>
    <w:rsid w:val="359679D1"/>
    <w:rsid w:val="35AA0971"/>
    <w:rsid w:val="36E63C08"/>
    <w:rsid w:val="36E92225"/>
    <w:rsid w:val="372C6E7F"/>
    <w:rsid w:val="376D0754"/>
    <w:rsid w:val="376D1E36"/>
    <w:rsid w:val="37DA313A"/>
    <w:rsid w:val="381B277F"/>
    <w:rsid w:val="3824770E"/>
    <w:rsid w:val="38545D10"/>
    <w:rsid w:val="38C43E25"/>
    <w:rsid w:val="399972E4"/>
    <w:rsid w:val="39F6132E"/>
    <w:rsid w:val="3A166BEF"/>
    <w:rsid w:val="3A1864B2"/>
    <w:rsid w:val="3A1F4445"/>
    <w:rsid w:val="3A3815D3"/>
    <w:rsid w:val="3A3E6C77"/>
    <w:rsid w:val="3A415891"/>
    <w:rsid w:val="3A591F82"/>
    <w:rsid w:val="3A6D7BE3"/>
    <w:rsid w:val="3ACC7DDF"/>
    <w:rsid w:val="3B225C51"/>
    <w:rsid w:val="3B3E3FA5"/>
    <w:rsid w:val="3B450930"/>
    <w:rsid w:val="3BA23236"/>
    <w:rsid w:val="3C1852A6"/>
    <w:rsid w:val="3C6A7383"/>
    <w:rsid w:val="3C74099D"/>
    <w:rsid w:val="3C7D054C"/>
    <w:rsid w:val="3CE8383B"/>
    <w:rsid w:val="3D605157"/>
    <w:rsid w:val="3D7A3C99"/>
    <w:rsid w:val="3DC512D0"/>
    <w:rsid w:val="3E5B4D46"/>
    <w:rsid w:val="3E66054B"/>
    <w:rsid w:val="3F4C5993"/>
    <w:rsid w:val="3F8E5FAB"/>
    <w:rsid w:val="3FD10385"/>
    <w:rsid w:val="3FDB51DB"/>
    <w:rsid w:val="40871FB8"/>
    <w:rsid w:val="40CD253B"/>
    <w:rsid w:val="40E35B04"/>
    <w:rsid w:val="41990C37"/>
    <w:rsid w:val="41ED47FB"/>
    <w:rsid w:val="41F80C94"/>
    <w:rsid w:val="42537038"/>
    <w:rsid w:val="42835EF4"/>
    <w:rsid w:val="42CE4911"/>
    <w:rsid w:val="430D7664"/>
    <w:rsid w:val="43190F58"/>
    <w:rsid w:val="43763100"/>
    <w:rsid w:val="437B2938"/>
    <w:rsid w:val="43FB0295"/>
    <w:rsid w:val="4427077C"/>
    <w:rsid w:val="44492474"/>
    <w:rsid w:val="44617BA5"/>
    <w:rsid w:val="44DC3315"/>
    <w:rsid w:val="450137F0"/>
    <w:rsid w:val="45053792"/>
    <w:rsid w:val="4534527F"/>
    <w:rsid w:val="453D05C7"/>
    <w:rsid w:val="45516773"/>
    <w:rsid w:val="45BE5CA2"/>
    <w:rsid w:val="45FA1CE4"/>
    <w:rsid w:val="460C5E7C"/>
    <w:rsid w:val="46380A1F"/>
    <w:rsid w:val="467CFF17"/>
    <w:rsid w:val="469C0860"/>
    <w:rsid w:val="46A351E1"/>
    <w:rsid w:val="46BA58D8"/>
    <w:rsid w:val="47022DDB"/>
    <w:rsid w:val="470C1789"/>
    <w:rsid w:val="47327B17"/>
    <w:rsid w:val="473936A6"/>
    <w:rsid w:val="474F52FA"/>
    <w:rsid w:val="476B2748"/>
    <w:rsid w:val="47B440D5"/>
    <w:rsid w:val="47C841F6"/>
    <w:rsid w:val="47D77BA6"/>
    <w:rsid w:val="47E47B88"/>
    <w:rsid w:val="48166B3E"/>
    <w:rsid w:val="48742673"/>
    <w:rsid w:val="48764D34"/>
    <w:rsid w:val="48DA5496"/>
    <w:rsid w:val="48E32CA1"/>
    <w:rsid w:val="491F1A22"/>
    <w:rsid w:val="49574D12"/>
    <w:rsid w:val="495751DE"/>
    <w:rsid w:val="49C16F7D"/>
    <w:rsid w:val="4A34702F"/>
    <w:rsid w:val="4A710A83"/>
    <w:rsid w:val="4A714A31"/>
    <w:rsid w:val="4A832E71"/>
    <w:rsid w:val="4AEA31D4"/>
    <w:rsid w:val="4B4810FE"/>
    <w:rsid w:val="4B73153F"/>
    <w:rsid w:val="4B977597"/>
    <w:rsid w:val="4C066EC9"/>
    <w:rsid w:val="4C3752D5"/>
    <w:rsid w:val="4C602AB7"/>
    <w:rsid w:val="4CBF7C75"/>
    <w:rsid w:val="4CD11285"/>
    <w:rsid w:val="4CE70AA9"/>
    <w:rsid w:val="4D0623E1"/>
    <w:rsid w:val="4D233AF8"/>
    <w:rsid w:val="4D3E1798"/>
    <w:rsid w:val="4D480730"/>
    <w:rsid w:val="4D571ED4"/>
    <w:rsid w:val="4DD40C5E"/>
    <w:rsid w:val="4DDC4A17"/>
    <w:rsid w:val="4E121B55"/>
    <w:rsid w:val="4E2A6F15"/>
    <w:rsid w:val="4E30647F"/>
    <w:rsid w:val="4E3432F4"/>
    <w:rsid w:val="4F6B3C13"/>
    <w:rsid w:val="4FBB7FCB"/>
    <w:rsid w:val="502D0E36"/>
    <w:rsid w:val="50333DEC"/>
    <w:rsid w:val="50414974"/>
    <w:rsid w:val="508F56DF"/>
    <w:rsid w:val="50E35EBB"/>
    <w:rsid w:val="50FB0FC7"/>
    <w:rsid w:val="51404C2B"/>
    <w:rsid w:val="51F949B7"/>
    <w:rsid w:val="52985AF9"/>
    <w:rsid w:val="53505AE5"/>
    <w:rsid w:val="53830F02"/>
    <w:rsid w:val="53A316C5"/>
    <w:rsid w:val="53CE31DB"/>
    <w:rsid w:val="53FD9CDC"/>
    <w:rsid w:val="54327A61"/>
    <w:rsid w:val="54DC7AC6"/>
    <w:rsid w:val="5560764A"/>
    <w:rsid w:val="55AC288F"/>
    <w:rsid w:val="55C86F8B"/>
    <w:rsid w:val="55D6790C"/>
    <w:rsid w:val="56D15A89"/>
    <w:rsid w:val="572C51A7"/>
    <w:rsid w:val="576C677A"/>
    <w:rsid w:val="57C661A5"/>
    <w:rsid w:val="57CB1AC4"/>
    <w:rsid w:val="58035059"/>
    <w:rsid w:val="587358E6"/>
    <w:rsid w:val="58AC2BA6"/>
    <w:rsid w:val="58E41B62"/>
    <w:rsid w:val="592D325B"/>
    <w:rsid w:val="59314761"/>
    <w:rsid w:val="593D2E59"/>
    <w:rsid w:val="59A87812"/>
    <w:rsid w:val="59D02FE6"/>
    <w:rsid w:val="5A2C6B69"/>
    <w:rsid w:val="5A497EFA"/>
    <w:rsid w:val="5A8D3D2B"/>
    <w:rsid w:val="5B697EEF"/>
    <w:rsid w:val="5B702511"/>
    <w:rsid w:val="5B913D4A"/>
    <w:rsid w:val="5C056287"/>
    <w:rsid w:val="5C1F32A6"/>
    <w:rsid w:val="5D311BE6"/>
    <w:rsid w:val="5D3B34D2"/>
    <w:rsid w:val="5D976B3F"/>
    <w:rsid w:val="5E024645"/>
    <w:rsid w:val="5E548B43"/>
    <w:rsid w:val="5E5B3ACA"/>
    <w:rsid w:val="5E780AE1"/>
    <w:rsid w:val="5EB3CE55"/>
    <w:rsid w:val="5F246A9A"/>
    <w:rsid w:val="5F2D68B1"/>
    <w:rsid w:val="5F8EA272"/>
    <w:rsid w:val="5FAE0644"/>
    <w:rsid w:val="5FE445C6"/>
    <w:rsid w:val="5FF7D567"/>
    <w:rsid w:val="5FFD5AB9"/>
    <w:rsid w:val="60844B35"/>
    <w:rsid w:val="60B92AAF"/>
    <w:rsid w:val="610F1255"/>
    <w:rsid w:val="612A6E3D"/>
    <w:rsid w:val="61572249"/>
    <w:rsid w:val="61930DA7"/>
    <w:rsid w:val="61D43888"/>
    <w:rsid w:val="62214605"/>
    <w:rsid w:val="6223212B"/>
    <w:rsid w:val="622C188E"/>
    <w:rsid w:val="623D38BB"/>
    <w:rsid w:val="62691F3E"/>
    <w:rsid w:val="62B75CC2"/>
    <w:rsid w:val="63604CB9"/>
    <w:rsid w:val="636D7E27"/>
    <w:rsid w:val="6393680E"/>
    <w:rsid w:val="63F447FA"/>
    <w:rsid w:val="642467FB"/>
    <w:rsid w:val="646B1ECE"/>
    <w:rsid w:val="653603C7"/>
    <w:rsid w:val="65420882"/>
    <w:rsid w:val="6553506E"/>
    <w:rsid w:val="65672E18"/>
    <w:rsid w:val="656C1155"/>
    <w:rsid w:val="65707DCC"/>
    <w:rsid w:val="658B309F"/>
    <w:rsid w:val="664A15ED"/>
    <w:rsid w:val="665600F0"/>
    <w:rsid w:val="66727C84"/>
    <w:rsid w:val="66876902"/>
    <w:rsid w:val="66A650D9"/>
    <w:rsid w:val="66BD5E1B"/>
    <w:rsid w:val="66CD2666"/>
    <w:rsid w:val="67087B42"/>
    <w:rsid w:val="67A27022"/>
    <w:rsid w:val="67E05496"/>
    <w:rsid w:val="680C559B"/>
    <w:rsid w:val="68686BBC"/>
    <w:rsid w:val="687A00C6"/>
    <w:rsid w:val="68934717"/>
    <w:rsid w:val="69043963"/>
    <w:rsid w:val="69044022"/>
    <w:rsid w:val="6907627A"/>
    <w:rsid w:val="69165080"/>
    <w:rsid w:val="696B304E"/>
    <w:rsid w:val="697838DF"/>
    <w:rsid w:val="69C40A40"/>
    <w:rsid w:val="6A293639"/>
    <w:rsid w:val="6A5777C2"/>
    <w:rsid w:val="6A6634FD"/>
    <w:rsid w:val="6B287AD5"/>
    <w:rsid w:val="6B7316A4"/>
    <w:rsid w:val="6B8B77E1"/>
    <w:rsid w:val="6B9C4F21"/>
    <w:rsid w:val="6BDA2AFA"/>
    <w:rsid w:val="6BE4317B"/>
    <w:rsid w:val="6C58469A"/>
    <w:rsid w:val="6C6E055C"/>
    <w:rsid w:val="6C740B5E"/>
    <w:rsid w:val="6CC57182"/>
    <w:rsid w:val="6CC7277A"/>
    <w:rsid w:val="6D1D1356"/>
    <w:rsid w:val="6DA74875"/>
    <w:rsid w:val="6DE8697B"/>
    <w:rsid w:val="6E1967C1"/>
    <w:rsid w:val="6EBC5114"/>
    <w:rsid w:val="6ED57945"/>
    <w:rsid w:val="6EF2710D"/>
    <w:rsid w:val="6F08090C"/>
    <w:rsid w:val="6F4E7113"/>
    <w:rsid w:val="6F541B76"/>
    <w:rsid w:val="6F8E7ECA"/>
    <w:rsid w:val="6F9D2C59"/>
    <w:rsid w:val="6FAE28B9"/>
    <w:rsid w:val="6FBB11B3"/>
    <w:rsid w:val="70096E04"/>
    <w:rsid w:val="70B12FF8"/>
    <w:rsid w:val="71141CBA"/>
    <w:rsid w:val="71F37B08"/>
    <w:rsid w:val="72127AC6"/>
    <w:rsid w:val="722F31E7"/>
    <w:rsid w:val="724F6669"/>
    <w:rsid w:val="72A5504C"/>
    <w:rsid w:val="72E363F2"/>
    <w:rsid w:val="734C133A"/>
    <w:rsid w:val="73722F12"/>
    <w:rsid w:val="73972904"/>
    <w:rsid w:val="73B788E7"/>
    <w:rsid w:val="742C183A"/>
    <w:rsid w:val="743E1047"/>
    <w:rsid w:val="74404DBF"/>
    <w:rsid w:val="74566577"/>
    <w:rsid w:val="748E5089"/>
    <w:rsid w:val="74DB23BF"/>
    <w:rsid w:val="74E1184F"/>
    <w:rsid w:val="74FC2BFE"/>
    <w:rsid w:val="757F2329"/>
    <w:rsid w:val="75DE31F0"/>
    <w:rsid w:val="75E85E43"/>
    <w:rsid w:val="767E3A20"/>
    <w:rsid w:val="76AF7FDA"/>
    <w:rsid w:val="76CE593B"/>
    <w:rsid w:val="76F3B939"/>
    <w:rsid w:val="76FD4DCB"/>
    <w:rsid w:val="771222E8"/>
    <w:rsid w:val="77664B3C"/>
    <w:rsid w:val="77C4430A"/>
    <w:rsid w:val="77C82386"/>
    <w:rsid w:val="77E3785D"/>
    <w:rsid w:val="78457530"/>
    <w:rsid w:val="78C9620B"/>
    <w:rsid w:val="790A14F7"/>
    <w:rsid w:val="790F2AC2"/>
    <w:rsid w:val="7923774A"/>
    <w:rsid w:val="79856F2C"/>
    <w:rsid w:val="7A7237F8"/>
    <w:rsid w:val="7AA65250"/>
    <w:rsid w:val="7AFD1314"/>
    <w:rsid w:val="7B2F0256"/>
    <w:rsid w:val="7B926184"/>
    <w:rsid w:val="7C023D81"/>
    <w:rsid w:val="7C3B688B"/>
    <w:rsid w:val="7C41491B"/>
    <w:rsid w:val="7C58305E"/>
    <w:rsid w:val="7C7F7042"/>
    <w:rsid w:val="7D2637C1"/>
    <w:rsid w:val="7D505977"/>
    <w:rsid w:val="7E0046E9"/>
    <w:rsid w:val="7E210840"/>
    <w:rsid w:val="7E325778"/>
    <w:rsid w:val="7E36681D"/>
    <w:rsid w:val="7FB6280C"/>
    <w:rsid w:val="7FFF0A28"/>
    <w:rsid w:val="7FFF3A7E"/>
    <w:rsid w:val="8FFF3353"/>
    <w:rsid w:val="9CBF896A"/>
    <w:rsid w:val="A33D4B8B"/>
    <w:rsid w:val="A75F56E0"/>
    <w:rsid w:val="BFFA55A4"/>
    <w:rsid w:val="BFFBAC19"/>
    <w:rsid w:val="CFF5705B"/>
    <w:rsid w:val="DC5ED6EA"/>
    <w:rsid w:val="E67FB003"/>
    <w:rsid w:val="EB7F9EED"/>
    <w:rsid w:val="EC6FF248"/>
    <w:rsid w:val="EEFF9DCC"/>
    <w:rsid w:val="EF3E74E9"/>
    <w:rsid w:val="F6BEE215"/>
    <w:rsid w:val="F97B3386"/>
    <w:rsid w:val="FD7D69D4"/>
    <w:rsid w:val="FF2EA5B3"/>
    <w:rsid w:val="FFBF2C72"/>
    <w:rsid w:val="FFFFC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autoRedefine/>
    <w:unhideWhenUsed/>
    <w:qFormat/>
    <w:uiPriority w:val="99"/>
    <w:pPr>
      <w:jc w:val="left"/>
    </w:pPr>
  </w:style>
  <w:style w:type="paragraph" w:styleId="3">
    <w:name w:val="Balloon Text"/>
    <w:basedOn w:val="1"/>
    <w:link w:val="13"/>
    <w:autoRedefine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autoRedefine/>
    <w:unhideWhenUsed/>
    <w:qFormat/>
    <w:uiPriority w:val="99"/>
    <w:rPr>
      <w:b/>
      <w:bCs/>
    </w:rPr>
  </w:style>
  <w:style w:type="table" w:styleId="8">
    <w:name w:val="Table Grid"/>
    <w:basedOn w:val="7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autoRedefine/>
    <w:qFormat/>
    <w:uiPriority w:val="22"/>
    <w:rPr>
      <w:b/>
    </w:rPr>
  </w:style>
  <w:style w:type="character" w:styleId="11">
    <w:name w:val="annotation reference"/>
    <w:autoRedefine/>
    <w:unhideWhenUsed/>
    <w:qFormat/>
    <w:uiPriority w:val="99"/>
    <w:rPr>
      <w:sz w:val="21"/>
      <w:szCs w:val="21"/>
    </w:rPr>
  </w:style>
  <w:style w:type="character" w:customStyle="1" w:styleId="12">
    <w:name w:val="批注文字 字符"/>
    <w:link w:val="2"/>
    <w:autoRedefine/>
    <w:qFormat/>
    <w:uiPriority w:val="99"/>
    <w:rPr>
      <w:rFonts w:ascii="等线" w:hAnsi="等线" w:eastAsia="等线"/>
      <w:kern w:val="2"/>
      <w:sz w:val="21"/>
      <w:szCs w:val="22"/>
    </w:rPr>
  </w:style>
  <w:style w:type="character" w:customStyle="1" w:styleId="13">
    <w:name w:val="批注框文本 字符"/>
    <w:link w:val="3"/>
    <w:autoRedefine/>
    <w:semiHidden/>
    <w:qFormat/>
    <w:uiPriority w:val="99"/>
    <w:rPr>
      <w:sz w:val="18"/>
      <w:szCs w:val="18"/>
    </w:rPr>
  </w:style>
  <w:style w:type="character" w:customStyle="1" w:styleId="14">
    <w:name w:val="页脚 字符"/>
    <w:link w:val="4"/>
    <w:autoRedefine/>
    <w:qFormat/>
    <w:uiPriority w:val="99"/>
    <w:rPr>
      <w:sz w:val="18"/>
      <w:szCs w:val="18"/>
    </w:rPr>
  </w:style>
  <w:style w:type="character" w:customStyle="1" w:styleId="15">
    <w:name w:val="页眉 字符"/>
    <w:link w:val="5"/>
    <w:autoRedefine/>
    <w:qFormat/>
    <w:uiPriority w:val="99"/>
    <w:rPr>
      <w:sz w:val="18"/>
      <w:szCs w:val="18"/>
    </w:rPr>
  </w:style>
  <w:style w:type="character" w:customStyle="1" w:styleId="16">
    <w:name w:val="批注主题 字符"/>
    <w:link w:val="6"/>
    <w:autoRedefine/>
    <w:semiHidden/>
    <w:qFormat/>
    <w:uiPriority w:val="99"/>
    <w:rPr>
      <w:rFonts w:ascii="等线" w:hAnsi="等线" w:eastAsia="等线"/>
      <w:b/>
      <w:bCs/>
      <w:kern w:val="2"/>
      <w:sz w:val="21"/>
      <w:szCs w:val="22"/>
    </w:rPr>
  </w:style>
  <w:style w:type="paragraph" w:styleId="17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8">
    <w:name w:val="Default"/>
    <w:autoRedefine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0b51dc90-f7e5-4bc9-b5c1-7a9c6e960749</errorID>
      <errorWord>约为</errorWord>
      <group>L1_Word</group>
      <groupName>字词问题</groupName>
      <ability>L2_Typo</ability>
      <abilityName>字词错误</abilityName>
      <candidateList>
        <item>约</item>
      </candidateList>
      <explain/>
      <paraID>4463C0A9</paraID>
      <start>61</start>
      <end>62</end>
      <status>modified</status>
      <modifiedWord>约</modifiedWord>
      <trackRevisions>false</trackRevisions>
    </reviewItem>
    <reviewItem>
      <errorID>d24e7f44-d0ea-4cc5-b1a8-14a75bc5191a</errorID>
      <errorWord>司</errorWord>
      <group>L1_Word</group>
      <groupName>字词问题</groupName>
      <ability>L2_Typo</ability>
      <abilityName>字词错误</abilityName>
      <candidateList>
        <item>司将</item>
      </candidateList>
      <explain/>
      <paraID>36E4F15C</paraID>
      <start>44</start>
      <end>45</end>
      <status>ignored</status>
      <modifiedWord/>
      <trackRevisions>false</trackRevisions>
    </reviewItem>
    <reviewItem>
      <errorID>6e2d8114-abeb-4ef8-ad15-7e69c31693bb</errorID>
      <errorWord>慢病</errorWord>
      <group>L1_Word</group>
      <groupName>字词问题</groupName>
      <ability>L2_Typo</ability>
      <abilityName>字词错误</abilityName>
      <candidateList>
        <item>慢性病</item>
      </candidateList>
      <explain/>
      <paraID>1C7FE799</paraID>
      <start>112</start>
      <end>114</end>
      <status>ignored</status>
      <modifiedWord/>
      <trackRevisions>false</trackRevisions>
    </reviewItem>
    <reviewItem>
      <errorID>6f7d6e54-ca97-4c2f-9c7b-3ae785a5fead</errorID>
      <errorWord>业</errorWord>
      <group>L1_Word</group>
      <groupName>字词问题</groupName>
      <ability>L2_Typo</ability>
      <abilityName>字词错误</abilityName>
      <candidateList>
        <item>业务</item>
      </candidateList>
      <explain/>
      <paraID>537FC621</paraID>
      <start>22</start>
      <end>24</end>
      <status>modified</status>
      <modifiedWord>业务</modifiedWord>
      <trackRevisions>false</trackRevisions>
    </reviewItem>
    <reviewItem>
      <errorID>b0a9e7c8-8844-42c1-900d-d94e8792e961</errorID>
      <errorWord>业</errorWord>
      <group>L1_Word</group>
      <groupName>字词问题</groupName>
      <ability>L2_Typo</ability>
      <abilityName>字词错误</abilityName>
      <candidateList>
        <item>业务</item>
      </candidateList>
      <explain/>
      <paraID> B8289BA</paraID>
      <start>79</start>
      <end>81</end>
      <status>modified</status>
      <modifiedWord>业务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F4BC788-E3FE-4E95-9DF3-C904832B2A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GYBYS</Company>
  <Pages>6</Pages>
  <Words>2818</Words>
  <Characters>2927</Characters>
  <Lines>22</Lines>
  <Paragraphs>6</Paragraphs>
  <TotalTime>74</TotalTime>
  <ScaleCrop>false</ScaleCrop>
  <LinksUpToDate>false</LinksUpToDate>
  <CharactersWithSpaces>2971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2023-09-13T06:13:00Z</dcterms:created>
  <dc:creator>Licy</dc:creator>
  <cp:lastModifiedBy>瑶</cp:lastModifiedBy>
  <cp:lastPrinted>2026-04-03T07:48:00Z</cp:lastPrinted>
  <dcterms:modified xsi:type="dcterms:W3CDTF">2026-04-03T08:43:29Z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4ABAB1A95496484782CBE13068CB7D51_13</vt:lpwstr>
  </property>
  <property fmtid="{D5CDD505-2E9C-101B-9397-08002B2CF9AE}" pid="4" name="KSOTemplateDocerSaveRecord">
    <vt:lpwstr>eyJoZGlkIjoiNmFhMmVlNzFjNDI0ZTliMTBjN2NmZDYxODZkZGVmMDciLCJ1c2VySWQiOiIzMzY0MjI1NDgifQ==</vt:lpwstr>
  </property>
</Properties>
</file>