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94" w:rsidRDefault="00476194" w:rsidP="00476194">
      <w:pPr>
        <w:spacing w:beforeLines="50" w:before="156" w:afterLines="50" w:after="156" w:line="400" w:lineRule="exact"/>
        <w:jc w:val="center"/>
        <w:rPr>
          <w:rFonts w:ascii="宋体" w:eastAsia="宋体" w:hAnsi="宋体"/>
          <w:b/>
          <w:bCs/>
          <w:iCs/>
          <w:sz w:val="24"/>
        </w:rPr>
      </w:pPr>
      <w:r>
        <w:rPr>
          <w:rFonts w:ascii="Times New Roman" w:eastAsia="宋体" w:hAnsi="Times New Roman" w:hint="eastAsia"/>
          <w:b/>
          <w:bCs/>
          <w:iCs/>
          <w:sz w:val="24"/>
        </w:rPr>
        <w:t>证券代码：</w:t>
      </w:r>
      <w:r>
        <w:rPr>
          <w:rFonts w:ascii="Times New Roman" w:eastAsia="宋体" w:hAnsi="Times New Roman"/>
          <w:b/>
          <w:bCs/>
          <w:iCs/>
          <w:sz w:val="24"/>
        </w:rPr>
        <w:t xml:space="preserve">300529  </w:t>
      </w:r>
      <w:r>
        <w:rPr>
          <w:rFonts w:ascii="宋体" w:eastAsia="宋体" w:hAnsi="宋体" w:hint="eastAsia"/>
          <w:b/>
          <w:bCs/>
          <w:iCs/>
          <w:sz w:val="24"/>
        </w:rPr>
        <w:t xml:space="preserve">                             证券简称：</w:t>
      </w:r>
      <w:proofErr w:type="gramStart"/>
      <w:r>
        <w:rPr>
          <w:rFonts w:ascii="宋体" w:eastAsia="宋体" w:hAnsi="宋体" w:hint="eastAsia"/>
          <w:b/>
          <w:bCs/>
          <w:iCs/>
          <w:sz w:val="24"/>
        </w:rPr>
        <w:t>健帆生物</w:t>
      </w:r>
      <w:proofErr w:type="gramEnd"/>
    </w:p>
    <w:p w:rsidR="00476194" w:rsidRDefault="00476194" w:rsidP="00476194">
      <w:pPr>
        <w:spacing w:beforeLines="50" w:before="156" w:after="0" w:line="360" w:lineRule="auto"/>
        <w:jc w:val="center"/>
        <w:rPr>
          <w:rFonts w:ascii="宋体" w:eastAsia="宋体" w:hAnsi="宋体"/>
          <w:b/>
          <w:bCs/>
          <w:iCs/>
          <w:sz w:val="32"/>
          <w:szCs w:val="32"/>
        </w:rPr>
      </w:pPr>
    </w:p>
    <w:p w:rsidR="00476194" w:rsidRDefault="001F4CEC" w:rsidP="00476194">
      <w:pPr>
        <w:spacing w:beforeLines="50" w:before="156" w:after="0" w:line="360" w:lineRule="auto"/>
        <w:jc w:val="center"/>
        <w:rPr>
          <w:rFonts w:ascii="宋体" w:eastAsia="宋体" w:hAnsi="宋体"/>
          <w:b/>
          <w:bCs/>
          <w:iCs/>
          <w:sz w:val="32"/>
          <w:szCs w:val="32"/>
        </w:rPr>
      </w:pPr>
      <w:bookmarkStart w:id="0" w:name="_GoBack"/>
      <w:proofErr w:type="gramStart"/>
      <w:r>
        <w:rPr>
          <w:rFonts w:ascii="宋体" w:eastAsia="宋体" w:hAnsi="宋体" w:hint="eastAsia"/>
          <w:b/>
          <w:bCs/>
          <w:iCs/>
          <w:sz w:val="32"/>
          <w:szCs w:val="32"/>
        </w:rPr>
        <w:t>健帆生物</w:t>
      </w:r>
      <w:proofErr w:type="gramEnd"/>
      <w:r>
        <w:rPr>
          <w:rFonts w:ascii="宋体" w:eastAsia="宋体" w:hAnsi="宋体" w:hint="eastAsia"/>
          <w:b/>
          <w:bCs/>
          <w:iCs/>
          <w:sz w:val="32"/>
          <w:szCs w:val="32"/>
        </w:rPr>
        <w:t>科技集团股份有限公司</w:t>
      </w:r>
    </w:p>
    <w:bookmarkEnd w:id="0"/>
    <w:p w:rsidR="00476194" w:rsidRDefault="00476194" w:rsidP="00476194">
      <w:pPr>
        <w:spacing w:after="0" w:line="360" w:lineRule="auto"/>
        <w:jc w:val="center"/>
        <w:rPr>
          <w:rFonts w:ascii="宋体" w:eastAsia="宋体" w:hAnsi="宋体"/>
          <w:b/>
          <w:bCs/>
          <w:iCs/>
          <w:sz w:val="32"/>
          <w:szCs w:val="32"/>
        </w:rPr>
      </w:pPr>
      <w:r>
        <w:rPr>
          <w:rFonts w:ascii="宋体" w:eastAsia="宋体" w:hAnsi="宋体" w:hint="eastAsia"/>
          <w:b/>
          <w:bCs/>
          <w:iCs/>
          <w:sz w:val="32"/>
          <w:szCs w:val="32"/>
        </w:rPr>
        <w:t>投资者关系活动记录表</w:t>
      </w:r>
    </w:p>
    <w:p w:rsidR="00476194" w:rsidRDefault="00476194" w:rsidP="00476194">
      <w:pPr>
        <w:spacing w:line="400" w:lineRule="exact"/>
        <w:rPr>
          <w:rFonts w:ascii="Times New Roman" w:eastAsia="宋体" w:hAnsi="Times New Roman"/>
          <w:bCs/>
          <w:iCs/>
          <w:sz w:val="24"/>
          <w:szCs w:val="24"/>
        </w:rPr>
      </w:pPr>
      <w:r>
        <w:rPr>
          <w:rFonts w:ascii="宋体" w:eastAsia="宋体" w:hAnsi="宋体" w:hint="eastAsia"/>
          <w:bCs/>
          <w:iCs/>
          <w:sz w:val="24"/>
          <w:szCs w:val="24"/>
        </w:rPr>
        <w:t xml:space="preserve">                                                   </w:t>
      </w:r>
      <w:r>
        <w:rPr>
          <w:rFonts w:ascii="Times New Roman" w:eastAsia="宋体" w:hAnsi="Times New Roman"/>
          <w:bCs/>
          <w:iCs/>
          <w:sz w:val="24"/>
          <w:szCs w:val="24"/>
        </w:rPr>
        <w:t xml:space="preserve">   </w:t>
      </w:r>
      <w:r>
        <w:rPr>
          <w:rFonts w:ascii="Times New Roman" w:eastAsia="宋体" w:hAnsi="Times New Roman" w:hint="eastAsia"/>
          <w:bCs/>
          <w:iCs/>
          <w:sz w:val="24"/>
          <w:szCs w:val="24"/>
        </w:rPr>
        <w:t>编号：</w:t>
      </w:r>
      <w:r w:rsidR="00D53BE3">
        <w:rPr>
          <w:rFonts w:ascii="Times New Roman" w:eastAsia="宋体" w:hAnsi="Times New Roman"/>
          <w:bCs/>
          <w:iCs/>
          <w:sz w:val="24"/>
          <w:szCs w:val="24"/>
        </w:rPr>
        <w:t>201</w:t>
      </w:r>
      <w:r w:rsidR="00D1600E">
        <w:rPr>
          <w:rFonts w:ascii="Times New Roman" w:eastAsia="宋体" w:hAnsi="Times New Roman" w:hint="eastAsia"/>
          <w:bCs/>
          <w:iCs/>
          <w:sz w:val="24"/>
          <w:szCs w:val="24"/>
        </w:rPr>
        <w:t>9-001</w:t>
      </w:r>
    </w:p>
    <w:tbl>
      <w:tblPr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394"/>
      </w:tblGrid>
      <w:tr w:rsidR="00476194" w:rsidTr="00476194">
        <w:trPr>
          <w:trHeight w:val="27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94" w:rsidRDefault="00476194">
            <w:pPr>
              <w:spacing w:line="480" w:lineRule="atLeast"/>
              <w:jc w:val="both"/>
              <w:rPr>
                <w:rFonts w:ascii="宋体" w:eastAsia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94" w:rsidRDefault="00503500">
            <w:pPr>
              <w:jc w:val="both"/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■</w:t>
            </w:r>
            <w:r w:rsidR="00476194">
              <w:rPr>
                <w:rFonts w:ascii="宋体" w:eastAsia="宋体" w:hAnsi="宋体" w:hint="eastAsia"/>
                <w:sz w:val="24"/>
                <w:szCs w:val="24"/>
              </w:rPr>
              <w:t xml:space="preserve">特定对象调研        </w:t>
            </w:r>
            <w:r w:rsidR="00476194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□</w:t>
            </w:r>
            <w:r w:rsidR="00476194">
              <w:rPr>
                <w:rFonts w:ascii="宋体" w:eastAsia="宋体" w:hAnsi="宋体" w:hint="eastAsia"/>
                <w:sz w:val="24"/>
                <w:szCs w:val="24"/>
              </w:rPr>
              <w:t>分析师会议</w:t>
            </w:r>
          </w:p>
          <w:p w:rsidR="00476194" w:rsidRDefault="00476194">
            <w:pPr>
              <w:jc w:val="both"/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业绩说明会</w:t>
            </w:r>
          </w:p>
          <w:p w:rsidR="00476194" w:rsidRDefault="00503500">
            <w:pPr>
              <w:jc w:val="both"/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□</w:t>
            </w:r>
            <w:r w:rsidR="00476194">
              <w:rPr>
                <w:rFonts w:ascii="宋体" w:eastAsia="宋体" w:hAnsi="宋体" w:hint="eastAsia"/>
                <w:sz w:val="24"/>
                <w:szCs w:val="24"/>
              </w:rPr>
              <w:t xml:space="preserve">新闻发布会          </w:t>
            </w:r>
            <w:r w:rsidR="00476194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□</w:t>
            </w:r>
            <w:r w:rsidR="00476194">
              <w:rPr>
                <w:rFonts w:ascii="宋体" w:eastAsia="宋体" w:hAnsi="宋体" w:hint="eastAsia"/>
                <w:sz w:val="24"/>
                <w:szCs w:val="24"/>
              </w:rPr>
              <w:t>路演活动</w:t>
            </w:r>
          </w:p>
          <w:p w:rsidR="00476194" w:rsidRDefault="00476194">
            <w:pPr>
              <w:tabs>
                <w:tab w:val="left" w:pos="3045"/>
                <w:tab w:val="center" w:pos="3199"/>
              </w:tabs>
              <w:jc w:val="both"/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ab/>
            </w:r>
          </w:p>
          <w:p w:rsidR="00476194" w:rsidRDefault="00476194">
            <w:pPr>
              <w:tabs>
                <w:tab w:val="center" w:pos="3199"/>
              </w:tabs>
              <w:jc w:val="both"/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其他 （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>请文字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>说明其他活动内容）</w:t>
            </w:r>
          </w:p>
        </w:tc>
      </w:tr>
      <w:tr w:rsidR="00476194" w:rsidTr="00CC1B73">
        <w:trPr>
          <w:trHeight w:val="7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94" w:rsidRDefault="00476194">
            <w:pPr>
              <w:spacing w:line="480" w:lineRule="atLeast"/>
              <w:rPr>
                <w:rFonts w:ascii="宋体" w:eastAsia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080" w:type="dxa"/>
              <w:tblLook w:val="04A0" w:firstRow="1" w:lastRow="0" w:firstColumn="1" w:lastColumn="0" w:noHBand="0" w:noVBand="1"/>
            </w:tblPr>
            <w:tblGrid>
              <w:gridCol w:w="1840"/>
              <w:gridCol w:w="1240"/>
            </w:tblGrid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中</w:t>
                  </w: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银基金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王方舟</w:t>
                  </w:r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安信基金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徐衍鹏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浦银安</w:t>
                  </w:r>
                  <w:proofErr w:type="gramEnd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盛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陈蔚丰</w:t>
                  </w:r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国寿安保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刘志军</w:t>
                  </w:r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东吴基金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毛可君</w:t>
                  </w:r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兴</w:t>
                  </w: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全基金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邱晓旭</w:t>
                  </w:r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上海</w:t>
                  </w: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彤</w:t>
                  </w:r>
                  <w:proofErr w:type="gramEnd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源投资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庄琰</w:t>
                  </w:r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从容投资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罗凌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光大资管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曾炳祥</w:t>
                  </w:r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上海趣时资产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罗会礼</w:t>
                  </w:r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华</w:t>
                  </w: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泰资管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俞天甲</w:t>
                  </w:r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上海</w:t>
                  </w: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盛宇投资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张亚辉</w:t>
                  </w:r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毅达融京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孙吉川</w:t>
                  </w:r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东海</w:t>
                  </w: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证券资管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隋欣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泰旸资产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钟峥嵘</w:t>
                  </w:r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东吴自营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张蔚洁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西南证券自营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陈继业</w:t>
                  </w:r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弘毅远方基金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施越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浙商资管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赵媛</w:t>
                  </w:r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lastRenderedPageBreak/>
                    <w:t>渤海人寿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赵东宇</w:t>
                  </w:r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中欧基金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贾雅希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博通投资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庄臣</w:t>
                  </w:r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泓德基金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操昭熙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毅木资产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任清莲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谦和裕安投资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於</w:t>
                  </w:r>
                  <w:proofErr w:type="gramEnd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杨</w:t>
                  </w:r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德</w:t>
                  </w: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邦资管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陈国栋</w:t>
                  </w:r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勤远投资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徐曼</w:t>
                  </w:r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华夏基金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马生华</w:t>
                  </w:r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观富资产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谢博涛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国华人寿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肖汉山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恒天中岩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刘怀友</w:t>
                  </w:r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坚果投资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盖伟</w:t>
                  </w: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伟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旭松资本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李根林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永安国富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张文平</w:t>
                  </w:r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金库资本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黄隆堂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三井住友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陈嘉琦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上海</w:t>
                  </w: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盛宇投资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王瑞洁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太平资产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袁银泉</w:t>
                  </w:r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富国基金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章旭峰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东海基金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赵子淇</w:t>
                  </w:r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东方资管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钱思佳</w:t>
                  </w:r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永冀资产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王淼</w:t>
                  </w:r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兴业基金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钱晓娟</w:t>
                  </w:r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西部利</w:t>
                  </w:r>
                  <w:proofErr w:type="gramEnd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得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曹斌佳</w:t>
                  </w:r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华泰保兴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陈晓蕾</w:t>
                  </w:r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华夏基金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李平祝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博时基金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孔令熙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民生加银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陈洁馨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中</w:t>
                  </w: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金基金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兰</w:t>
                  </w: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兰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万家基金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王霄音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海</w:t>
                  </w: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宸</w:t>
                  </w:r>
                  <w:proofErr w:type="gramEnd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投资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陈茜茜</w:t>
                  </w:r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沣</w:t>
                  </w:r>
                  <w:proofErr w:type="gramEnd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杨投资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张秀磊</w:t>
                  </w:r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银</w:t>
                  </w: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叶投资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秦怀宝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lastRenderedPageBreak/>
                    <w:t>神农投资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王宇美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永赢基金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陆海燕</w:t>
                  </w:r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安信证券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马帅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汇添富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付鹏飞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华安基金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谢昌旭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彤</w:t>
                  </w:r>
                  <w:proofErr w:type="gramEnd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 xml:space="preserve">源投资 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薛</w:t>
                  </w:r>
                  <w:proofErr w:type="gramEnd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凌云</w:t>
                  </w:r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浙商基金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白玉</w:t>
                  </w:r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财</w:t>
                  </w: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通资管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王鑫园</w:t>
                  </w:r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中庚基金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余思慧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砥俊资产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崔晓巍</w:t>
                  </w:r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于翼资产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夏芳</w:t>
                  </w: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芳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国寿安保基金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李捷</w:t>
                  </w:r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中</w:t>
                  </w: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信建投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王在存</w:t>
                  </w:r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江海证券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罗萍</w:t>
                  </w:r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</w:rPr>
                  </w:pPr>
                  <w:r w:rsidRPr="00DF0997">
                    <w:rPr>
                      <w:rFonts w:ascii="宋体" w:eastAsia="宋体" w:hAnsi="宋体" w:cs="宋体" w:hint="eastAsia"/>
                    </w:rPr>
                    <w:t>东北证券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</w:rPr>
                  </w:pPr>
                  <w:r w:rsidRPr="00DF0997">
                    <w:rPr>
                      <w:rFonts w:ascii="宋体" w:eastAsia="宋体" w:hAnsi="宋体" w:cs="宋体" w:hint="eastAsia"/>
                    </w:rPr>
                    <w:t>崔洁铭</w:t>
                  </w:r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如山汇金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徐</w:t>
                  </w: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郴婷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莫尼塔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余玉君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浦银安</w:t>
                  </w:r>
                  <w:proofErr w:type="gramEnd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盛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刘诗瑶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东方之星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饶海军</w:t>
                  </w:r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益恒投资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李蕾</w:t>
                  </w:r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爱建证券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章孝林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中庚基金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蔡云翔</w:t>
                  </w:r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华夏久盈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胡</w:t>
                  </w: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攸</w:t>
                  </w:r>
                  <w:proofErr w:type="gramEnd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乔</w:t>
                  </w:r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汇</w:t>
                  </w: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桥资本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霍燃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兴业证券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储乐延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上海</w:t>
                  </w: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途灵资管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白伊贝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兴业证券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张佳博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招商基金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梅</w:t>
                  </w: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梅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中泰证券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谢木青</w:t>
                  </w:r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光大证券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林小伟</w:t>
                  </w:r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中大君悦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曲芳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光大证券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宋硕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基</w:t>
                  </w: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明资本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王镜程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汇添富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郑磊</w:t>
                  </w:r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lastRenderedPageBreak/>
                    <w:t>易方达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王超</w:t>
                  </w:r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太平资管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薛娜</w:t>
                  </w:r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万家基金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况</w:t>
                  </w:r>
                  <w:proofErr w:type="gramEnd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晓</w:t>
                  </w:r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德邦证券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陈</w:t>
                  </w: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浩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兴业证券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孙媛媛</w:t>
                  </w:r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兴业证券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李波</w:t>
                  </w:r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恒越基金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宋磊</w:t>
                  </w:r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广发证券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吴文华</w:t>
                  </w:r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银河基金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王海华</w:t>
                  </w:r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银河基金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杨琪</w:t>
                  </w:r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诺德基金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朱红</w:t>
                  </w:r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上海</w:t>
                  </w: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鑫</w:t>
                  </w:r>
                  <w:proofErr w:type="gramEnd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富越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张勇</w:t>
                  </w:r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东吴基金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王立立</w:t>
                  </w:r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上海榜样投资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吴限峰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上海</w:t>
                  </w: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鼎锋资管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张亚华</w:t>
                  </w:r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上海九岭投资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王博栋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金</w:t>
                  </w: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鼎资本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李云龙</w:t>
                  </w:r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德邦基金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黎莹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上海尚雅投资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成佩利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浙商资管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胡丽梅</w:t>
                  </w:r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泰信基金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徐慕</w:t>
                  </w:r>
                  <w:proofErr w:type="gramStart"/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浩</w:t>
                  </w:r>
                  <w:proofErr w:type="gramEnd"/>
                </w:p>
              </w:tc>
            </w:tr>
            <w:tr w:rsidR="00DF0997" w:rsidRPr="00DF0997" w:rsidTr="00DF0997">
              <w:trPr>
                <w:trHeight w:val="41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丽珠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997" w:rsidRPr="00DF0997" w:rsidRDefault="00DF0997" w:rsidP="00DF099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DF0997">
                    <w:rPr>
                      <w:rFonts w:ascii="宋体" w:eastAsia="宋体" w:hAnsi="宋体" w:cs="宋体" w:hint="eastAsia"/>
                      <w:color w:val="000000"/>
                    </w:rPr>
                    <w:t>薛炯</w:t>
                  </w:r>
                </w:p>
              </w:tc>
            </w:tr>
          </w:tbl>
          <w:p w:rsidR="00B121B3" w:rsidRDefault="00B121B3" w:rsidP="00DD2B03">
            <w:pPr>
              <w:jc w:val="both"/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</w:p>
        </w:tc>
      </w:tr>
      <w:tr w:rsidR="00476194" w:rsidTr="00476194">
        <w:trPr>
          <w:trHeight w:val="7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94" w:rsidRDefault="00476194">
            <w:pPr>
              <w:spacing w:line="480" w:lineRule="atLeast"/>
              <w:jc w:val="both"/>
              <w:rPr>
                <w:rFonts w:ascii="宋体" w:eastAsia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iCs/>
                <w:sz w:val="24"/>
                <w:szCs w:val="24"/>
              </w:rPr>
              <w:lastRenderedPageBreak/>
              <w:t>时间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94" w:rsidRPr="003C4F29" w:rsidRDefault="00D1600E" w:rsidP="008E0662">
            <w:pPr>
              <w:spacing w:line="480" w:lineRule="atLeast"/>
              <w:jc w:val="both"/>
              <w:rPr>
                <w:rFonts w:ascii="Times New Roman" w:eastAsia="黑体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9</w:t>
            </w:r>
            <w:r w:rsidR="00476194" w:rsidRPr="003C4F29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4</w:t>
            </w:r>
            <w:r w:rsidR="00476194" w:rsidRPr="003C4F29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18</w:t>
            </w:r>
            <w:r w:rsidR="00476194" w:rsidRPr="003C4F29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日</w:t>
            </w:r>
          </w:p>
        </w:tc>
      </w:tr>
      <w:tr w:rsidR="00476194" w:rsidTr="00476194">
        <w:trPr>
          <w:trHeight w:val="7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94" w:rsidRDefault="00476194">
            <w:pPr>
              <w:spacing w:line="480" w:lineRule="atLeast"/>
              <w:jc w:val="both"/>
              <w:rPr>
                <w:rFonts w:ascii="宋体" w:eastAsia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94" w:rsidRDefault="00D1600E">
            <w:pPr>
              <w:spacing w:line="480" w:lineRule="atLeast"/>
              <w:jc w:val="both"/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上海浦东香格里拉大酒店</w:t>
            </w:r>
          </w:p>
        </w:tc>
      </w:tr>
      <w:tr w:rsidR="00476194" w:rsidTr="00476194">
        <w:trPr>
          <w:trHeight w:val="7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94" w:rsidRDefault="00476194">
            <w:pPr>
              <w:spacing w:line="480" w:lineRule="atLeast"/>
              <w:jc w:val="both"/>
              <w:rPr>
                <w:rFonts w:ascii="宋体" w:eastAsia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63" w:rsidRDefault="00091D3B" w:rsidP="00FB7463">
            <w:pPr>
              <w:spacing w:line="480" w:lineRule="atLeast"/>
              <w:jc w:val="both"/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董事长兼总经理董凡先生</w:t>
            </w:r>
          </w:p>
          <w:p w:rsidR="00D1600E" w:rsidRDefault="00D1600E" w:rsidP="00FB7463">
            <w:pPr>
              <w:spacing w:line="480" w:lineRule="atLeast"/>
              <w:jc w:val="both"/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董事兼副总经理唐先敏女士</w:t>
            </w:r>
          </w:p>
          <w:p w:rsidR="00FE1588" w:rsidRDefault="00476194" w:rsidP="00FB7463">
            <w:pPr>
              <w:spacing w:line="480" w:lineRule="atLeast"/>
              <w:jc w:val="both"/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董事会秘书张明渊先生</w:t>
            </w:r>
          </w:p>
          <w:p w:rsidR="00D1600E" w:rsidRDefault="00D1600E" w:rsidP="00FB7463">
            <w:pPr>
              <w:spacing w:line="480" w:lineRule="atLeast"/>
              <w:jc w:val="both"/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财务中心总监何小莲先生</w:t>
            </w:r>
          </w:p>
        </w:tc>
      </w:tr>
      <w:tr w:rsidR="00476194" w:rsidTr="00476194">
        <w:trPr>
          <w:trHeight w:val="17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94" w:rsidRDefault="00476194">
            <w:pPr>
              <w:spacing w:line="480" w:lineRule="atLeast"/>
              <w:jc w:val="both"/>
              <w:rPr>
                <w:rFonts w:ascii="宋体" w:eastAsia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iCs/>
                <w:sz w:val="24"/>
                <w:szCs w:val="24"/>
              </w:rPr>
              <w:lastRenderedPageBreak/>
              <w:t>投资者关系活动主要内容介绍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5A" w:rsidRDefault="00476194" w:rsidP="006E2C5A">
            <w:pPr>
              <w:spacing w:line="480" w:lineRule="atLeast"/>
              <w:ind w:firstLineChars="200" w:firstLine="482"/>
              <w:jc w:val="both"/>
              <w:rPr>
                <w:rFonts w:ascii="宋体" w:eastAsia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iCs/>
                <w:sz w:val="24"/>
                <w:szCs w:val="24"/>
              </w:rPr>
              <w:t>一、</w:t>
            </w:r>
            <w:r w:rsidR="006E2C5A">
              <w:rPr>
                <w:rFonts w:ascii="宋体" w:eastAsia="宋体" w:hAnsi="宋体" w:hint="eastAsia"/>
                <w:b/>
                <w:bCs/>
                <w:iCs/>
                <w:sz w:val="24"/>
                <w:szCs w:val="24"/>
              </w:rPr>
              <w:t>公司基本情况介绍</w:t>
            </w:r>
          </w:p>
          <w:p w:rsidR="006E2C5A" w:rsidRDefault="006E2C5A" w:rsidP="006E2C5A">
            <w:pPr>
              <w:spacing w:line="480" w:lineRule="atLeast"/>
              <w:ind w:firstLineChars="200" w:firstLine="480"/>
              <w:jc w:val="both"/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公司是具有创新技术的血液净化产品提供商，主要从事血液灌流相关产品的研发、生产与销售，自主研发的一次性使用血液灌流器、一次性使用血浆胆红素吸附器、DNA免疫吸附柱及血液净化设备等产品广泛应用于尿毒症、中毒、重型肝病、自身免疫性疾病、多器官功能衰竭、ICU等领域的治疗，可有效挽救患者生命或提高病患者生活质量。</w:t>
            </w:r>
          </w:p>
          <w:p w:rsidR="00B94DAE" w:rsidRDefault="000014E5" w:rsidP="00A34362">
            <w:pPr>
              <w:spacing w:line="480" w:lineRule="atLeast"/>
              <w:ind w:firstLineChars="200" w:firstLine="480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公司拥有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700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多人的专业营销团队覆盖全国各省超过</w:t>
            </w:r>
            <w:r w:rsidR="00E76637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4000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家大中型医院。公司掌握树脂灌流器生产的全部核心技术，曾获得国家科技进步二等奖，目前承担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多项科研项目</w:t>
            </w:r>
            <w:r w:rsidR="002976DE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。</w:t>
            </w:r>
            <w:r w:rsidR="00E61C9F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公司秉持“敢创新、真务实、永进取、乐共赢”的企业文化，上市后多次实施股权激励计划，将公司利益和核心团队个人利益相结合，使各方共同关注公司的长远发展。</w:t>
            </w:r>
          </w:p>
          <w:p w:rsidR="006E2C5A" w:rsidRDefault="006E2C5A" w:rsidP="006E2C5A">
            <w:pPr>
              <w:spacing w:line="480" w:lineRule="atLeast"/>
              <w:ind w:firstLineChars="200" w:firstLine="480"/>
              <w:jc w:val="both"/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公司</w:t>
            </w:r>
            <w:r w:rsidR="00A34362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未来</w:t>
            </w:r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将立足血液净化领域，精耕国内血液净化市场，</w:t>
            </w:r>
            <w:r w:rsidR="00B94DAE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拓展重症肝病、心外科手术等新增长点市场发展，</w:t>
            </w:r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推动HA130产品疗程化使用，</w:t>
            </w:r>
            <w:r w:rsidR="00B94DAE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快速扩张</w:t>
            </w:r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海外市场；同时借助资本市场，寻找优质并购标的，以扩充产品线、增强技术实力，同时借助相互保险平台力量，布局医疗健康产业，打造具有</w:t>
            </w:r>
            <w:proofErr w:type="gramStart"/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健帆特色</w:t>
            </w:r>
            <w:proofErr w:type="gramEnd"/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的多位一体的血液净化</w:t>
            </w:r>
            <w:proofErr w:type="gramStart"/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全价值</w:t>
            </w:r>
            <w:proofErr w:type="gramEnd"/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链，实现集团化、品牌化、多元化发展，成为世界一流的高科技医疗技术企业集团。</w:t>
            </w:r>
          </w:p>
          <w:p w:rsidR="00091D3B" w:rsidRDefault="00476194">
            <w:pPr>
              <w:spacing w:line="480" w:lineRule="atLeast"/>
              <w:ind w:firstLineChars="200" w:firstLine="482"/>
              <w:jc w:val="both"/>
              <w:rPr>
                <w:rFonts w:ascii="宋体" w:eastAsia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iCs/>
                <w:sz w:val="24"/>
                <w:szCs w:val="24"/>
              </w:rPr>
              <w:t>二、</w:t>
            </w:r>
            <w:r w:rsidR="00091D3B">
              <w:rPr>
                <w:rFonts w:ascii="宋体" w:eastAsia="宋体" w:hAnsi="宋体" w:hint="eastAsia"/>
                <w:b/>
                <w:bCs/>
                <w:iCs/>
                <w:sz w:val="24"/>
                <w:szCs w:val="24"/>
              </w:rPr>
              <w:t>、互动交流</w:t>
            </w:r>
          </w:p>
          <w:p w:rsidR="00F10AF6" w:rsidRPr="00F10AF6" w:rsidRDefault="00F01419" w:rsidP="00F10AF6">
            <w:pPr>
              <w:spacing w:line="480" w:lineRule="atLeast"/>
              <w:ind w:firstLineChars="200" w:firstLine="482"/>
              <w:jc w:val="both"/>
              <w:rPr>
                <w:rFonts w:ascii="宋体" w:eastAsia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iCs/>
                <w:sz w:val="24"/>
                <w:szCs w:val="24"/>
              </w:rPr>
              <w:t>问题</w:t>
            </w:r>
            <w:r w:rsidR="00F10AF6" w:rsidRPr="00F10AF6">
              <w:rPr>
                <w:rFonts w:ascii="宋体" w:eastAsia="宋体" w:hAnsi="宋体" w:hint="eastAsia"/>
                <w:b/>
                <w:bCs/>
                <w:iCs/>
                <w:sz w:val="24"/>
                <w:szCs w:val="24"/>
              </w:rPr>
              <w:t>：</w:t>
            </w:r>
            <w:r w:rsidR="00082298">
              <w:rPr>
                <w:rFonts w:ascii="宋体" w:eastAsia="宋体" w:hAnsi="宋体" w:hint="eastAsia"/>
                <w:b/>
                <w:bCs/>
                <w:iCs/>
                <w:sz w:val="24"/>
                <w:szCs w:val="24"/>
              </w:rPr>
              <w:t>请问公司产品是什么时候上市的</w:t>
            </w:r>
            <w:r w:rsidR="00F10AF6" w:rsidRPr="00F10AF6">
              <w:rPr>
                <w:rFonts w:ascii="宋体" w:eastAsia="宋体" w:hAnsi="宋体" w:hint="eastAsia"/>
                <w:b/>
                <w:bCs/>
                <w:iCs/>
                <w:sz w:val="24"/>
                <w:szCs w:val="24"/>
              </w:rPr>
              <w:t>？</w:t>
            </w:r>
            <w:r w:rsidR="00082298">
              <w:rPr>
                <w:rFonts w:ascii="宋体" w:eastAsia="宋体" w:hAnsi="宋体" w:hint="eastAsia"/>
                <w:b/>
                <w:bCs/>
                <w:iCs/>
                <w:sz w:val="24"/>
                <w:szCs w:val="24"/>
              </w:rPr>
              <w:t>产品是否有更新迭代？</w:t>
            </w:r>
            <w:proofErr w:type="gramStart"/>
            <w:r w:rsidR="00644798">
              <w:rPr>
                <w:rFonts w:ascii="宋体" w:eastAsia="宋体" w:hAnsi="宋体" w:hint="eastAsia"/>
                <w:b/>
                <w:bCs/>
                <w:iCs/>
                <w:sz w:val="24"/>
                <w:szCs w:val="24"/>
              </w:rPr>
              <w:t>医</w:t>
            </w:r>
            <w:proofErr w:type="gramEnd"/>
            <w:r w:rsidR="00644798">
              <w:rPr>
                <w:rFonts w:ascii="宋体" w:eastAsia="宋体" w:hAnsi="宋体" w:hint="eastAsia"/>
                <w:b/>
                <w:bCs/>
                <w:iCs/>
                <w:sz w:val="24"/>
                <w:szCs w:val="24"/>
              </w:rPr>
              <w:t>保报销是否受到药占比、</w:t>
            </w:r>
            <w:proofErr w:type="gramStart"/>
            <w:r w:rsidR="00644798">
              <w:rPr>
                <w:rFonts w:ascii="宋体" w:eastAsia="宋体" w:hAnsi="宋体" w:hint="eastAsia"/>
                <w:b/>
                <w:bCs/>
                <w:iCs/>
                <w:sz w:val="24"/>
                <w:szCs w:val="24"/>
              </w:rPr>
              <w:t>医</w:t>
            </w:r>
            <w:proofErr w:type="gramEnd"/>
            <w:r w:rsidR="00644798">
              <w:rPr>
                <w:rFonts w:ascii="宋体" w:eastAsia="宋体" w:hAnsi="宋体" w:hint="eastAsia"/>
                <w:b/>
                <w:bCs/>
                <w:iCs/>
                <w:sz w:val="24"/>
                <w:szCs w:val="24"/>
              </w:rPr>
              <w:t>保总量等问题的限制？</w:t>
            </w:r>
          </w:p>
          <w:p w:rsidR="00644798" w:rsidRDefault="00F10AF6" w:rsidP="00621873">
            <w:pPr>
              <w:spacing w:line="480" w:lineRule="atLeast"/>
              <w:ind w:firstLineChars="200" w:firstLine="480"/>
              <w:jc w:val="both"/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  <w:r w:rsidRPr="00F10AF6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答：</w:t>
            </w:r>
            <w:r w:rsidR="00082298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HA</w:t>
            </w:r>
            <w:r w:rsidR="00252F8C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系列</w:t>
            </w:r>
            <w:r w:rsidR="00082298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产品最初于1999年获得试字号</w:t>
            </w:r>
            <w:r w:rsidR="006A279A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批准文号</w:t>
            </w:r>
            <w:r w:rsidR="00082298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作</w:t>
            </w:r>
            <w:r w:rsidR="00082298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lastRenderedPageBreak/>
              <w:t>为科研用途使用，2002年转为准字号正常上市销售，最初用于中毒治疗</w:t>
            </w:r>
            <w:r w:rsidR="00621873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。</w:t>
            </w:r>
            <w:r w:rsidR="00082298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HA系列各个产品上市时间各有不同，肾病方向产品HA130于2004年上市，心外科方面产品HA380</w:t>
            </w:r>
            <w:r w:rsidR="00F01419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于2018</w:t>
            </w:r>
            <w:r w:rsidR="00082298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年上市。</w:t>
            </w:r>
            <w:r w:rsidR="00082298">
              <w:rPr>
                <w:rFonts w:ascii="宋体" w:eastAsia="宋体" w:hAnsi="宋体"/>
                <w:bCs/>
                <w:iCs/>
                <w:sz w:val="24"/>
                <w:szCs w:val="24"/>
              </w:rPr>
              <w:t>公司根据不同临床适应症陆续推出不同型号的产品</w:t>
            </w:r>
            <w:r w:rsidR="00082298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，并且</w:t>
            </w:r>
            <w:r w:rsidR="00644798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不断对产品进行更新迭代。公司的科研投入一方面为新产品研发，一方面为原有产品的改进。</w:t>
            </w:r>
          </w:p>
          <w:p w:rsidR="00F10AF6" w:rsidRDefault="00644798" w:rsidP="008B2E4D">
            <w:pPr>
              <w:spacing w:line="480" w:lineRule="atLeast"/>
              <w:ind w:firstLineChars="200" w:firstLine="480"/>
              <w:jc w:val="both"/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产品进入</w:t>
            </w:r>
            <w:proofErr w:type="gramStart"/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医</w:t>
            </w:r>
            <w:proofErr w:type="gramEnd"/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保报销体系后，还受到</w:t>
            </w:r>
            <w:r w:rsidR="001D5528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各地甚至各个医院的</w:t>
            </w:r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具体规定的影响，</w:t>
            </w:r>
            <w:r w:rsidR="001D5528">
              <w:rPr>
                <w:rFonts w:ascii="宋体" w:eastAsia="宋体" w:hAnsi="宋体"/>
                <w:bCs/>
                <w:iCs/>
                <w:sz w:val="24"/>
                <w:szCs w:val="24"/>
              </w:rPr>
              <w:t>但并没有</w:t>
            </w:r>
            <w:r w:rsidR="00F01419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对</w:t>
            </w:r>
            <w:r w:rsidR="001D5528">
              <w:rPr>
                <w:rFonts w:ascii="宋体" w:eastAsia="宋体" w:hAnsi="宋体"/>
                <w:bCs/>
                <w:iCs/>
                <w:sz w:val="24"/>
                <w:szCs w:val="24"/>
              </w:rPr>
              <w:t>公司的发展</w:t>
            </w:r>
            <w:r w:rsidR="00F01419">
              <w:rPr>
                <w:rFonts w:ascii="宋体" w:eastAsia="宋体" w:hAnsi="宋体"/>
                <w:bCs/>
                <w:iCs/>
                <w:sz w:val="24"/>
                <w:szCs w:val="24"/>
              </w:rPr>
              <w:t>产生重大影响</w:t>
            </w:r>
            <w:r w:rsidR="001D5528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。</w:t>
            </w:r>
            <w:r w:rsidR="001D5528">
              <w:rPr>
                <w:rFonts w:ascii="宋体" w:eastAsia="宋体" w:hAnsi="宋体"/>
                <w:bCs/>
                <w:iCs/>
                <w:sz w:val="24"/>
                <w:szCs w:val="24"/>
              </w:rPr>
              <w:t>公司产品属于新兴技术</w:t>
            </w:r>
            <w:r w:rsidR="001D5528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，</w:t>
            </w:r>
            <w:r w:rsidR="001D5528">
              <w:rPr>
                <w:rFonts w:ascii="宋体" w:eastAsia="宋体" w:hAnsi="宋体"/>
                <w:bCs/>
                <w:iCs/>
                <w:sz w:val="24"/>
                <w:szCs w:val="24"/>
              </w:rPr>
              <w:t>目前公司的主要精力放在普及推广新技术</w:t>
            </w:r>
            <w:r w:rsidR="001D5528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，</w:t>
            </w:r>
            <w:r w:rsidR="001D5528">
              <w:rPr>
                <w:rFonts w:ascii="宋体" w:eastAsia="宋体" w:hAnsi="宋体"/>
                <w:bCs/>
                <w:iCs/>
                <w:sz w:val="24"/>
                <w:szCs w:val="24"/>
              </w:rPr>
              <w:t>改变医生患者的认知</w:t>
            </w:r>
            <w:r w:rsidR="006A279A">
              <w:rPr>
                <w:rFonts w:ascii="宋体" w:eastAsia="宋体" w:hAnsi="宋体"/>
                <w:bCs/>
                <w:iCs/>
                <w:sz w:val="24"/>
                <w:szCs w:val="24"/>
              </w:rPr>
              <w:t>上</w:t>
            </w:r>
            <w:r w:rsidR="006A279A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，</w:t>
            </w:r>
            <w:r w:rsidR="006A279A">
              <w:rPr>
                <w:rFonts w:ascii="宋体" w:eastAsia="宋体" w:hAnsi="宋体"/>
                <w:bCs/>
                <w:iCs/>
                <w:sz w:val="24"/>
                <w:szCs w:val="24"/>
              </w:rPr>
              <w:t>并没有花太多精力在</w:t>
            </w:r>
            <w:proofErr w:type="gramStart"/>
            <w:r w:rsidR="006A279A">
              <w:rPr>
                <w:rFonts w:ascii="宋体" w:eastAsia="宋体" w:hAnsi="宋体"/>
                <w:bCs/>
                <w:iCs/>
                <w:sz w:val="24"/>
                <w:szCs w:val="24"/>
              </w:rPr>
              <w:t>医</w:t>
            </w:r>
            <w:proofErr w:type="gramEnd"/>
            <w:r w:rsidR="006A279A">
              <w:rPr>
                <w:rFonts w:ascii="宋体" w:eastAsia="宋体" w:hAnsi="宋体"/>
                <w:bCs/>
                <w:iCs/>
                <w:sz w:val="24"/>
                <w:szCs w:val="24"/>
              </w:rPr>
              <w:t>保方面</w:t>
            </w:r>
            <w:r w:rsidR="001D5528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。</w:t>
            </w:r>
            <w:r w:rsidR="008B2E4D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目前的</w:t>
            </w:r>
            <w:r w:rsidR="00F01419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部分地区的</w:t>
            </w:r>
            <w:proofErr w:type="gramStart"/>
            <w:r w:rsidR="008B2E4D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医</w:t>
            </w:r>
            <w:proofErr w:type="gramEnd"/>
            <w:r w:rsidR="008B2E4D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保费用</w:t>
            </w:r>
            <w:r w:rsidR="00F01419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还没有让尿毒症患者得到</w:t>
            </w:r>
            <w:r w:rsidR="008B2E4D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充分治疗</w:t>
            </w:r>
            <w:r w:rsidR="00F01419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F10AF6" w:rsidRPr="00F10AF6" w:rsidRDefault="00F10AF6" w:rsidP="00F10AF6">
            <w:pPr>
              <w:spacing w:line="480" w:lineRule="atLeast"/>
              <w:ind w:firstLineChars="200" w:firstLine="482"/>
              <w:jc w:val="both"/>
              <w:rPr>
                <w:rFonts w:ascii="宋体" w:eastAsia="宋体" w:hAnsi="宋体"/>
                <w:b/>
                <w:bCs/>
                <w:iCs/>
                <w:sz w:val="24"/>
                <w:szCs w:val="24"/>
              </w:rPr>
            </w:pPr>
            <w:r w:rsidRPr="00F10AF6">
              <w:rPr>
                <w:rFonts w:ascii="宋体" w:eastAsia="宋体" w:hAnsi="宋体" w:hint="eastAsia"/>
                <w:b/>
                <w:bCs/>
                <w:iCs/>
                <w:sz w:val="24"/>
                <w:szCs w:val="24"/>
              </w:rPr>
              <w:t>问题：</w:t>
            </w:r>
            <w:r w:rsidR="007B1D63">
              <w:rPr>
                <w:rFonts w:ascii="宋体" w:eastAsia="宋体" w:hAnsi="宋体" w:hint="eastAsia"/>
                <w:b/>
                <w:bCs/>
                <w:iCs/>
                <w:sz w:val="24"/>
                <w:szCs w:val="24"/>
              </w:rPr>
              <w:t>公司怎么看待商业保险</w:t>
            </w:r>
            <w:r w:rsidRPr="00F10AF6">
              <w:rPr>
                <w:rFonts w:ascii="宋体" w:eastAsia="宋体" w:hAnsi="宋体" w:hint="eastAsia"/>
                <w:b/>
                <w:bCs/>
                <w:iCs/>
                <w:sz w:val="24"/>
                <w:szCs w:val="24"/>
              </w:rPr>
              <w:t>？</w:t>
            </w:r>
            <w:r w:rsidR="007B1D63">
              <w:rPr>
                <w:rFonts w:ascii="宋体" w:eastAsia="宋体" w:hAnsi="宋体" w:hint="eastAsia"/>
                <w:b/>
                <w:bCs/>
                <w:iCs/>
                <w:sz w:val="24"/>
                <w:szCs w:val="24"/>
              </w:rPr>
              <w:t>公司的保险产品在患者当中的接受度如何？</w:t>
            </w:r>
          </w:p>
          <w:p w:rsidR="007B1D63" w:rsidRDefault="00F10AF6" w:rsidP="00F10AF6">
            <w:pPr>
              <w:spacing w:line="480" w:lineRule="atLeast"/>
              <w:ind w:firstLineChars="200" w:firstLine="480"/>
              <w:jc w:val="both"/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  <w:r w:rsidRPr="00F10AF6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答：</w:t>
            </w:r>
            <w:r w:rsidR="007B1D63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商业保险在中国有很广阔的发展前景。商业保险和社保结合才能最好保护患者的利益。公司介入商业保险将不只局限于肾病领域，还将陆续推广到其他公司熟悉的领域，比如肝病和风湿免疫疾病</w:t>
            </w:r>
            <w:r w:rsidR="00831025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。</w:t>
            </w:r>
            <w:r w:rsidR="00252F8C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公司独家代理</w:t>
            </w:r>
            <w:proofErr w:type="gramStart"/>
            <w:r w:rsidR="00252F8C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众惠保险</w:t>
            </w:r>
            <w:proofErr w:type="gramEnd"/>
            <w:r w:rsidR="00831025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推出的</w:t>
            </w:r>
            <w:r w:rsidR="00252F8C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爱多多肾病保险计划</w:t>
            </w:r>
            <w:r w:rsidR="00831025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已完成了银保监会备案并开始</w:t>
            </w:r>
            <w:r w:rsidR="00252F8C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试销。该保险产品</w:t>
            </w:r>
            <w:r w:rsidR="00831025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在病人当中非常受欢迎</w:t>
            </w:r>
            <w:r w:rsidR="001D5EB6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，</w:t>
            </w:r>
            <w:r w:rsidR="006A279A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保费一年3000多元，</w:t>
            </w:r>
            <w:r w:rsidR="00252F8C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被保险人</w:t>
            </w:r>
            <w:r w:rsidR="006A279A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一旦发展为尿毒症，将获得</w:t>
            </w:r>
            <w:r w:rsidR="00822B96" w:rsidRPr="00822B96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50万医疗费用赔付</w:t>
            </w:r>
            <w:r w:rsidR="001D5EB6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，为</w:t>
            </w:r>
            <w:r w:rsidR="00252F8C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其</w:t>
            </w:r>
            <w:r w:rsidR="001D5EB6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提供</w:t>
            </w:r>
            <w:r w:rsidR="00252F8C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了</w:t>
            </w:r>
            <w:r w:rsidR="001D5EB6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有力的</w:t>
            </w:r>
            <w:r w:rsidR="00F01419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治疗</w:t>
            </w:r>
            <w:r w:rsidR="001D5EB6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保障</w:t>
            </w:r>
            <w:r w:rsidR="006A279A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。</w:t>
            </w:r>
            <w:r w:rsidR="00831025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公司</w:t>
            </w:r>
            <w:r w:rsidR="00F01419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还将</w:t>
            </w:r>
            <w:r w:rsidR="00831025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会根据市场调研和试销的结果对</w:t>
            </w:r>
            <w:r w:rsidR="00F01419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保险</w:t>
            </w:r>
            <w:r w:rsidR="00831025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产品</w:t>
            </w:r>
            <w:r w:rsidR="009C2DA9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提出建议，由</w:t>
            </w:r>
            <w:proofErr w:type="gramStart"/>
            <w:r w:rsidR="009C2DA9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众惠保险</w:t>
            </w:r>
            <w:proofErr w:type="gramEnd"/>
            <w:r w:rsidR="00831025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不断地完善</w:t>
            </w:r>
            <w:r w:rsidR="009C2DA9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保险产品</w:t>
            </w:r>
            <w:r w:rsidR="00831025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，直到打造出一款精品</w:t>
            </w:r>
            <w:r w:rsidR="00F01419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保险产品。中国有几</w:t>
            </w:r>
            <w:r w:rsidR="00831025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千万</w:t>
            </w:r>
            <w:r w:rsidR="00F01419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或上亿</w:t>
            </w:r>
            <w:r w:rsidR="00831025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的肾病</w:t>
            </w:r>
            <w:r w:rsidR="00F01419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患者</w:t>
            </w:r>
            <w:r w:rsidR="00831025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，产品市场前景非常广阔。同时公司会</w:t>
            </w:r>
            <w:proofErr w:type="gramStart"/>
            <w:r w:rsidR="009C2DA9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依托爱多多</w:t>
            </w:r>
            <w:proofErr w:type="gramEnd"/>
            <w:r w:rsidR="009C2DA9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健康管理（广东横琴）有限公司</w:t>
            </w:r>
            <w:r w:rsidR="00831025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打造一个慢病管理的健康管理公司及互联网平台，投保的病人自动成为慢病管理会员</w:t>
            </w:r>
            <w:r w:rsidR="002E1D8C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，</w:t>
            </w:r>
            <w:r w:rsidR="002E1D8C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lastRenderedPageBreak/>
              <w:t>进入互联网社区，健康管理公司帮助病人共同抵御尿毒症</w:t>
            </w:r>
            <w:r w:rsidR="009C2DA9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或其他疾病</w:t>
            </w:r>
            <w:r w:rsidR="002E1D8C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112389" w:rsidRPr="00112389" w:rsidRDefault="00112389" w:rsidP="00112389">
            <w:pPr>
              <w:spacing w:line="480" w:lineRule="atLeast"/>
              <w:ind w:firstLineChars="200" w:firstLine="480"/>
              <w:jc w:val="both"/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</w:p>
          <w:p w:rsidR="00E966C3" w:rsidRPr="005616FB" w:rsidRDefault="00E966C3" w:rsidP="00012233">
            <w:pPr>
              <w:spacing w:line="480" w:lineRule="atLeast"/>
              <w:ind w:firstLineChars="200" w:firstLine="480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  <w:r w:rsidRPr="003C7665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接待过程中，公司相关领导与投资者进行了充分的交流与沟通，严格按照《信息披露管理制度》等规定，保证信息披露的真实、准确、完整、及时、公平，未出现未公开重大信息泄露等情况；同时已按深交所要求签署调研《承诺书》。</w:t>
            </w:r>
          </w:p>
        </w:tc>
      </w:tr>
      <w:tr w:rsidR="00476194" w:rsidTr="00476194">
        <w:trPr>
          <w:trHeight w:val="7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94" w:rsidRDefault="00476194">
            <w:pPr>
              <w:spacing w:line="480" w:lineRule="atLeast"/>
              <w:jc w:val="both"/>
              <w:rPr>
                <w:rFonts w:ascii="宋体" w:eastAsia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94" w:rsidRDefault="00476194">
            <w:pPr>
              <w:spacing w:line="480" w:lineRule="atLeast"/>
              <w:jc w:val="both"/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476194" w:rsidTr="00476194">
        <w:trPr>
          <w:trHeight w:val="7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94" w:rsidRDefault="00476194">
            <w:pPr>
              <w:spacing w:line="480" w:lineRule="atLeast"/>
              <w:jc w:val="both"/>
              <w:rPr>
                <w:rFonts w:ascii="宋体" w:eastAsia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94" w:rsidRDefault="002E1D8C" w:rsidP="00B30DBF">
            <w:pPr>
              <w:spacing w:line="480" w:lineRule="atLeast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9</w:t>
            </w:r>
            <w:r w:rsidR="0047619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4</w:t>
            </w:r>
            <w:r w:rsidR="0047619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月</w:t>
            </w:r>
            <w:r w:rsidR="00B30DBF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22</w:t>
            </w:r>
            <w:r w:rsidR="0047619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476194" w:rsidRDefault="00476194" w:rsidP="00476194">
      <w:pPr>
        <w:spacing w:line="220" w:lineRule="atLeast"/>
      </w:pPr>
    </w:p>
    <w:p w:rsidR="00DD5D03" w:rsidRDefault="00DD5D03"/>
    <w:sectPr w:rsidR="00DD5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228" w:rsidRDefault="00841228" w:rsidP="00476194">
      <w:pPr>
        <w:spacing w:after="0"/>
      </w:pPr>
      <w:r>
        <w:separator/>
      </w:r>
    </w:p>
  </w:endnote>
  <w:endnote w:type="continuationSeparator" w:id="0">
    <w:p w:rsidR="00841228" w:rsidRDefault="00841228" w:rsidP="004761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228" w:rsidRDefault="00841228" w:rsidP="00476194">
      <w:pPr>
        <w:spacing w:after="0"/>
      </w:pPr>
      <w:r>
        <w:separator/>
      </w:r>
    </w:p>
  </w:footnote>
  <w:footnote w:type="continuationSeparator" w:id="0">
    <w:p w:rsidR="00841228" w:rsidRDefault="00841228" w:rsidP="0047619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39"/>
    <w:rsid w:val="000014E5"/>
    <w:rsid w:val="0000722A"/>
    <w:rsid w:val="00012233"/>
    <w:rsid w:val="00027DA0"/>
    <w:rsid w:val="00050639"/>
    <w:rsid w:val="0005267A"/>
    <w:rsid w:val="00063FFD"/>
    <w:rsid w:val="0007120D"/>
    <w:rsid w:val="000719E7"/>
    <w:rsid w:val="00082298"/>
    <w:rsid w:val="0008391F"/>
    <w:rsid w:val="00091D3B"/>
    <w:rsid w:val="000B3D6E"/>
    <w:rsid w:val="000D3C47"/>
    <w:rsid w:val="000D6E80"/>
    <w:rsid w:val="00101E86"/>
    <w:rsid w:val="00110686"/>
    <w:rsid w:val="00112389"/>
    <w:rsid w:val="001267F6"/>
    <w:rsid w:val="00152184"/>
    <w:rsid w:val="00162E68"/>
    <w:rsid w:val="00166662"/>
    <w:rsid w:val="00173D82"/>
    <w:rsid w:val="00193258"/>
    <w:rsid w:val="001B2B97"/>
    <w:rsid w:val="001C4F55"/>
    <w:rsid w:val="001C7CB6"/>
    <w:rsid w:val="001D07C3"/>
    <w:rsid w:val="001D0A5A"/>
    <w:rsid w:val="001D5528"/>
    <w:rsid w:val="001D5EB6"/>
    <w:rsid w:val="001E18FD"/>
    <w:rsid w:val="001E520A"/>
    <w:rsid w:val="001F4CEC"/>
    <w:rsid w:val="00205C8D"/>
    <w:rsid w:val="00223024"/>
    <w:rsid w:val="00226CBD"/>
    <w:rsid w:val="00234AF6"/>
    <w:rsid w:val="00236A91"/>
    <w:rsid w:val="00244D1E"/>
    <w:rsid w:val="00246727"/>
    <w:rsid w:val="00246EE7"/>
    <w:rsid w:val="00252F8C"/>
    <w:rsid w:val="00261784"/>
    <w:rsid w:val="00262DCB"/>
    <w:rsid w:val="0027676D"/>
    <w:rsid w:val="00283FD6"/>
    <w:rsid w:val="002863ED"/>
    <w:rsid w:val="0029245A"/>
    <w:rsid w:val="002970A1"/>
    <w:rsid w:val="002976DE"/>
    <w:rsid w:val="002C0E86"/>
    <w:rsid w:val="002D21DF"/>
    <w:rsid w:val="002E1D8C"/>
    <w:rsid w:val="00303C75"/>
    <w:rsid w:val="00304215"/>
    <w:rsid w:val="003061C6"/>
    <w:rsid w:val="003064A3"/>
    <w:rsid w:val="0032200A"/>
    <w:rsid w:val="00350B66"/>
    <w:rsid w:val="00372139"/>
    <w:rsid w:val="003824BD"/>
    <w:rsid w:val="00390ABE"/>
    <w:rsid w:val="003A0854"/>
    <w:rsid w:val="003B0E47"/>
    <w:rsid w:val="003B2975"/>
    <w:rsid w:val="003C4F29"/>
    <w:rsid w:val="003C77A0"/>
    <w:rsid w:val="003D157C"/>
    <w:rsid w:val="003D1A61"/>
    <w:rsid w:val="003F2EC4"/>
    <w:rsid w:val="00406BE1"/>
    <w:rsid w:val="0042748D"/>
    <w:rsid w:val="00431F57"/>
    <w:rsid w:val="00432AA7"/>
    <w:rsid w:val="00437CCA"/>
    <w:rsid w:val="00445145"/>
    <w:rsid w:val="00445405"/>
    <w:rsid w:val="00460A00"/>
    <w:rsid w:val="004635A8"/>
    <w:rsid w:val="00476194"/>
    <w:rsid w:val="00491474"/>
    <w:rsid w:val="004923C2"/>
    <w:rsid w:val="004A2A9C"/>
    <w:rsid w:val="004C039F"/>
    <w:rsid w:val="004C299E"/>
    <w:rsid w:val="004C5C2F"/>
    <w:rsid w:val="004D023C"/>
    <w:rsid w:val="004D081E"/>
    <w:rsid w:val="004D3AAD"/>
    <w:rsid w:val="004D68F7"/>
    <w:rsid w:val="004E2161"/>
    <w:rsid w:val="004E67B1"/>
    <w:rsid w:val="004E7117"/>
    <w:rsid w:val="004F2F7B"/>
    <w:rsid w:val="004F698F"/>
    <w:rsid w:val="00503500"/>
    <w:rsid w:val="00507A4D"/>
    <w:rsid w:val="005266DA"/>
    <w:rsid w:val="005310DE"/>
    <w:rsid w:val="00541DE5"/>
    <w:rsid w:val="005535C3"/>
    <w:rsid w:val="005616FB"/>
    <w:rsid w:val="00567733"/>
    <w:rsid w:val="0057769A"/>
    <w:rsid w:val="005961C5"/>
    <w:rsid w:val="005D176D"/>
    <w:rsid w:val="005F06CE"/>
    <w:rsid w:val="005F558F"/>
    <w:rsid w:val="005F5EF2"/>
    <w:rsid w:val="00620F6E"/>
    <w:rsid w:val="00621873"/>
    <w:rsid w:val="00622446"/>
    <w:rsid w:val="0063158B"/>
    <w:rsid w:val="00635BC4"/>
    <w:rsid w:val="006428BE"/>
    <w:rsid w:val="00644798"/>
    <w:rsid w:val="006466AE"/>
    <w:rsid w:val="00662809"/>
    <w:rsid w:val="006651D7"/>
    <w:rsid w:val="00675703"/>
    <w:rsid w:val="006779FE"/>
    <w:rsid w:val="006A279A"/>
    <w:rsid w:val="006A52EA"/>
    <w:rsid w:val="006B03F8"/>
    <w:rsid w:val="006B4C0C"/>
    <w:rsid w:val="006C7F3D"/>
    <w:rsid w:val="006E2C5A"/>
    <w:rsid w:val="006E30AA"/>
    <w:rsid w:val="006E66E8"/>
    <w:rsid w:val="0072579E"/>
    <w:rsid w:val="00726962"/>
    <w:rsid w:val="00734B4A"/>
    <w:rsid w:val="007416D4"/>
    <w:rsid w:val="007521B5"/>
    <w:rsid w:val="00755C18"/>
    <w:rsid w:val="00757F84"/>
    <w:rsid w:val="00773618"/>
    <w:rsid w:val="00794161"/>
    <w:rsid w:val="00796E67"/>
    <w:rsid w:val="007B1D63"/>
    <w:rsid w:val="007D14A6"/>
    <w:rsid w:val="007E198C"/>
    <w:rsid w:val="007F2180"/>
    <w:rsid w:val="007F3EDF"/>
    <w:rsid w:val="00812B57"/>
    <w:rsid w:val="00822B96"/>
    <w:rsid w:val="00825DF3"/>
    <w:rsid w:val="00831025"/>
    <w:rsid w:val="00841228"/>
    <w:rsid w:val="008923A6"/>
    <w:rsid w:val="008B2E4D"/>
    <w:rsid w:val="008B400C"/>
    <w:rsid w:val="008C6CB3"/>
    <w:rsid w:val="008D4E19"/>
    <w:rsid w:val="008E0662"/>
    <w:rsid w:val="00933E96"/>
    <w:rsid w:val="00976D2A"/>
    <w:rsid w:val="00984D6C"/>
    <w:rsid w:val="00992217"/>
    <w:rsid w:val="009B6205"/>
    <w:rsid w:val="009C2DA9"/>
    <w:rsid w:val="009C61B5"/>
    <w:rsid w:val="009D1AFB"/>
    <w:rsid w:val="009D51FF"/>
    <w:rsid w:val="009F1F42"/>
    <w:rsid w:val="009F33D5"/>
    <w:rsid w:val="00A0680C"/>
    <w:rsid w:val="00A1720A"/>
    <w:rsid w:val="00A34362"/>
    <w:rsid w:val="00A36586"/>
    <w:rsid w:val="00A40355"/>
    <w:rsid w:val="00A66BC1"/>
    <w:rsid w:val="00A71DCA"/>
    <w:rsid w:val="00A91952"/>
    <w:rsid w:val="00A96C45"/>
    <w:rsid w:val="00AA7C7A"/>
    <w:rsid w:val="00AB0560"/>
    <w:rsid w:val="00AC33D4"/>
    <w:rsid w:val="00AD1A0A"/>
    <w:rsid w:val="00AD6D60"/>
    <w:rsid w:val="00B121B3"/>
    <w:rsid w:val="00B16CD5"/>
    <w:rsid w:val="00B257BC"/>
    <w:rsid w:val="00B276BA"/>
    <w:rsid w:val="00B30DBF"/>
    <w:rsid w:val="00B35D30"/>
    <w:rsid w:val="00B36611"/>
    <w:rsid w:val="00B52793"/>
    <w:rsid w:val="00B542C6"/>
    <w:rsid w:val="00B5652D"/>
    <w:rsid w:val="00B7053E"/>
    <w:rsid w:val="00B740AA"/>
    <w:rsid w:val="00B741E9"/>
    <w:rsid w:val="00B8004B"/>
    <w:rsid w:val="00B94DAE"/>
    <w:rsid w:val="00BC5887"/>
    <w:rsid w:val="00BD5A9A"/>
    <w:rsid w:val="00BF428A"/>
    <w:rsid w:val="00C20B86"/>
    <w:rsid w:val="00C23575"/>
    <w:rsid w:val="00C41A5E"/>
    <w:rsid w:val="00C42620"/>
    <w:rsid w:val="00C45EA1"/>
    <w:rsid w:val="00C61791"/>
    <w:rsid w:val="00C86F5F"/>
    <w:rsid w:val="00CC1B73"/>
    <w:rsid w:val="00CC2B89"/>
    <w:rsid w:val="00CD44BB"/>
    <w:rsid w:val="00CF74F3"/>
    <w:rsid w:val="00D036EE"/>
    <w:rsid w:val="00D1600E"/>
    <w:rsid w:val="00D366CD"/>
    <w:rsid w:val="00D52CDC"/>
    <w:rsid w:val="00D53BE3"/>
    <w:rsid w:val="00D671F3"/>
    <w:rsid w:val="00D85B27"/>
    <w:rsid w:val="00DC0247"/>
    <w:rsid w:val="00DD2B03"/>
    <w:rsid w:val="00DD5D03"/>
    <w:rsid w:val="00DD7E88"/>
    <w:rsid w:val="00DF0997"/>
    <w:rsid w:val="00DF2CA0"/>
    <w:rsid w:val="00E0706E"/>
    <w:rsid w:val="00E16FB1"/>
    <w:rsid w:val="00E178E5"/>
    <w:rsid w:val="00E235AC"/>
    <w:rsid w:val="00E32FD4"/>
    <w:rsid w:val="00E42A90"/>
    <w:rsid w:val="00E4459A"/>
    <w:rsid w:val="00E61C9F"/>
    <w:rsid w:val="00E675AD"/>
    <w:rsid w:val="00E756AD"/>
    <w:rsid w:val="00E76637"/>
    <w:rsid w:val="00E76C45"/>
    <w:rsid w:val="00E84418"/>
    <w:rsid w:val="00E9163E"/>
    <w:rsid w:val="00E91E8E"/>
    <w:rsid w:val="00E966C3"/>
    <w:rsid w:val="00EA7F4B"/>
    <w:rsid w:val="00EE3883"/>
    <w:rsid w:val="00F01419"/>
    <w:rsid w:val="00F10AF6"/>
    <w:rsid w:val="00F11E38"/>
    <w:rsid w:val="00F33B50"/>
    <w:rsid w:val="00F5038A"/>
    <w:rsid w:val="00F80903"/>
    <w:rsid w:val="00F91517"/>
    <w:rsid w:val="00F94C2A"/>
    <w:rsid w:val="00F96D61"/>
    <w:rsid w:val="00FA463A"/>
    <w:rsid w:val="00FA512C"/>
    <w:rsid w:val="00FA55DF"/>
    <w:rsid w:val="00FB1938"/>
    <w:rsid w:val="00FB7463"/>
    <w:rsid w:val="00FC098E"/>
    <w:rsid w:val="00FC29D8"/>
    <w:rsid w:val="00FC589D"/>
    <w:rsid w:val="00FE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C4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19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6194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619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6194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16D4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16D4"/>
    <w:rPr>
      <w:rFonts w:ascii="Tahoma" w:eastAsia="微软雅黑" w:hAnsi="Tahoma" w:cs="Times New Roman"/>
      <w:kern w:val="0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33B5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C4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19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6194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619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6194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16D4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16D4"/>
    <w:rPr>
      <w:rFonts w:ascii="Tahoma" w:eastAsia="微软雅黑" w:hAnsi="Tahoma" w:cs="Times New Roman"/>
      <w:kern w:val="0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33B5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0924A-CCEA-4FEB-A783-9BD884BF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钟小燕</dc:creator>
  <cp:lastModifiedBy>王梦</cp:lastModifiedBy>
  <cp:revision>7</cp:revision>
  <cp:lastPrinted>2018-05-29T06:55:00Z</cp:lastPrinted>
  <dcterms:created xsi:type="dcterms:W3CDTF">2019-04-22T08:39:00Z</dcterms:created>
  <dcterms:modified xsi:type="dcterms:W3CDTF">2019-04-22T09:19:00Z</dcterms:modified>
</cp:coreProperties>
</file>