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034" w:rsidRPr="007C0034" w:rsidRDefault="007C0034" w:rsidP="007C0034">
      <w:pPr>
        <w:widowControl/>
        <w:jc w:val="left"/>
        <w:textAlignment w:val="baseline"/>
        <w:outlineLvl w:val="2"/>
        <w:rPr>
          <w:rFonts w:ascii="Arial" w:eastAsia="宋体" w:hAnsi="Arial" w:cs="Arial"/>
          <w:b/>
          <w:bCs/>
          <w:color w:val="007AC9"/>
          <w:kern w:val="0"/>
          <w:sz w:val="36"/>
          <w:szCs w:val="36"/>
        </w:rPr>
      </w:pPr>
      <w:r w:rsidRPr="007C0034">
        <w:rPr>
          <w:rFonts w:ascii="Arial" w:eastAsia="宋体" w:hAnsi="Arial" w:cs="Arial"/>
          <w:b/>
          <w:bCs/>
          <w:color w:val="007AC9"/>
          <w:kern w:val="0"/>
          <w:sz w:val="36"/>
          <w:szCs w:val="36"/>
        </w:rPr>
        <w:t>Nordson Corporation Reports Third Quarter Fiscal 2025 Results and Updates Full Year Guidance</w:t>
      </w:r>
    </w:p>
    <w:p w:rsidR="007C0034" w:rsidRPr="007C0034" w:rsidRDefault="007C0034" w:rsidP="007C0034">
      <w:pPr>
        <w:widowControl/>
        <w:jc w:val="left"/>
        <w:rPr>
          <w:rFonts w:ascii="Arial" w:eastAsia="宋体" w:hAnsi="Arial" w:cs="Arial"/>
          <w:caps/>
          <w:color w:val="007AC9"/>
          <w:kern w:val="0"/>
          <w:szCs w:val="21"/>
        </w:rPr>
      </w:pPr>
      <w:r w:rsidRPr="007C0034">
        <w:rPr>
          <w:rFonts w:ascii="Arial" w:eastAsia="宋体" w:hAnsi="Arial" w:cs="Arial"/>
          <w:caps/>
          <w:color w:val="007AC9"/>
          <w:kern w:val="0"/>
          <w:szCs w:val="21"/>
        </w:rPr>
        <w:t>August 20, 2025</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u w:val="single"/>
        </w:rPr>
        <w:t>Third Quarter Highlights:</w:t>
      </w:r>
    </w:p>
    <w:p w:rsidR="007C0034" w:rsidRPr="007C0034" w:rsidRDefault="007C0034" w:rsidP="007C0034">
      <w:pPr>
        <w:widowControl/>
        <w:numPr>
          <w:ilvl w:val="0"/>
          <w:numId w:val="2"/>
        </w:numPr>
        <w:spacing w:before="100" w:beforeAutospacing="1" w:after="100" w:afterAutospacing="1"/>
        <w:ind w:left="0"/>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rPr>
        <w:t>Sales were $742 million, an increase of 12% year-over-year</w:t>
      </w:r>
    </w:p>
    <w:p w:rsidR="007C0034" w:rsidRPr="007C0034" w:rsidRDefault="007C0034" w:rsidP="007C0034">
      <w:pPr>
        <w:widowControl/>
        <w:numPr>
          <w:ilvl w:val="0"/>
          <w:numId w:val="3"/>
        </w:numPr>
        <w:spacing w:before="100" w:beforeAutospacing="1" w:after="100" w:afterAutospacing="1"/>
        <w:ind w:left="0"/>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rPr>
        <w:t>Earnings per diluted share were $2.22</w:t>
      </w:r>
    </w:p>
    <w:p w:rsidR="007C0034" w:rsidRPr="007C0034" w:rsidRDefault="007C0034" w:rsidP="007C0034">
      <w:pPr>
        <w:widowControl/>
        <w:numPr>
          <w:ilvl w:val="0"/>
          <w:numId w:val="4"/>
        </w:numPr>
        <w:spacing w:before="100" w:beforeAutospacing="1" w:after="100" w:afterAutospacing="1"/>
        <w:ind w:left="0"/>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rPr>
        <w:t>Adjusted earnings per diluted share were $2.73, up 13% year-over-year</w:t>
      </w:r>
    </w:p>
    <w:p w:rsidR="007C0034" w:rsidRPr="007C0034" w:rsidRDefault="007C0034" w:rsidP="007C0034">
      <w:pPr>
        <w:widowControl/>
        <w:numPr>
          <w:ilvl w:val="0"/>
          <w:numId w:val="5"/>
        </w:numPr>
        <w:spacing w:before="100" w:beforeAutospacing="1" w:after="100" w:afterAutospacing="1"/>
        <w:ind w:left="0"/>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rPr>
        <w:t>Free cash flow conversion of 180% of net income</w:t>
      </w:r>
    </w:p>
    <w:p w:rsidR="007C0034" w:rsidRPr="007C0034" w:rsidRDefault="007C0034" w:rsidP="007C0034">
      <w:pPr>
        <w:widowControl/>
        <w:numPr>
          <w:ilvl w:val="0"/>
          <w:numId w:val="6"/>
        </w:numPr>
        <w:spacing w:before="100" w:beforeAutospacing="1" w:after="100" w:afterAutospacing="1"/>
        <w:ind w:left="0"/>
        <w:jc w:val="left"/>
        <w:rPr>
          <w:rFonts w:ascii="Arial" w:eastAsia="宋体" w:hAnsi="Arial" w:cs="Arial"/>
          <w:color w:val="191919"/>
          <w:kern w:val="0"/>
          <w:sz w:val="24"/>
          <w:szCs w:val="24"/>
        </w:rPr>
      </w:pPr>
      <w:r w:rsidRPr="007C0034">
        <w:rPr>
          <w:rFonts w:ascii="Arial" w:eastAsia="宋体" w:hAnsi="Arial" w:cs="Arial"/>
          <w:b/>
          <w:bCs/>
          <w:i/>
          <w:iCs/>
          <w:color w:val="191919"/>
          <w:kern w:val="0"/>
          <w:sz w:val="24"/>
          <w:szCs w:val="24"/>
        </w:rPr>
        <w:t>Board of Directors approved a new $500 million share repurchase authorization</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WESTLAKE, Ohio--(BUSINESS WIRE</w:t>
      </w:r>
      <w:proofErr w:type="gramStart"/>
      <w:r w:rsidRPr="007C0034">
        <w:rPr>
          <w:rFonts w:ascii="Arial" w:eastAsia="宋体" w:hAnsi="Arial" w:cs="Arial"/>
          <w:color w:val="191919"/>
          <w:kern w:val="0"/>
          <w:sz w:val="24"/>
          <w:szCs w:val="24"/>
        </w:rPr>
        <w:t>)--</w:t>
      </w:r>
      <w:proofErr w:type="gramEnd"/>
      <w:r w:rsidRPr="007C0034">
        <w:rPr>
          <w:rFonts w:ascii="Arial" w:eastAsia="宋体" w:hAnsi="Arial" w:cs="Arial"/>
          <w:color w:val="191919"/>
          <w:kern w:val="0"/>
          <w:sz w:val="24"/>
          <w:szCs w:val="24"/>
        </w:rPr>
        <w:t> Nordson Corporation (Nasdaq: NDSN) today reported results for the fiscal third quarter ended July 31, 2025. Sales were $742 million compared to the prior year’s third quarter sales of $662 million. The third quarter 2025 sales included a favorable acquisition impact of 8%, an organic sales increase of 2% and a favorable currency translation impact of 2%.</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 was $126 million, or $2.22 of earnings per diluted share, compared to prior year’s third quarter net income of $117 million, or $2.04 of earnings per diluted share. Excluding charges associated with the exit of the medical contract manufacturing business and acquisition-related amortization and costs, third quarter adjusted net income was $155 million versus prior year adjusted net income of $138 million. Third quarter adjusted earnings per diluted share were $2.73, a 13% increase from the prior year adjusted earnings per diluted share of $2.41.</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EBITDA in the third quarter was $239 million, or 32% of sales, an increase of 15% compared to prior year EBITDA of $208 million, or 31% of sales.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Commenting on the Company’s fiscal 2025 third quarter results, Nordson President and Chief Executive Officer Sundaram Nagarajan said, “The Nordson team responded effectively to dynamic demand conditions in key end markets and delivered on its promises, realizing solid year-over-year organic growth in the quarter. In particular, the Advanced Technology Solutions segment delivered 15% organic sales growth. Operational excellence drove strong profit performance, increasing adjusted earnings per share by 13% and EBITDA by 15%. In this final full quarter of Atrion’s first year acquisition performance, our new employees again exceeded expectations and contributed to both sales and earnings results. Also this quarter, we maintained a strong balance sheet, delivering cash flow conversion of 180% of net income that we used to reduce debt, repurchase shares and return dividends to shareholders, while continuing to invest in the company.”</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Third Quarter Segment Results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 sales of $351 million increased 1% from the prior year, inclusive of an organic sales decrease of 2% and favorable currency translation of 3%. The organic sales decrease was driven by weaker systems demand in polymer processing offsetting growth in most other product lines. Operating profit was $117 million, an increase of $2 million from the prior year. EBITDA in the quarter was $130 million, or 37% of sales, compared to prior year third quarter EBITDA of $131 million, or 37% of sales.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 sales of $219 million increased 32% compared to the prior year third quarter, inclusive of an acquisition impact of 31% and a favorable currency impact of 1%. Organic sales were flat inclusive of the contract manufacturing business that is held for sale. Excluding the pending divestiture in both periods, organic sales increased 4% driven by medical fluid components and fluid solutions product lines. Operating profit was $53 million, an increase of $4 million from the prior year. Excluding acquisition costs and charges associated with the exit of the medical contract manufacturing business, operating profit was $65 million, an increase of $17 million from the prior year reflecting increased leverage of selling, general and administrative expenses in the core business, as well as contribution from the Atrion acquisition. EBITDA in the quarter was $83 million, or 38% of sales, up 34% versus the prior year third quarter EBITDA of $62 million, or 37% of sales.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 sales of $171 million increased 17% compared to the prior year third quarter, inclusive of an organic sales increase of 15% and favorable currency translation of 3%. The organic sales increase compared to prior year was driven by robust growth in electronics dispense product lines. Operating profit was $37 million, an increase of $11 million due to the strong conversion on increased organic sales. EBITDA in the quarter was $42 million, or 24% of sales, up 35% from the prior year third quarter EBITDA of $31 million, or 21% of sales.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Outlook</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Backlog is down approximately 5% sequentially following a strong third quarter. This supports achieving the Company’s original full year sales and earnings guidance, assuming completion of the pending divestiture of the medical contract manufacturing business in the fourth quarter. Fiscal full year sales are now tracking slightly below the mid-point and full year adjusted earnings per share are now tracking slightly above the mid-point of our original guidance.</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Reflecting on the full year outlook, Nagarajan said, “Following a strong third quarter, I am pleased that we are able to affirm our full year sales guidance and earnings expectations. NBS Next is driving organic growth by enhancing our new product vitality, best-in-class quality and delivery, while also empowering our teams to respond quickly to changing customer demand. Through our close-to-customer business model, diverse product portfolio and in-region, for-region manufacturing strategy, we have continuously demonstrated resilience and the ability to deliver solid growth and best-in-class profitability in varying market scenarios.”</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Nordson management will provide additional commentary on these results and outlook during its previously announced webcast on Thursday, August 21, 2025, at 8:30 a.m. eastern time, which can be accessed at </w:t>
      </w:r>
      <w:hyperlink r:id="rId5" w:history="1">
        <w:r w:rsidRPr="007C0034">
          <w:rPr>
            <w:rFonts w:ascii="Arial" w:eastAsia="宋体" w:hAnsi="Arial" w:cs="Arial"/>
            <w:color w:val="005293"/>
            <w:kern w:val="0"/>
            <w:sz w:val="24"/>
            <w:szCs w:val="24"/>
          </w:rPr>
          <w:t>https://investors.nordson.com</w:t>
        </w:r>
      </w:hyperlink>
      <w:r w:rsidRPr="007C0034">
        <w:rPr>
          <w:rFonts w:ascii="Arial" w:eastAsia="宋体" w:hAnsi="Arial" w:cs="Arial"/>
          <w:color w:val="191919"/>
          <w:kern w:val="0"/>
          <w:sz w:val="24"/>
          <w:szCs w:val="24"/>
        </w:rPr>
        <w:t>. Information about Nordson’s investor relations and shareholder services is available from Lara Mahoney, vice president, investor relations and corporate communications at (440) 204-9985 or </w:t>
      </w:r>
      <w:hyperlink r:id="rId6" w:history="1">
        <w:r w:rsidRPr="007C0034">
          <w:rPr>
            <w:rFonts w:ascii="Arial" w:eastAsia="宋体" w:hAnsi="Arial" w:cs="Arial"/>
            <w:color w:val="005293"/>
            <w:kern w:val="0"/>
            <w:sz w:val="24"/>
            <w:szCs w:val="24"/>
          </w:rPr>
          <w:t>lara.mahoney@nordson.com</w:t>
        </w:r>
      </w:hyperlink>
      <w:r w:rsidRPr="007C0034">
        <w:rPr>
          <w:rFonts w:ascii="Arial" w:eastAsia="宋体" w:hAnsi="Arial" w:cs="Arial"/>
          <w:color w:val="191919"/>
          <w:kern w:val="0"/>
          <w:sz w:val="24"/>
          <w:szCs w:val="24"/>
        </w:rPr>
        <w:t>.</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The Company’s definition of adjusted earnings excludes restructuring, business exit and acquisition related cost / amortization for both current and historical periods. It is not possible for the Company to identify the amount or significance of future adjustments associated with acquisition and integration costs, restructuring costs, acquisition-related amortization, certain non-operating or income tax items, or other non-routine costs that the Company adjusts in the presentation of adjusted earnings guidance. These items are dependent on future events that are not reasonably estimable at this time. Accordingly, the Company is unable to reconcile without unreasonable effort the forecasted range of adjusted earnings guidance to a comparable GAAP range.</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Certain statements contained in this release are forward-looking statements within the meaning of the Private Securities Litigation Reform Act of 1995. Forward-looking statements may be identified by terminology such as “may,” “will,” “should,” “could,” “expects,” “anticipates,” “believes,” “projects,” “forecasts,” “outlook,” “guidance,” “continue,” “target,” or the negative of these terms or comparable terminology. These statements reflect management’s current expectations and involve a number of risks and uncertainties. These risks and uncertainties include, but are not limited to, U.S. and international economic and political conditions; financial and market conditions; currency exchange rates and devaluations; possible acquisitions and the Company’s ability to successfully integrate acquisitions; the Company’s ability to successfully divest or dispose of businesses that are deemed not to fit with its strategic plan; the effects of changes in U.S. trade policy and trade agreements, including changes in tariffs by the U.S. or other nations; the effects of changes in tax law; and the possible effects of events beyond our control, such as political unrest, including the conflicts in Europe and the Middle East, acts of terror, natural disasters and pandemics and the other factors discussed in Item 1A (Risk Factors) in the Company’s most recently filed Annual Report on Form 10-K and in its Forms 10-Q filed with the Securities and Exchange Commission, which should be reviewed carefully. The Company undertakes no obligation to update or revise any forward-looking statement in this press release.</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Nordson Corporation is an innovative precision technology company that leverages a scalable growth framework through an entrepreneurial, division-led organization to deliver top tier growth with leading margins and returns. The Company’s direct sales model and applications expertise serves global customers through a wide variety of critical applications. Its diverse end market exposure includes consumer non-durable, medical, electronics and industrial end markets. Founded in 1954 and headquartered in Westlake, Ohio, the Company has operations and support offices in over 35 countries. Visit Nordson on the web at </w:t>
      </w:r>
      <w:hyperlink r:id="rId7" w:history="1">
        <w:r w:rsidRPr="007C0034">
          <w:rPr>
            <w:rFonts w:ascii="Arial" w:eastAsia="宋体" w:hAnsi="Arial" w:cs="Arial"/>
            <w:color w:val="005293"/>
            <w:kern w:val="0"/>
            <w:sz w:val="24"/>
            <w:szCs w:val="24"/>
          </w:rPr>
          <w:t>www.nordson.com</w:t>
        </w:r>
      </w:hyperlink>
      <w:r w:rsidRPr="007C0034">
        <w:rPr>
          <w:rFonts w:ascii="Arial" w:eastAsia="宋体" w:hAnsi="Arial" w:cs="Arial"/>
          <w:color w:val="191919"/>
          <w:kern w:val="0"/>
          <w:sz w:val="24"/>
          <w:szCs w:val="24"/>
        </w:rPr>
        <w:t>, linkedin/Nordson, or </w:t>
      </w:r>
      <w:hyperlink r:id="rId8" w:history="1">
        <w:r w:rsidRPr="007C0034">
          <w:rPr>
            <w:rFonts w:ascii="Arial" w:eastAsia="宋体" w:hAnsi="Arial" w:cs="Arial"/>
            <w:color w:val="005293"/>
            <w:kern w:val="0"/>
            <w:sz w:val="24"/>
            <w:szCs w:val="24"/>
          </w:rPr>
          <w:t>www.facebook.com/nordson</w:t>
        </w:r>
      </w:hyperlink>
      <w:r w:rsidRPr="007C0034">
        <w:rPr>
          <w:rFonts w:ascii="Arial" w:eastAsia="宋体" w:hAnsi="Arial" w:cs="Arial"/>
          <w:color w:val="191919"/>
          <w:kern w:val="0"/>
          <w:sz w:val="24"/>
          <w:szCs w:val="24"/>
        </w:rPr>
        <w:t>.</w:t>
      </w:r>
    </w:p>
    <w:tbl>
      <w:tblPr>
        <w:tblW w:w="17700" w:type="dxa"/>
        <w:tblCellMar>
          <w:left w:w="0" w:type="dxa"/>
          <w:right w:w="0" w:type="dxa"/>
        </w:tblCellMar>
        <w:tblLook w:val="04A0" w:firstRow="1" w:lastRow="0" w:firstColumn="1" w:lastColumn="0" w:noHBand="0" w:noVBand="1"/>
      </w:tblPr>
      <w:tblGrid>
        <w:gridCol w:w="7433"/>
        <w:gridCol w:w="354"/>
        <w:gridCol w:w="1416"/>
        <w:gridCol w:w="354"/>
        <w:gridCol w:w="354"/>
        <w:gridCol w:w="354"/>
        <w:gridCol w:w="1416"/>
        <w:gridCol w:w="354"/>
        <w:gridCol w:w="354"/>
        <w:gridCol w:w="354"/>
        <w:gridCol w:w="1770"/>
        <w:gridCol w:w="354"/>
        <w:gridCol w:w="354"/>
        <w:gridCol w:w="354"/>
        <w:gridCol w:w="1770"/>
        <w:gridCol w:w="355"/>
      </w:tblGrid>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CONSOLIDATED STATEMENTS OF INCOME (Unaudited)</w:t>
            </w: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 except for per-share amounts)</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354"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Three Months Ended</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Sales</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741,509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661,604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2,039,867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1,945,439</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Cost of sales</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334,992</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292,603</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923,550</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862,134</w:t>
            </w:r>
          </w:p>
        </w:tc>
        <w:tc>
          <w:tcPr>
            <w:tcW w:w="3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Gross profit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406,517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369,001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1,116,317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1,083,305</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Gross margin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55.8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55.7</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Selling &amp; administrative expenses</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206,539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201,943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606,642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588,196</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Divestiture and related charges</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Operating profit</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187,767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167,058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497,464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495,109</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Interest expense - net</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(25,698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(17,776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(77,335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(56,729</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7434"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income (expense) - net</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(2,945</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152</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(5,380</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(971</w:t>
            </w:r>
          </w:p>
        </w:tc>
        <w:tc>
          <w:tcPr>
            <w:tcW w:w="3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Income before income taxes</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159,124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149,434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414,749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437,409</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Income taxes</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33,340</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32,107</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81,909</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92,293</w:t>
            </w:r>
          </w:p>
        </w:tc>
        <w:tc>
          <w:tcPr>
            <w:tcW w:w="3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125,784</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117,327</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332,840</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345,116</w:t>
            </w:r>
          </w:p>
        </w:tc>
        <w:tc>
          <w:tcPr>
            <w:tcW w:w="355"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Weighted-average common shares outstanding:</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Basic</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56,438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57,229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56,784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57,171</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Diluted</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56,728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57,624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57,084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57,620</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Earnings per share:</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Basic earnings</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5.86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6.04</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7434"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Diluted earnings</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41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5.83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5.99</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10797"/>
        <w:gridCol w:w="531"/>
        <w:gridCol w:w="2655"/>
        <w:gridCol w:w="531"/>
        <w:gridCol w:w="531"/>
        <w:gridCol w:w="2655"/>
      </w:tblGrid>
      <w:tr w:rsidR="007C0034" w:rsidRPr="007C0034" w:rsidTr="007C0034">
        <w:tc>
          <w:tcPr>
            <w:tcW w:w="0" w:type="auto"/>
            <w:gridSpan w:val="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6"/>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CONSOLIDATED BALANCE SHEETS (Unaudited)</w:t>
            </w:r>
          </w:p>
        </w:tc>
      </w:tr>
      <w:tr w:rsidR="007C0034" w:rsidRPr="007C0034" w:rsidTr="007C0034">
        <w:tc>
          <w:tcPr>
            <w:tcW w:w="0" w:type="auto"/>
            <w:gridSpan w:val="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531"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October 31, 2024</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Cash and cash equivalents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147,788</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115,952</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Receivables - net</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588,951</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594,663</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Inventories - net</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459,251</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476,935</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current assets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91,275</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87,482</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Assets held for sale</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39,583</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0797" w:type="dxa"/>
            <w:tcBorders>
              <w:top w:val="nil"/>
              <w:left w:val="nil"/>
              <w:bottom w:val="nil"/>
              <w:right w:val="nil"/>
            </w:tcBorders>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current assets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1,326,848</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1,275,032</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Property, plant and equipment - net</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525,604</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544,607</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Goodwill</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3,306,432</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3,280,819</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assets</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850,829</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900,508</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6,009,713</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6,000,966</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Notes payable and debt due within one year</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336,078</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103,928</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Accounts payable and accrued liabilities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436,223</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424,549</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Liabilities held for sale</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10,807</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0797" w:type="dxa"/>
            <w:tcBorders>
              <w:top w:val="nil"/>
              <w:left w:val="nil"/>
              <w:bottom w:val="nil"/>
              <w:right w:val="nil"/>
            </w:tcBorders>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current liabilities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783,108</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528,477</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79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Long-term debt</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1,785,745</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2,101,197</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liabilities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459,075</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439,100</w:t>
            </w:r>
          </w:p>
        </w:tc>
      </w:tr>
      <w:tr w:rsidR="007C0034" w:rsidRPr="007C0034" w:rsidTr="007C0034">
        <w:tc>
          <w:tcPr>
            <w:tcW w:w="10797" w:type="dxa"/>
            <w:tcBorders>
              <w:top w:val="nil"/>
              <w:left w:val="nil"/>
              <w:bottom w:val="nil"/>
              <w:right w:val="nil"/>
            </w:tcBorders>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shareholders' equity</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2,981,785</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655"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2,932,192</w:t>
            </w:r>
          </w:p>
        </w:tc>
      </w:tr>
      <w:tr w:rsidR="007C0034" w:rsidRPr="007C0034" w:rsidTr="007C0034">
        <w:tc>
          <w:tcPr>
            <w:tcW w:w="1079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6,009,713</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65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6,000,966</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11859"/>
        <w:gridCol w:w="531"/>
        <w:gridCol w:w="1947"/>
        <w:gridCol w:w="354"/>
        <w:gridCol w:w="354"/>
        <w:gridCol w:w="354"/>
        <w:gridCol w:w="1947"/>
        <w:gridCol w:w="354"/>
      </w:tblGrid>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CONSOLIDATED STATEMENT OF CASH FLOWS (Unaudited)</w:t>
            </w: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Cash flows from operating activities:</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332,840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345,116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Depreciation and amortization</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112,454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99,646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Divestiture and related charges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non-cash items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12,154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15,435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Changes in operating assets and liabilities and other</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46,605</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(385</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cash provided by operating activities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516,264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459,812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Cash flows from investing activities:</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Additions to property, plant and equipment</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(49,002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(43,786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 net</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4,272</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8,896</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cash used in investing activities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(44,730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(34,890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Cash flows from financing activities:</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Repayment of long-term debt - net</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(94,664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(244,355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Repayment of finance lease obligations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(4,083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(4,505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Dividends paid</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(133,008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(116,789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Issuance of common shares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5,419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29,142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Purchase of treasury shares</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(218,194</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(34,105</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shd w:val="clear" w:color="auto" w:fill="CCEEFF"/>
            <w:tcMar>
              <w:top w:w="0" w:type="dxa"/>
              <w:left w:w="45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cash used in financing activities</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(444,530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(370,612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Effect of exchange rate change on cash:</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4,832</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(4,665</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1859" w:type="dxa"/>
            <w:tcBorders>
              <w:top w:val="nil"/>
              <w:left w:val="nil"/>
              <w:bottom w:val="nil"/>
              <w:right w:val="nil"/>
            </w:tcBorders>
            <w:tcMar>
              <w:top w:w="0" w:type="dxa"/>
              <w:left w:w="30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change in cash and cash equivalents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31,836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49,645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Cash and cash equivalents:</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shd w:val="clear" w:color="auto" w:fill="CCEEFF"/>
            <w:tcMar>
              <w:top w:w="0" w:type="dxa"/>
              <w:left w:w="30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Beginning of period</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115,952</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115,679</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1859" w:type="dxa"/>
            <w:tcBorders>
              <w:top w:val="nil"/>
              <w:left w:val="nil"/>
              <w:bottom w:val="nil"/>
              <w:right w:val="nil"/>
            </w:tcBorders>
            <w:tcMar>
              <w:top w:w="0" w:type="dxa"/>
              <w:left w:w="300"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End of period</w:t>
            </w:r>
          </w:p>
        </w:tc>
        <w:tc>
          <w:tcPr>
            <w:tcW w:w="531"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147,788</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165,324</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5648"/>
        <w:gridCol w:w="353"/>
        <w:gridCol w:w="1944"/>
        <w:gridCol w:w="352"/>
        <w:gridCol w:w="353"/>
        <w:gridCol w:w="1944"/>
        <w:gridCol w:w="352"/>
        <w:gridCol w:w="1060"/>
        <w:gridCol w:w="529"/>
        <w:gridCol w:w="352"/>
        <w:gridCol w:w="894"/>
        <w:gridCol w:w="387"/>
        <w:gridCol w:w="352"/>
        <w:gridCol w:w="883"/>
        <w:gridCol w:w="530"/>
        <w:gridCol w:w="352"/>
        <w:gridCol w:w="883"/>
        <w:gridCol w:w="532"/>
      </w:tblGrid>
      <w:tr w:rsidR="007C0034" w:rsidRPr="007C0034" w:rsidTr="007C0034">
        <w:tc>
          <w:tcPr>
            <w:tcW w:w="0" w:type="auto"/>
            <w:gridSpan w:val="1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18"/>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1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SALES BY GEOGRAPHIC SEGMENT (Unaudited)</w:t>
            </w:r>
          </w:p>
        </w:tc>
      </w:tr>
      <w:tr w:rsidR="007C0034" w:rsidRPr="007C0034" w:rsidTr="007C0034">
        <w:tc>
          <w:tcPr>
            <w:tcW w:w="0" w:type="auto"/>
            <w:gridSpan w:val="1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5"/>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353"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11"/>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5"/>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Three Months Ended</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11"/>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Sales Variance</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Organic</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Acquisitions</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Currency</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Total</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SALES BY SEGMENT</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350,784</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348,997</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7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0.5</w:t>
            </w:r>
          </w:p>
        </w:tc>
        <w:tc>
          <w:tcPr>
            <w:tcW w:w="53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219,465</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166,737</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(0.4</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31.0</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31.6</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171,260</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145,870</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14.6</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2.8</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17.4</w:t>
            </w:r>
          </w:p>
        </w:tc>
        <w:tc>
          <w:tcPr>
            <w:tcW w:w="53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sales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741,509</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661,604</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7.8</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12.1</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SALES BY GEOGRAPHIC REGION</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Americas</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314,568</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287,016</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13.0</w:t>
            </w:r>
          </w:p>
        </w:tc>
        <w:tc>
          <w:tcPr>
            <w:tcW w:w="37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(0.2</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9.6</w:t>
            </w:r>
          </w:p>
        </w:tc>
        <w:tc>
          <w:tcPr>
            <w:tcW w:w="53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Europe</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186,620</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179,370</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4.8</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5.3</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Asia Pacific</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240,321</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195,218</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17.4</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w:t>
            </w:r>
          </w:p>
        </w:tc>
        <w:tc>
          <w:tcPr>
            <w:tcW w:w="3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2.8</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23.1</w:t>
            </w:r>
          </w:p>
        </w:tc>
        <w:tc>
          <w:tcPr>
            <w:tcW w:w="53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sales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741,509</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661,604</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7.8</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12.1</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5"/>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11"/>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Sales Variance</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Organic</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Acquisitions</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Currency</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Total</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SALES BY SEGMENT</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970,079</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1,031,717</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7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(0.3</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w:t>
            </w:r>
          </w:p>
        </w:tc>
        <w:tc>
          <w:tcPr>
            <w:tcW w:w="53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615,883</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495,229</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31.5</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24.4</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453,905</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418,493</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8.0</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0.5</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8.5</w:t>
            </w:r>
          </w:p>
        </w:tc>
        <w:tc>
          <w:tcPr>
            <w:tcW w:w="53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sales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2,039,867</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1,945,439</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8.1</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SALES BY GEOGRAPHIC REGION</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Americas</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874,868</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855,456</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(10.0</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13.1</w:t>
            </w:r>
          </w:p>
        </w:tc>
        <w:tc>
          <w:tcPr>
            <w:tcW w:w="37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(0.8</w:t>
            </w:r>
          </w:p>
        </w:tc>
        <w:tc>
          <w:tcPr>
            <w:tcW w:w="530"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w:t>
            </w:r>
          </w:p>
        </w:tc>
        <w:tc>
          <w:tcPr>
            <w:tcW w:w="53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Europe</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526,878</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540,750</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(8.7</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5.0</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(2.6</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Asia Pacific</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638,121</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549,233</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13.1</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w:t>
            </w:r>
          </w:p>
        </w:tc>
        <w:tc>
          <w:tcPr>
            <w:tcW w:w="3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16.2</w:t>
            </w:r>
          </w:p>
        </w:tc>
        <w:tc>
          <w:tcPr>
            <w:tcW w:w="53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5657"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sales</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2,039,867</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6"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1,945,439</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5"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8.1</w:t>
            </w:r>
          </w:p>
        </w:tc>
        <w:tc>
          <w:tcPr>
            <w:tcW w:w="37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(0.1</w:t>
            </w:r>
          </w:p>
        </w:tc>
        <w:tc>
          <w:tcPr>
            <w:tcW w:w="530"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88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w:t>
            </w:r>
          </w:p>
        </w:tc>
        <w:tc>
          <w:tcPr>
            <w:tcW w:w="533"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7433"/>
        <w:gridCol w:w="531"/>
        <w:gridCol w:w="1947"/>
        <w:gridCol w:w="354"/>
        <w:gridCol w:w="354"/>
        <w:gridCol w:w="1770"/>
        <w:gridCol w:w="354"/>
        <w:gridCol w:w="354"/>
        <w:gridCol w:w="354"/>
        <w:gridCol w:w="1770"/>
        <w:gridCol w:w="354"/>
        <w:gridCol w:w="354"/>
        <w:gridCol w:w="1771"/>
      </w:tblGrid>
      <w:tr w:rsidR="007C0034" w:rsidRPr="007C0034" w:rsidTr="007C0034">
        <w:tc>
          <w:tcPr>
            <w:tcW w:w="0" w:type="auto"/>
            <w:gridSpan w:val="13"/>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1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13"/>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RECONCILIATION OF NON-GAAP MEASURES - NET INCOME TO EBITDA (Unaudited)</w:t>
            </w:r>
          </w:p>
        </w:tc>
      </w:tr>
      <w:tr w:rsidR="007C0034" w:rsidRPr="007C0034" w:rsidTr="007C0034">
        <w:tc>
          <w:tcPr>
            <w:tcW w:w="0" w:type="auto"/>
            <w:gridSpan w:val="13"/>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6"/>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354"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6"/>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Three Months Ended</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5"/>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125,784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117,327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332,840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345,116</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Income taxes</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33,340</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32,107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81,909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92,293</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Interest expense - net</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25,698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17,776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77,335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56,729</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(income) expense - net</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2,945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5,380</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971</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Depreciation and amortization</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37,847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33,382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112,454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99,646</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Inventory step-up amortization</w:t>
            </w:r>
            <w:r w:rsidRPr="007C0034">
              <w:rPr>
                <w:rFonts w:ascii="inherit" w:eastAsia="宋体" w:hAnsi="inherit" w:cs="Arial"/>
                <w:color w:val="191919"/>
                <w:kern w:val="0"/>
                <w:sz w:val="18"/>
                <w:szCs w:val="18"/>
                <w:bdr w:val="none" w:sz="0" w:space="0" w:color="auto" w:frame="1"/>
                <w:vertAlign w:val="superscript"/>
              </w:rPr>
              <w:t>(1)</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3,135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2,944</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Severance and other</w:t>
            </w:r>
            <w:r w:rsidRPr="007C0034">
              <w:rPr>
                <w:rFonts w:ascii="inherit" w:eastAsia="宋体" w:hAnsi="inherit" w:cs="Arial"/>
                <w:color w:val="191919"/>
                <w:kern w:val="0"/>
                <w:sz w:val="18"/>
                <w:szCs w:val="18"/>
                <w:bdr w:val="none" w:sz="0" w:space="0" w:color="auto" w:frame="1"/>
                <w:vertAlign w:val="superscript"/>
              </w:rPr>
              <w:t>(1)</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2,536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16,725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4,615</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Acquisition-related costs</w:t>
            </w:r>
            <w:r w:rsidRPr="007C0034">
              <w:rPr>
                <w:rFonts w:ascii="inherit" w:eastAsia="宋体" w:hAnsi="inherit" w:cs="Arial"/>
                <w:color w:val="191919"/>
                <w:kern w:val="0"/>
                <w:sz w:val="18"/>
                <w:szCs w:val="18"/>
                <w:bdr w:val="none" w:sz="0" w:space="0" w:color="auto" w:frame="1"/>
                <w:vertAlign w:val="superscript"/>
              </w:rPr>
              <w:t> (1)</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5,160</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1,778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5,757</w:t>
            </w:r>
          </w:p>
        </w:tc>
      </w:tr>
      <w:tr w:rsidR="007C0034" w:rsidRPr="007C0034" w:rsidTr="007C0034">
        <w:tc>
          <w:tcPr>
            <w:tcW w:w="743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Divestiture and related charges</w:t>
            </w:r>
            <w:r w:rsidRPr="007C0034">
              <w:rPr>
                <w:rFonts w:ascii="inherit" w:eastAsia="宋体" w:hAnsi="inherit" w:cs="Arial"/>
                <w:color w:val="191919"/>
                <w:kern w:val="0"/>
                <w:sz w:val="18"/>
                <w:szCs w:val="18"/>
                <w:bdr w:val="none" w:sz="0" w:space="0" w:color="auto" w:frame="1"/>
                <w:vertAlign w:val="superscript"/>
              </w:rPr>
              <w:t> (2)</w:t>
            </w:r>
          </w:p>
        </w:tc>
        <w:tc>
          <w:tcPr>
            <w:tcW w:w="53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94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743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EBITDA (non-GAAP)</w:t>
            </w:r>
            <w:r w:rsidRPr="007C0034">
              <w:rPr>
                <w:rFonts w:ascii="inherit" w:eastAsia="宋体" w:hAnsi="inherit" w:cs="Arial"/>
                <w:color w:val="191919"/>
                <w:kern w:val="0"/>
                <w:sz w:val="18"/>
                <w:szCs w:val="18"/>
                <w:bdr w:val="none" w:sz="0" w:space="0" w:color="auto" w:frame="1"/>
                <w:vertAlign w:val="superscript"/>
              </w:rPr>
              <w:t> (3)</w:t>
            </w:r>
          </w:p>
        </w:tc>
        <w:tc>
          <w:tcPr>
            <w:tcW w:w="531"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94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238,511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208,136</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0"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643,767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1"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608,071</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0" w:type="auto"/>
        <w:tblCellMar>
          <w:left w:w="0" w:type="dxa"/>
          <w:right w:w="0" w:type="dxa"/>
        </w:tblCellMar>
        <w:tblLook w:val="04A0" w:firstRow="1" w:lastRow="0" w:firstColumn="1" w:lastColumn="0" w:noHBand="0" w:noVBand="1"/>
      </w:tblPr>
      <w:tblGrid>
        <w:gridCol w:w="140"/>
        <w:gridCol w:w="6"/>
        <w:gridCol w:w="8160"/>
      </w:tblGrid>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(1)</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Represents cost reduction actions as well as fees and non-cash inventory charges associated with acquisitions.</w:t>
            </w:r>
          </w:p>
        </w:tc>
      </w:tr>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(2)</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Represents asset impairment and other charges associated with the exit of the medical contract manufacturing business.</w:t>
            </w:r>
          </w:p>
        </w:tc>
      </w:tr>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(3)</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EBITDA is a non-GAAP measure used by management to evaluate the Company's ongoing operations. EBITDA is defined as operating profit plus certain adjustments, such as cost reduction actions, fees and non-cash inventory charges associated with acquisitions, plus depreciation and amortization.</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4600"/>
        <w:gridCol w:w="177"/>
        <w:gridCol w:w="1062"/>
        <w:gridCol w:w="177"/>
        <w:gridCol w:w="177"/>
        <w:gridCol w:w="354"/>
        <w:gridCol w:w="354"/>
        <w:gridCol w:w="354"/>
        <w:gridCol w:w="354"/>
        <w:gridCol w:w="1239"/>
        <w:gridCol w:w="354"/>
        <w:gridCol w:w="354"/>
        <w:gridCol w:w="354"/>
        <w:gridCol w:w="354"/>
        <w:gridCol w:w="354"/>
        <w:gridCol w:w="354"/>
        <w:gridCol w:w="1593"/>
        <w:gridCol w:w="354"/>
        <w:gridCol w:w="354"/>
        <w:gridCol w:w="354"/>
        <w:gridCol w:w="354"/>
        <w:gridCol w:w="354"/>
        <w:gridCol w:w="354"/>
        <w:gridCol w:w="1593"/>
        <w:gridCol w:w="354"/>
        <w:gridCol w:w="354"/>
        <w:gridCol w:w="354"/>
        <w:gridCol w:w="356"/>
      </w:tblGrid>
      <w:tr w:rsidR="007C0034" w:rsidRPr="007C0034" w:rsidTr="007C0034">
        <w:tc>
          <w:tcPr>
            <w:tcW w:w="0" w:type="auto"/>
            <w:gridSpan w:val="2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28"/>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2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RECONCILIATION OF NON-GAAP MEASURES - EBITDA (Unaudited)</w:t>
            </w:r>
          </w:p>
        </w:tc>
      </w:tr>
      <w:tr w:rsidR="007C0034" w:rsidRPr="007C0034" w:rsidTr="007C0034">
        <w:tc>
          <w:tcPr>
            <w:tcW w:w="0" w:type="auto"/>
            <w:gridSpan w:val="2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13"/>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354"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13"/>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1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Three Months Ended</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1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6"/>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6"/>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6"/>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6"/>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SALES BY SEGMENT</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350,784</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348,997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970,079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1,031,717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219,465</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166,737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615,883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495,229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171,260</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145,870</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453,905</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418,493</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sales</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741,509</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661,604</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2,039,867</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1,945,439</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OPERATING PROFIT</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116,720</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115,023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308,153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340,043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52,500</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48,374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150,241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143,467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36,877</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26,032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86,558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65,029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Corporate</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(18,330</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(22,371</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(47,488</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(53,430</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operating profit</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187,767</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167,058</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497,464</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495,109</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0" w:type="auto"/>
            <w:gridSpan w:val="7"/>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OPERATING PROFIT ADJUSTMENTS</w:t>
            </w:r>
            <w:r w:rsidRPr="007C0034">
              <w:rPr>
                <w:rFonts w:ascii="inherit" w:eastAsia="宋体" w:hAnsi="inherit" w:cs="Arial"/>
                <w:b/>
                <w:bCs/>
                <w:color w:val="191919"/>
                <w:kern w:val="0"/>
                <w:sz w:val="18"/>
                <w:szCs w:val="18"/>
                <w:bdr w:val="none" w:sz="0" w:space="0" w:color="auto" w:frame="1"/>
                <w:vertAlign w:val="superscript"/>
              </w:rPr>
              <w:t> (1)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2,536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9,823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6,077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12,968</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19,589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(71</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3,217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2,078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Corporate</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5,160</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1,220</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5,161</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adjustments</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12,897</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7,696</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33,849</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13,316</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0" w:type="auto"/>
            <w:gridSpan w:val="4"/>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DEPRECIATION &amp; AMORTIZATION</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13,410</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13,047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38,477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38,404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17,685</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13,553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54,193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40,822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4,740</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4,841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14,058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14,509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Corporate</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2,012</w:t>
            </w:r>
          </w:p>
        </w:tc>
        <w:tc>
          <w:tcPr>
            <w:tcW w:w="177"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1,941</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5,726</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5,911</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depreciation &amp; amortization</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37,847</w:t>
            </w:r>
          </w:p>
        </w:tc>
        <w:tc>
          <w:tcPr>
            <w:tcW w:w="17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33,382</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112,454</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99,646</w:t>
            </w:r>
          </w:p>
        </w:tc>
        <w:tc>
          <w:tcPr>
            <w:tcW w:w="35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EBITDA (NON-GAAP)</w:t>
            </w:r>
            <w:r w:rsidRPr="007C0034">
              <w:rPr>
                <w:rFonts w:ascii="inherit" w:eastAsia="宋体" w:hAnsi="inherit" w:cs="Arial"/>
                <w:b/>
                <w:bCs/>
                <w:color w:val="191919"/>
                <w:kern w:val="0"/>
                <w:sz w:val="18"/>
                <w:szCs w:val="18"/>
                <w:bdr w:val="none" w:sz="0" w:space="0" w:color="auto" w:frame="1"/>
                <w:vertAlign w:val="superscript"/>
              </w:rPr>
              <w:t> (2)</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Industrial Precision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130,130</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130,606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356,453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384,524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6"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Medical and Fluid Solutions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83,153</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61,927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224,023</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184,289</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w:t>
            </w:r>
          </w:p>
        </w:tc>
        <w:tc>
          <w:tcPr>
            <w:tcW w:w="356"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4602"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Advanced Technology Solutions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41,546</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30,873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103,833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81,616</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w:t>
            </w:r>
          </w:p>
        </w:tc>
        <w:tc>
          <w:tcPr>
            <w:tcW w:w="356"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Corporate</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(16,318</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(15,270</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(40,542</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59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(42,358</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4602"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EBITDA</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238,511</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208,136</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643,767</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593"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608,071</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w:t>
            </w:r>
          </w:p>
        </w:tc>
        <w:tc>
          <w:tcPr>
            <w:tcW w:w="356"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4602"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2"/>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0" w:type="auto"/>
        <w:tblCellMar>
          <w:left w:w="0" w:type="dxa"/>
          <w:right w:w="0" w:type="dxa"/>
        </w:tblCellMar>
        <w:tblLook w:val="04A0" w:firstRow="1" w:lastRow="0" w:firstColumn="1" w:lastColumn="0" w:noHBand="0" w:noVBand="1"/>
      </w:tblPr>
      <w:tblGrid>
        <w:gridCol w:w="140"/>
        <w:gridCol w:w="6"/>
        <w:gridCol w:w="8160"/>
      </w:tblGrid>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(1)</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Represents cost reduction actions, fees and non-cash inventory charges associated with acquisitions, and asset impairment and other charges associated with the exit of the medical contract manufacturing business.</w:t>
            </w:r>
          </w:p>
        </w:tc>
      </w:tr>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(2)</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EBITDA is a non-GAAP measure used by management to evaluate the Company's ongoing operations. EBITDA is defined as operating profit plus certain adjustments, such as cost reduction actions, fees and non-cash inventory charges associated with acquisitions and business exit costs, plus depreciation and amortization.</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9526"/>
        <w:gridCol w:w="178"/>
        <w:gridCol w:w="1103"/>
        <w:gridCol w:w="177"/>
        <w:gridCol w:w="177"/>
        <w:gridCol w:w="353"/>
        <w:gridCol w:w="1238"/>
        <w:gridCol w:w="353"/>
        <w:gridCol w:w="353"/>
        <w:gridCol w:w="353"/>
        <w:gridCol w:w="1238"/>
        <w:gridCol w:w="353"/>
        <w:gridCol w:w="353"/>
        <w:gridCol w:w="353"/>
        <w:gridCol w:w="1238"/>
        <w:gridCol w:w="354"/>
      </w:tblGrid>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RECONCILIATION OF NON-GAAP MEASURES - ADJUSTED NET INCOME AND EARNINGS PER SHARE (Unaudited)</w:t>
            </w:r>
          </w:p>
        </w:tc>
      </w:tr>
      <w:tr w:rsidR="007C0034" w:rsidRPr="007C0034" w:rsidTr="007C0034">
        <w:tc>
          <w:tcPr>
            <w:tcW w:w="0" w:type="auto"/>
            <w:gridSpan w:val="16"/>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354" w:type="dxa"/>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Three Months Ended</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Nine Months Ended</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GAAP AS REPORTED</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Operating profit</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187,767</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167,058</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497,464</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495,109</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Other / interest expense - net</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(28,643</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(17,624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(82,715</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(57,700</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125,784</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117,327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332,840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345,116</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Diluted earnings per share</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2.22</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5.83</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5.99</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Shares outstanding - diluted</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56,728</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57,624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57,084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57,620</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OPERATING PROFIT ADJUSTMENTS</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Inventory step-up amortization</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3,135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2,944</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Acquisition costs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235</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5,160</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1,778</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5,757</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Severance and other</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451</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2,536</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16,725</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4,615</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Divestiture and related charges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12,211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ACQUISITION AMORTIZATION OF INTANGIBLES</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20,092</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19,202</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59,099</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57,412</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NON-OPERATING EXPENSE ADJUSTMENTS</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Entity liquidation</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7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988</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35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tcMar>
              <w:top w:w="0" w:type="dxa"/>
              <w:left w:w="225" w:type="dxa"/>
              <w:bottom w:w="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Total adjustments</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32,989</w:t>
            </w:r>
          </w:p>
        </w:tc>
        <w:tc>
          <w:tcPr>
            <w:tcW w:w="177"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26,898</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93,936</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70,728</w:t>
            </w:r>
          </w:p>
        </w:tc>
        <w:tc>
          <w:tcPr>
            <w:tcW w:w="355" w:type="dxa"/>
            <w:tcBorders>
              <w:top w:val="nil"/>
              <w:left w:val="nil"/>
              <w:bottom w:val="double" w:sz="6" w:space="0" w:color="000000"/>
              <w:right w:val="nil"/>
            </w:tcBorders>
            <w:tcMar>
              <w:top w:w="0" w:type="dxa"/>
              <w:left w:w="0" w:type="dxa"/>
              <w:bottom w:w="75"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Adjustments net of tax</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29,084</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21,134</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78,451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55,804</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EPS effect of adjustments</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0.51</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0.37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1.37</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0.97</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b/>
                <w:bCs/>
                <w:color w:val="191919"/>
                <w:kern w:val="0"/>
                <w:sz w:val="24"/>
                <w:szCs w:val="24"/>
                <w:u w:val="single"/>
              </w:rPr>
              <w:t>NON-GAAP MEASURES-ADJUSTED NET INCOME AND ADJUSTED EARNINGS PER SHARE</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w:t>
            </w:r>
            <w:r w:rsidRPr="007C0034">
              <w:rPr>
                <w:rFonts w:ascii="inherit" w:eastAsia="宋体" w:hAnsi="inherit" w:cs="Arial"/>
                <w:color w:val="191919"/>
                <w:kern w:val="0"/>
                <w:sz w:val="18"/>
                <w:szCs w:val="18"/>
                <w:bdr w:val="none" w:sz="0" w:space="0" w:color="auto" w:frame="1"/>
                <w:vertAlign w:val="superscript"/>
              </w:rPr>
              <w:t>(1)</w:t>
            </w:r>
          </w:p>
        </w:tc>
        <w:tc>
          <w:tcPr>
            <w:tcW w:w="177"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154,868</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138,461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411,291</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400,920</w:t>
            </w:r>
          </w:p>
        </w:tc>
        <w:tc>
          <w:tcPr>
            <w:tcW w:w="355"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9559"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Diluted earnings per share</w:t>
            </w:r>
            <w:r w:rsidRPr="007C0034">
              <w:rPr>
                <w:rFonts w:ascii="inherit" w:eastAsia="宋体" w:hAnsi="inherit" w:cs="Arial"/>
                <w:color w:val="191919"/>
                <w:kern w:val="0"/>
                <w:sz w:val="18"/>
                <w:szCs w:val="18"/>
                <w:bdr w:val="none" w:sz="0" w:space="0" w:color="auto" w:frame="1"/>
                <w:vertAlign w:val="superscript"/>
              </w:rPr>
              <w:t> (2)</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062"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2.73</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177"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7.20</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1239"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6.96</w:t>
            </w:r>
          </w:p>
        </w:tc>
        <w:tc>
          <w:tcPr>
            <w:tcW w:w="355"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0" w:type="auto"/>
        <w:tblCellMar>
          <w:left w:w="0" w:type="dxa"/>
          <w:right w:w="0" w:type="dxa"/>
        </w:tblCellMar>
        <w:tblLook w:val="04A0" w:firstRow="1" w:lastRow="0" w:firstColumn="1" w:lastColumn="0" w:noHBand="0" w:noVBand="1"/>
      </w:tblPr>
      <w:tblGrid>
        <w:gridCol w:w="140"/>
        <w:gridCol w:w="6"/>
        <w:gridCol w:w="8160"/>
      </w:tblGrid>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(1)</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Adjusted net income is a non-GAAP measure defined as net income plus tax effected adjustments and other discrete tax items. Refer to the “Reconciliation of Non-GAAP measures - EBITDA” table for definition of adjustments to operating income.</w:t>
            </w:r>
          </w:p>
        </w:tc>
      </w:tr>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(2)</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Adjusted earnings per share is a non-GAAP measure defined as GAAP EPS adjusted for tax effected adjustments and other discrete tax items.</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17700" w:type="dxa"/>
        <w:tblCellMar>
          <w:left w:w="0" w:type="dxa"/>
          <w:right w:w="0" w:type="dxa"/>
        </w:tblCellMar>
        <w:tblLook w:val="04A0" w:firstRow="1" w:lastRow="0" w:firstColumn="1" w:lastColumn="0" w:noHBand="0" w:noVBand="1"/>
      </w:tblPr>
      <w:tblGrid>
        <w:gridCol w:w="10974"/>
        <w:gridCol w:w="354"/>
        <w:gridCol w:w="2124"/>
        <w:gridCol w:w="531"/>
        <w:gridCol w:w="531"/>
        <w:gridCol w:w="531"/>
        <w:gridCol w:w="2124"/>
        <w:gridCol w:w="531"/>
      </w:tblGrid>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u w:val="single"/>
              </w:rPr>
              <w:t>NORDSON CORPORATION</w:t>
            </w: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RECONCILIATION OF NON-GAAP MEASURES - OPERATING CASH FLOW TO FREE CASH FLOW (Unaudited)</w:t>
            </w:r>
          </w:p>
        </w:tc>
      </w:tr>
      <w:tr w:rsidR="007C0034" w:rsidRPr="007C0034" w:rsidTr="007C0034">
        <w:tc>
          <w:tcPr>
            <w:tcW w:w="0" w:type="auto"/>
            <w:gridSpan w:val="8"/>
            <w:tcBorders>
              <w:top w:val="nil"/>
              <w:left w:val="nil"/>
              <w:bottom w:val="nil"/>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(Dollars in thousands)</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gridSpan w:val="7"/>
            <w:tcBorders>
              <w:top w:val="nil"/>
              <w:left w:val="nil"/>
              <w:bottom w:val="nil"/>
              <w:right w:val="nil"/>
            </w:tcBorders>
            <w:vAlign w:val="bottom"/>
            <w:hideMark/>
          </w:tcPr>
          <w:p w:rsidR="007C0034" w:rsidRPr="007C0034" w:rsidRDefault="007C0034" w:rsidP="007C0034">
            <w:pPr>
              <w:widowControl/>
              <w:jc w:val="left"/>
              <w:rPr>
                <w:rFonts w:ascii="Times New Roman" w:eastAsia="Times New Roman" w:hAnsi="Times New Roman" w:cs="Times New Roman"/>
                <w:kern w:val="0"/>
                <w:sz w:val="20"/>
                <w:szCs w:val="20"/>
              </w:rPr>
            </w:pP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Year to Date</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2025</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April 30, 2025</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cash provided by operating activities</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516,264</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278,292</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Additions to property, plant and equipment</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(49,002</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(37,439</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 Year to Date</w:t>
            </w:r>
            <w:r w:rsidRPr="007C0034">
              <w:rPr>
                <w:rFonts w:ascii="inherit" w:eastAsia="宋体" w:hAnsi="inherit" w:cs="Arial"/>
                <w:color w:val="191919"/>
                <w:kern w:val="0"/>
                <w:sz w:val="18"/>
                <w:szCs w:val="18"/>
                <w:bdr w:val="none" w:sz="0" w:space="0" w:color="auto" w:frame="1"/>
                <w:vertAlign w:val="superscript"/>
              </w:rPr>
              <w:t> (1)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467,262</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240,853</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 Quarter to Date</w:t>
            </w:r>
            <w:r w:rsidRPr="007C0034">
              <w:rPr>
                <w:rFonts w:ascii="inherit" w:eastAsia="宋体" w:hAnsi="inherit" w:cs="Arial"/>
                <w:color w:val="191919"/>
                <w:kern w:val="0"/>
                <w:sz w:val="18"/>
                <w:szCs w:val="18"/>
                <w:bdr w:val="none" w:sz="0" w:space="0" w:color="auto" w:frame="1"/>
                <w:vertAlign w:val="superscript"/>
              </w:rPr>
              <w:t> (1)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226,409</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 - Year to Date</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332,840</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345,116</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Conversion - Year to Date</w:t>
            </w:r>
            <w:r w:rsidRPr="007C0034">
              <w:rPr>
                <w:rFonts w:ascii="inherit" w:eastAsia="宋体" w:hAnsi="inherit" w:cs="Arial"/>
                <w:color w:val="191919"/>
                <w:kern w:val="0"/>
                <w:sz w:val="18"/>
                <w:szCs w:val="18"/>
                <w:bdr w:val="none" w:sz="0" w:space="0" w:color="auto" w:frame="1"/>
                <w:vertAlign w:val="superscript"/>
              </w:rPr>
              <w:t>(2)</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140</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70</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Income - Quarter to Date</w:t>
            </w:r>
          </w:p>
        </w:tc>
        <w:tc>
          <w:tcPr>
            <w:tcW w:w="35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125,784</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Conversion - Quarter to Date</w:t>
            </w:r>
            <w:r w:rsidRPr="007C0034">
              <w:rPr>
                <w:rFonts w:ascii="inherit" w:eastAsia="宋体" w:hAnsi="inherit" w:cs="Arial"/>
                <w:color w:val="191919"/>
                <w:kern w:val="0"/>
                <w:sz w:val="18"/>
                <w:szCs w:val="18"/>
                <w:bdr w:val="none" w:sz="0" w:space="0" w:color="auto" w:frame="1"/>
                <w:vertAlign w:val="superscript"/>
              </w:rPr>
              <w:t>(2)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180</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7"/>
            <w:tcBorders>
              <w:top w:val="nil"/>
              <w:left w:val="nil"/>
              <w:bottom w:val="single" w:sz="8" w:space="0" w:color="000000"/>
              <w:right w:val="nil"/>
            </w:tcBorders>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Year to Date</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July 31, 2024</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single" w:sz="8" w:space="0" w:color="000000"/>
              <w:right w:val="nil"/>
            </w:tcBorders>
            <w:noWrap/>
            <w:vAlign w:val="bottom"/>
            <w:hideMark/>
          </w:tcPr>
          <w:p w:rsidR="007C0034" w:rsidRPr="007C0034" w:rsidRDefault="007C0034" w:rsidP="007C0034">
            <w:pPr>
              <w:widowControl/>
              <w:jc w:val="center"/>
              <w:rPr>
                <w:rFonts w:ascii="Arial" w:eastAsia="宋体" w:hAnsi="Arial" w:cs="Arial"/>
                <w:color w:val="191919"/>
                <w:kern w:val="0"/>
                <w:sz w:val="24"/>
                <w:szCs w:val="24"/>
              </w:rPr>
            </w:pPr>
            <w:r w:rsidRPr="007C0034">
              <w:rPr>
                <w:rFonts w:ascii="Arial" w:eastAsia="宋体" w:hAnsi="Arial" w:cs="Arial"/>
                <w:color w:val="191919"/>
                <w:kern w:val="0"/>
                <w:sz w:val="24"/>
                <w:szCs w:val="24"/>
              </w:rPr>
              <w:t>April 30, 2024</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Net cash provided by operating activities</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459,812</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294,964</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Additions to property, plant and equipment</w:t>
            </w:r>
          </w:p>
        </w:tc>
        <w:tc>
          <w:tcPr>
            <w:tcW w:w="35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(43,786</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2124"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(21,907</w:t>
            </w:r>
          </w:p>
        </w:tc>
        <w:tc>
          <w:tcPr>
            <w:tcW w:w="531" w:type="dxa"/>
            <w:tcBorders>
              <w:top w:val="nil"/>
              <w:left w:val="nil"/>
              <w:bottom w:val="single" w:sz="8" w:space="0" w:color="000000"/>
              <w:right w:val="nil"/>
            </w:tcBorders>
            <w:tcMar>
              <w:top w:w="0" w:type="dxa"/>
              <w:left w:w="0" w:type="dxa"/>
              <w:bottom w:w="60" w:type="dxa"/>
              <w:right w:w="0" w:type="dxa"/>
            </w:tcMar>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 Year to Date</w:t>
            </w:r>
            <w:r w:rsidRPr="007C0034">
              <w:rPr>
                <w:rFonts w:ascii="inherit" w:eastAsia="宋体" w:hAnsi="inherit" w:cs="Arial"/>
                <w:color w:val="191919"/>
                <w:kern w:val="0"/>
                <w:sz w:val="18"/>
                <w:szCs w:val="18"/>
                <w:bdr w:val="none" w:sz="0" w:space="0" w:color="auto" w:frame="1"/>
                <w:vertAlign w:val="superscript"/>
              </w:rPr>
              <w:t> (1)</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416,026</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273,057</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 Quarter to Date</w:t>
            </w:r>
            <w:r w:rsidRPr="007C0034">
              <w:rPr>
                <w:rFonts w:ascii="inherit" w:eastAsia="宋体" w:hAnsi="inherit" w:cs="Arial"/>
                <w:color w:val="191919"/>
                <w:kern w:val="0"/>
                <w:sz w:val="18"/>
                <w:szCs w:val="18"/>
                <w:bdr w:val="none" w:sz="0" w:space="0" w:color="auto" w:frame="1"/>
                <w:vertAlign w:val="superscript"/>
              </w:rPr>
              <w:t> (2)</w:t>
            </w:r>
          </w:p>
        </w:tc>
        <w:tc>
          <w:tcPr>
            <w:tcW w:w="35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w:t>
            </w:r>
          </w:p>
        </w:tc>
        <w:tc>
          <w:tcPr>
            <w:tcW w:w="2124" w:type="dxa"/>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142,969</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shd w:val="clear" w:color="auto" w:fill="CCEEFF"/>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shd w:val="clear" w:color="auto" w:fill="CCEEFF"/>
            <w:vAlign w:val="bottom"/>
            <w:hideMark/>
          </w:tcPr>
          <w:p w:rsidR="007C0034" w:rsidRPr="007C0034" w:rsidRDefault="007C0034" w:rsidP="007C0034">
            <w:pPr>
              <w:widowControl/>
              <w:jc w:val="righ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r w:rsidR="007C0034" w:rsidRPr="007C0034" w:rsidTr="007C0034">
        <w:tc>
          <w:tcPr>
            <w:tcW w:w="10974"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531" w:type="dxa"/>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c>
          <w:tcPr>
            <w:tcW w:w="0" w:type="auto"/>
            <w:gridSpan w:val="3"/>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 </w:t>
            </w:r>
          </w:p>
        </w:tc>
      </w:tr>
    </w:tbl>
    <w:p w:rsidR="007C0034" w:rsidRPr="007C0034" w:rsidRDefault="007C0034" w:rsidP="007C0034">
      <w:pPr>
        <w:widowControl/>
        <w:jc w:val="left"/>
        <w:rPr>
          <w:rFonts w:ascii="Arial" w:eastAsia="宋体" w:hAnsi="Arial" w:cs="Arial"/>
          <w:vanish/>
          <w:color w:val="191919"/>
          <w:kern w:val="0"/>
          <w:sz w:val="24"/>
          <w:szCs w:val="24"/>
        </w:rPr>
      </w:pPr>
    </w:p>
    <w:tbl>
      <w:tblPr>
        <w:tblW w:w="0" w:type="auto"/>
        <w:tblCellMar>
          <w:left w:w="0" w:type="dxa"/>
          <w:right w:w="0" w:type="dxa"/>
        </w:tblCellMar>
        <w:tblLook w:val="04A0" w:firstRow="1" w:lastRow="0" w:firstColumn="1" w:lastColumn="0" w:noHBand="0" w:noVBand="1"/>
      </w:tblPr>
      <w:tblGrid>
        <w:gridCol w:w="140"/>
        <w:gridCol w:w="6"/>
        <w:gridCol w:w="8160"/>
      </w:tblGrid>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(1)</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is a non-GAAP measure used by management to evaluate the Company's ongoing operations and is defined as Net cash provided by operating activities minus Additions to property, plant and equipment.</w:t>
            </w:r>
          </w:p>
        </w:tc>
      </w:tr>
      <w:tr w:rsidR="007C0034" w:rsidRPr="007C0034" w:rsidTr="007C0034">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inherit" w:eastAsia="宋体" w:hAnsi="inherit" w:cs="Arial"/>
                <w:color w:val="191919"/>
                <w:kern w:val="0"/>
                <w:sz w:val="18"/>
                <w:szCs w:val="18"/>
                <w:bdr w:val="none" w:sz="0" w:space="0" w:color="auto" w:frame="1"/>
                <w:vertAlign w:val="superscript"/>
              </w:rPr>
              <w:t>(2)</w:t>
            </w:r>
          </w:p>
        </w:tc>
        <w:tc>
          <w:tcPr>
            <w:tcW w:w="0" w:type="auto"/>
            <w:tcBorders>
              <w:top w:val="nil"/>
              <w:left w:val="nil"/>
              <w:bottom w:val="nil"/>
              <w:right w:val="nil"/>
            </w:tcBorders>
            <w:vAlign w:val="bottom"/>
            <w:hideMark/>
          </w:tcPr>
          <w:p w:rsidR="007C0034" w:rsidRPr="007C0034" w:rsidRDefault="007C0034" w:rsidP="007C0034">
            <w:pPr>
              <w:widowControl/>
              <w:jc w:val="left"/>
              <w:rPr>
                <w:rFonts w:ascii="Arial" w:eastAsia="宋体" w:hAnsi="Arial" w:cs="Arial"/>
                <w:color w:val="191919"/>
                <w:kern w:val="0"/>
                <w:sz w:val="24"/>
                <w:szCs w:val="24"/>
              </w:rPr>
            </w:pPr>
          </w:p>
        </w:tc>
        <w:tc>
          <w:tcPr>
            <w:tcW w:w="0" w:type="auto"/>
            <w:tcBorders>
              <w:top w:val="nil"/>
              <w:left w:val="nil"/>
              <w:bottom w:val="nil"/>
              <w:right w:val="nil"/>
            </w:tcBorders>
            <w:hideMark/>
          </w:tcPr>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Free Cash Flow Conversion is a non-GAAP measure used by management to evaluate the Company's ongoing operations and is defined as Free Cash Flow divided by Net Income.</w:t>
            </w:r>
          </w:p>
        </w:tc>
      </w:tr>
    </w:tbl>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Management uses certain non-GAAP measures, such as adjusted net income, adjusted EPS and EBITDA, internally to make strategic decisions, forecast future results, and evaluate the Company's current performance. Given management's use of these non-GAAP measures, the Company believes these measures are important to investors in understanding the Company's current and future operating results as seen through the eyes of management. In addition, management believes these non-GAAP measures are useful to investors in enabling them to better assess changes in the Company's core business across different time periods. Because non-GAAP financial measures are not standardized, it may not be possible to compare these financial measures to other companies' non-GAAP financial measures, even if they have similar names. Amounts may not add due to rounding.</w:t>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noProof/>
          <w:color w:val="191919"/>
          <w:kern w:val="0"/>
          <w:sz w:val="24"/>
          <w:szCs w:val="24"/>
        </w:rPr>
        <w:drawing>
          <wp:inline distT="0" distB="0" distL="0" distR="0">
            <wp:extent cx="9525" cy="9525"/>
            <wp:effectExtent l="0" t="0" r="0" b="0"/>
            <wp:docPr id="1" name="图片 1" descr="https://cts.businesswire.com/ct/CT?id=bwnews&amp;sty=20250820068162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50820068162r1&amp;sid=q4-prod&amp;distro=nx&amp;lang=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C0034" w:rsidRPr="007C0034" w:rsidRDefault="007C0034" w:rsidP="007C0034">
      <w:pPr>
        <w:widowControl/>
        <w:spacing w:before="100" w:beforeAutospacing="1" w:after="100" w:afterAutospacing="1"/>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Lara Mahoney</w:t>
      </w:r>
      <w:r w:rsidRPr="007C0034">
        <w:rPr>
          <w:rFonts w:ascii="Arial" w:eastAsia="宋体" w:hAnsi="Arial" w:cs="Arial"/>
          <w:color w:val="191919"/>
          <w:kern w:val="0"/>
          <w:sz w:val="24"/>
          <w:szCs w:val="24"/>
        </w:rPr>
        <w:br/>
        <w:t>Vice President, Investor Relations &amp; Corporate Communications</w:t>
      </w:r>
      <w:r w:rsidRPr="007C0034">
        <w:rPr>
          <w:rFonts w:ascii="Arial" w:eastAsia="宋体" w:hAnsi="Arial" w:cs="Arial"/>
          <w:color w:val="191919"/>
          <w:kern w:val="0"/>
          <w:sz w:val="24"/>
          <w:szCs w:val="24"/>
        </w:rPr>
        <w:br/>
        <w:t>440.204.9985</w:t>
      </w:r>
      <w:r w:rsidRPr="007C0034">
        <w:rPr>
          <w:rFonts w:ascii="Arial" w:eastAsia="宋体" w:hAnsi="Arial" w:cs="Arial"/>
          <w:color w:val="191919"/>
          <w:kern w:val="0"/>
          <w:sz w:val="24"/>
          <w:szCs w:val="24"/>
        </w:rPr>
        <w:br/>
      </w:r>
      <w:hyperlink r:id="rId10" w:history="1">
        <w:r w:rsidRPr="007C0034">
          <w:rPr>
            <w:rFonts w:ascii="Arial" w:eastAsia="宋体" w:hAnsi="Arial" w:cs="Arial"/>
            <w:color w:val="005293"/>
            <w:kern w:val="0"/>
            <w:sz w:val="24"/>
            <w:szCs w:val="24"/>
          </w:rPr>
          <w:t>Lara.Mahoney@nordson.com</w:t>
        </w:r>
      </w:hyperlink>
    </w:p>
    <w:p w:rsidR="007C0034" w:rsidRPr="007C0034" w:rsidRDefault="007C0034" w:rsidP="007C0034">
      <w:pPr>
        <w:widowControl/>
        <w:jc w:val="left"/>
        <w:rPr>
          <w:rFonts w:ascii="Arial" w:eastAsia="宋体" w:hAnsi="Arial" w:cs="Arial"/>
          <w:color w:val="191919"/>
          <w:kern w:val="0"/>
          <w:sz w:val="24"/>
          <w:szCs w:val="24"/>
        </w:rPr>
      </w:pPr>
      <w:r w:rsidRPr="007C0034">
        <w:rPr>
          <w:rFonts w:ascii="Arial" w:eastAsia="宋体" w:hAnsi="Arial" w:cs="Arial"/>
          <w:color w:val="191919"/>
          <w:kern w:val="0"/>
          <w:sz w:val="24"/>
          <w:szCs w:val="24"/>
        </w:rPr>
        <w:t>Source: Nordson Corporation</w:t>
      </w:r>
    </w:p>
    <w:p w:rsidR="00FB5617" w:rsidRDefault="00FB5617">
      <w:bookmarkStart w:id="0" w:name="_GoBack"/>
      <w:bookmarkEnd w:id="0"/>
    </w:p>
    <w:sectPr w:rsidR="00FB56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36449"/>
    <w:multiLevelType w:val="multilevel"/>
    <w:tmpl w:val="3524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9E793C"/>
    <w:multiLevelType w:val="multilevel"/>
    <w:tmpl w:val="7A906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49617D6"/>
    <w:multiLevelType w:val="multilevel"/>
    <w:tmpl w:val="42727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422943"/>
    <w:multiLevelType w:val="multilevel"/>
    <w:tmpl w:val="4EC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03C24B8"/>
    <w:multiLevelType w:val="multilevel"/>
    <w:tmpl w:val="9D6E1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24F7E24"/>
    <w:multiLevelType w:val="multilevel"/>
    <w:tmpl w:val="18E8D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CDA"/>
    <w:rsid w:val="000B0CDA"/>
    <w:rsid w:val="007C0034"/>
    <w:rsid w:val="00FB5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DAD778-9DAF-4B31-98B3-B92D4CD9E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7C003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7C0034"/>
    <w:rPr>
      <w:rFonts w:ascii="宋体" w:eastAsia="宋体" w:hAnsi="宋体" w:cs="宋体"/>
      <w:b/>
      <w:bCs/>
      <w:kern w:val="0"/>
      <w:sz w:val="27"/>
      <w:szCs w:val="27"/>
    </w:rPr>
  </w:style>
  <w:style w:type="character" w:customStyle="1" w:styleId="evergreen-news-date-text">
    <w:name w:val="evergreen-news-date-text"/>
    <w:basedOn w:val="a0"/>
    <w:rsid w:val="007C0034"/>
  </w:style>
  <w:style w:type="character" w:customStyle="1" w:styleId="evergreen-news-time-text">
    <w:name w:val="evergreen-news-time-text"/>
    <w:basedOn w:val="a0"/>
    <w:rsid w:val="007C0034"/>
  </w:style>
  <w:style w:type="paragraph" w:styleId="a3">
    <w:name w:val="Normal (Web)"/>
    <w:basedOn w:val="a"/>
    <w:uiPriority w:val="99"/>
    <w:semiHidden/>
    <w:unhideWhenUsed/>
    <w:rsid w:val="007C0034"/>
    <w:pPr>
      <w:widowControl/>
      <w:spacing w:before="100" w:beforeAutospacing="1" w:after="100" w:afterAutospacing="1"/>
      <w:jc w:val="left"/>
    </w:pPr>
    <w:rPr>
      <w:rFonts w:ascii="宋体" w:eastAsia="宋体" w:hAnsi="宋体" w:cs="宋体"/>
      <w:kern w:val="0"/>
      <w:sz w:val="24"/>
      <w:szCs w:val="24"/>
    </w:rPr>
  </w:style>
  <w:style w:type="character" w:customStyle="1" w:styleId="bwuline">
    <w:name w:val="bwuline"/>
    <w:basedOn w:val="a0"/>
    <w:rsid w:val="007C0034"/>
  </w:style>
  <w:style w:type="character" w:customStyle="1" w:styleId="bw-dateline-wrapper">
    <w:name w:val="bw-dateline-wrapper"/>
    <w:basedOn w:val="a0"/>
    <w:rsid w:val="007C0034"/>
  </w:style>
  <w:style w:type="character" w:styleId="a4">
    <w:name w:val="Hyperlink"/>
    <w:basedOn w:val="a0"/>
    <w:uiPriority w:val="99"/>
    <w:semiHidden/>
    <w:unhideWhenUsed/>
    <w:rsid w:val="007C0034"/>
    <w:rPr>
      <w:color w:val="0000FF"/>
      <w:u w:val="single"/>
    </w:rPr>
  </w:style>
  <w:style w:type="character" w:styleId="a5">
    <w:name w:val="FollowedHyperlink"/>
    <w:basedOn w:val="a0"/>
    <w:uiPriority w:val="99"/>
    <w:semiHidden/>
    <w:unhideWhenUsed/>
    <w:rsid w:val="007C0034"/>
    <w:rPr>
      <w:color w:val="800080"/>
      <w:u w:val="single"/>
    </w:rPr>
  </w:style>
  <w:style w:type="paragraph" w:customStyle="1" w:styleId="bwcellpmargin">
    <w:name w:val="bwcellpmargin"/>
    <w:basedOn w:val="a"/>
    <w:rsid w:val="007C0034"/>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7C0034"/>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7C0034"/>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7C0034"/>
  </w:style>
  <w:style w:type="character" w:customStyle="1" w:styleId="bw-source-text-wrapper">
    <w:name w:val="bw-source-text-wrapper"/>
    <w:basedOn w:val="a0"/>
    <w:rsid w:val="007C00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456087">
      <w:bodyDiv w:val="1"/>
      <w:marLeft w:val="0"/>
      <w:marRight w:val="0"/>
      <w:marTop w:val="0"/>
      <w:marBottom w:val="0"/>
      <w:divBdr>
        <w:top w:val="none" w:sz="0" w:space="0" w:color="auto"/>
        <w:left w:val="none" w:sz="0" w:space="0" w:color="auto"/>
        <w:bottom w:val="none" w:sz="0" w:space="0" w:color="auto"/>
        <w:right w:val="none" w:sz="0" w:space="0" w:color="auto"/>
      </w:divBdr>
      <w:divsChild>
        <w:div w:id="200678621">
          <w:marLeft w:val="0"/>
          <w:marRight w:val="0"/>
          <w:marTop w:val="360"/>
          <w:marBottom w:val="240"/>
          <w:divBdr>
            <w:top w:val="none" w:sz="0" w:space="0" w:color="auto"/>
            <w:left w:val="none" w:sz="0" w:space="0" w:color="auto"/>
            <w:bottom w:val="none" w:sz="0" w:space="0" w:color="auto"/>
            <w:right w:val="none" w:sz="0" w:space="0" w:color="auto"/>
          </w:divBdr>
        </w:div>
        <w:div w:id="1640109562">
          <w:marLeft w:val="0"/>
          <w:marRight w:val="0"/>
          <w:marTop w:val="0"/>
          <w:marBottom w:val="210"/>
          <w:divBdr>
            <w:top w:val="none" w:sz="0" w:space="0" w:color="auto"/>
            <w:left w:val="none" w:sz="0" w:space="0" w:color="auto"/>
            <w:bottom w:val="none" w:sz="0" w:space="0" w:color="auto"/>
            <w:right w:val="none" w:sz="0" w:space="0" w:color="auto"/>
          </w:divBdr>
        </w:div>
        <w:div w:id="404570229">
          <w:marLeft w:val="0"/>
          <w:marRight w:val="0"/>
          <w:marTop w:val="240"/>
          <w:marBottom w:val="240"/>
          <w:divBdr>
            <w:top w:val="none" w:sz="0" w:space="0" w:color="auto"/>
            <w:left w:val="none" w:sz="0" w:space="0" w:color="auto"/>
            <w:bottom w:val="none" w:sz="0" w:space="0" w:color="auto"/>
            <w:right w:val="none" w:sz="0" w:space="0" w:color="auto"/>
          </w:divBdr>
          <w:divsChild>
            <w:div w:id="513499817">
              <w:marLeft w:val="0"/>
              <w:marRight w:val="0"/>
              <w:marTop w:val="0"/>
              <w:marBottom w:val="0"/>
              <w:divBdr>
                <w:top w:val="none" w:sz="0" w:space="0" w:color="auto"/>
                <w:left w:val="none" w:sz="0" w:space="0" w:color="auto"/>
                <w:bottom w:val="none" w:sz="0" w:space="0" w:color="auto"/>
                <w:right w:val="none" w:sz="0" w:space="0" w:color="auto"/>
              </w:divBdr>
              <w:divsChild>
                <w:div w:id="2050914673">
                  <w:marLeft w:val="0"/>
                  <w:marRight w:val="0"/>
                  <w:marTop w:val="0"/>
                  <w:marBottom w:val="0"/>
                  <w:divBdr>
                    <w:top w:val="none" w:sz="0" w:space="0" w:color="auto"/>
                    <w:left w:val="none" w:sz="0" w:space="0" w:color="auto"/>
                    <w:bottom w:val="none" w:sz="0" w:space="0" w:color="auto"/>
                    <w:right w:val="none" w:sz="0" w:space="0" w:color="auto"/>
                  </w:divBdr>
                </w:div>
                <w:div w:id="80349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s.businesswire.com/ct/CT?id=smartlink&amp;url=http%3A%2F%2Fwww.facebook.com%2Fnordson&amp;esheet=54310798&amp;newsitemid=20250820068162&amp;lan=en-US&amp;anchor=www.facebook.com%2Fnordson&amp;index=3&amp;md5=41a8bf9f414ad5e094d37b7eb69def24" TargetMode="External"/><Relationship Id="rId3" Type="http://schemas.openxmlformats.org/officeDocument/2006/relationships/settings" Target="settings.xml"/><Relationship Id="rId7" Type="http://schemas.openxmlformats.org/officeDocument/2006/relationships/hyperlink" Target="https://cts.businesswire.com/ct/CT?id=smartlink&amp;url=http%3A%2F%2Fwww.nordson.com&amp;esheet=54310798&amp;newsitemid=20250820068162&amp;lan=en-US&amp;anchor=www.nordson.com&amp;index=2&amp;md5=a712c5bce6525c07b060f97976079b7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ra.mahoney@nordson.com" TargetMode="External"/><Relationship Id="rId11" Type="http://schemas.openxmlformats.org/officeDocument/2006/relationships/fontTable" Target="fontTable.xml"/><Relationship Id="rId5" Type="http://schemas.openxmlformats.org/officeDocument/2006/relationships/hyperlink" Target="https://cts.businesswire.com/ct/CT?id=smartlink&amp;url=https%3A%2F%2Finvestors.nordson.com&amp;esheet=54310798&amp;newsitemid=20250820068162&amp;lan=en-US&amp;anchor=https%3A%2F%2Finvestors.nordson.com&amp;index=1&amp;md5=0874721b414aed8dcdf2320032a3e313" TargetMode="External"/><Relationship Id="rId10" Type="http://schemas.openxmlformats.org/officeDocument/2006/relationships/hyperlink" Target="mailto:Lara.Mahoney@nordson.com" TargetMode="Externa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3754</Words>
  <Characters>21403</Characters>
  <Application>Microsoft Office Word</Application>
  <DocSecurity>0</DocSecurity>
  <Lines>178</Lines>
  <Paragraphs>50</Paragraphs>
  <ScaleCrop>false</ScaleCrop>
  <Company/>
  <LinksUpToDate>false</LinksUpToDate>
  <CharactersWithSpaces>25107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2025-08-21T02:24:00Z</dcterms:created>
  <dcterms:modified xsi:type="dcterms:W3CDTF">2025-08-21T02:24:00Z</dcterms:modified>
</cp:coreProperties>
</file>