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06E9" w:rsidRPr="004206E9" w:rsidRDefault="004206E9" w:rsidP="004206E9">
      <w:pPr>
        <w:widowControl/>
        <w:spacing w:before="100" w:beforeAutospacing="1" w:after="100" w:afterAutospacing="1" w:line="352" w:lineRule="atLeast"/>
        <w:jc w:val="left"/>
        <w:textAlignment w:val="baseline"/>
        <w:outlineLvl w:val="0"/>
        <w:rPr>
          <w:rFonts w:ascii="Arial" w:eastAsia="宋体" w:hAnsi="Arial" w:cs="Arial"/>
          <w:b/>
          <w:bCs/>
          <w:color w:val="262626"/>
          <w:spacing w:val="9"/>
          <w:kern w:val="36"/>
          <w:sz w:val="48"/>
          <w:szCs w:val="48"/>
        </w:rPr>
      </w:pPr>
      <w:r w:rsidRPr="004206E9">
        <w:rPr>
          <w:rFonts w:ascii="Arial" w:eastAsia="宋体" w:hAnsi="Arial" w:cs="Arial"/>
          <w:b/>
          <w:bCs/>
          <w:color w:val="262626"/>
          <w:spacing w:val="9"/>
          <w:kern w:val="36"/>
          <w:sz w:val="48"/>
          <w:szCs w:val="48"/>
        </w:rPr>
        <w:t>Federal Realty Investment Trust Reports Third Quarter 2025 Results</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bdr w:val="none" w:sz="0" w:space="0" w:color="auto" w:frame="1"/>
        </w:rPr>
        <w:t>NORTH BETHESDA, Md.</w:t>
      </w:r>
      <w:r w:rsidRPr="004206E9">
        <w:rPr>
          <w:rFonts w:ascii="宋体" w:eastAsia="宋体" w:hAnsi="宋体" w:cs="宋体"/>
          <w:color w:val="000000"/>
          <w:kern w:val="0"/>
          <w:sz w:val="29"/>
          <w:szCs w:val="29"/>
        </w:rPr>
        <w:t>, </w:t>
      </w:r>
      <w:r w:rsidRPr="004206E9">
        <w:rPr>
          <w:rFonts w:ascii="宋体" w:eastAsia="宋体" w:hAnsi="宋体" w:cs="宋体"/>
          <w:color w:val="000000"/>
          <w:kern w:val="0"/>
          <w:sz w:val="29"/>
          <w:szCs w:val="29"/>
          <w:bdr w:val="none" w:sz="0" w:space="0" w:color="auto" w:frame="1"/>
        </w:rPr>
        <w:t>Oct. 31, 2025</w:t>
      </w:r>
      <w:r w:rsidRPr="004206E9">
        <w:rPr>
          <w:rFonts w:ascii="宋体" w:eastAsia="宋体" w:hAnsi="宋体" w:cs="宋体"/>
          <w:color w:val="000000"/>
          <w:kern w:val="0"/>
          <w:sz w:val="29"/>
          <w:szCs w:val="29"/>
        </w:rPr>
        <w:t> /PRNewswire/ -- </w:t>
      </w:r>
      <w:hyperlink r:id="rId5" w:tgtFrame="_blank" w:history="1">
        <w:r w:rsidRPr="004206E9">
          <w:rPr>
            <w:rFonts w:ascii="宋体" w:eastAsia="宋体" w:hAnsi="宋体" w:cs="宋体"/>
            <w:color w:val="393939"/>
            <w:kern w:val="0"/>
            <w:sz w:val="29"/>
            <w:szCs w:val="29"/>
            <w:u w:val="single"/>
            <w:bdr w:val="none" w:sz="0" w:space="0" w:color="auto" w:frame="1"/>
          </w:rPr>
          <w:t>Federal Realty Investment Trust</w:t>
        </w:r>
      </w:hyperlink>
      <w:r w:rsidRPr="004206E9">
        <w:rPr>
          <w:rFonts w:ascii="宋体" w:eastAsia="宋体" w:hAnsi="宋体" w:cs="宋体"/>
          <w:color w:val="000000"/>
          <w:kern w:val="0"/>
          <w:sz w:val="29"/>
          <w:szCs w:val="29"/>
        </w:rPr>
        <w:t> (NYSE:FRT) today reported its results for the third quarter ended September 30, 2025. For the three months ended September 30, 2025 and 2024, net income available for common shareholders was $0.69 per diluted share and $0.70 per diluted share, respectively. Operating income for the same periods was $110.7 million and $105.8 million, respectively.</w:t>
      </w:r>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Highlights for the third quarter and subsequent to quarter-end include:</w:t>
      </w:r>
    </w:p>
    <w:p w:rsidR="004206E9" w:rsidRPr="004206E9" w:rsidRDefault="004206E9" w:rsidP="004206E9">
      <w:pPr>
        <w:widowControl/>
        <w:numPr>
          <w:ilvl w:val="0"/>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Generated NAREIT funds from operations available to common shareholders (FFO) per diluted share of $1.77 for the quarter, compared to $1.71 for the third quarter of 2024, an increase of 3.5%.</w:t>
      </w:r>
    </w:p>
    <w:p w:rsidR="004206E9" w:rsidRPr="004206E9" w:rsidRDefault="004206E9" w:rsidP="004206E9">
      <w:pPr>
        <w:widowControl/>
        <w:numPr>
          <w:ilvl w:val="0"/>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Achieved an all-time record leasing volume of 727,029 square feet of comparable retail space over 123 leases with rent growth of:</w:t>
      </w:r>
    </w:p>
    <w:p w:rsidR="004206E9" w:rsidRPr="004206E9" w:rsidRDefault="004206E9" w:rsidP="004206E9">
      <w:pPr>
        <w:widowControl/>
        <w:numPr>
          <w:ilvl w:val="1"/>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28% on a cash basis</w:t>
      </w:r>
    </w:p>
    <w:p w:rsidR="004206E9" w:rsidRPr="004206E9" w:rsidRDefault="004206E9" w:rsidP="004206E9">
      <w:pPr>
        <w:widowControl/>
        <w:numPr>
          <w:ilvl w:val="1"/>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43% on a straight-line basis</w:t>
      </w:r>
    </w:p>
    <w:p w:rsidR="004206E9" w:rsidRPr="004206E9" w:rsidRDefault="004206E9" w:rsidP="004206E9">
      <w:pPr>
        <w:widowControl/>
        <w:numPr>
          <w:ilvl w:val="0"/>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Generated comparable property operating income (POI) growth of 4.4%, excluding lease termination fees and prior period rents collected.</w:t>
      </w:r>
    </w:p>
    <w:p w:rsidR="004206E9" w:rsidRPr="004206E9" w:rsidRDefault="004206E9" w:rsidP="004206E9">
      <w:pPr>
        <w:widowControl/>
        <w:numPr>
          <w:ilvl w:val="0"/>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Reported comparable portfolio occupancy of 94.0% and a leased rate of 95.7% at quarter end, with:</w:t>
      </w:r>
    </w:p>
    <w:p w:rsidR="004206E9" w:rsidRPr="004206E9" w:rsidRDefault="004206E9" w:rsidP="004206E9">
      <w:pPr>
        <w:widowControl/>
        <w:numPr>
          <w:ilvl w:val="1"/>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Occupancy up 40 basis points and leased rate up 10 basis points quarter-over-quarter</w:t>
      </w:r>
    </w:p>
    <w:p w:rsidR="004206E9" w:rsidRPr="004206E9" w:rsidRDefault="004206E9" w:rsidP="004206E9">
      <w:pPr>
        <w:widowControl/>
        <w:numPr>
          <w:ilvl w:val="1"/>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Occupancy up 20 basis points and leased rate down 10 basis points year-over-year</w:t>
      </w:r>
    </w:p>
    <w:p w:rsidR="004206E9" w:rsidRPr="004206E9" w:rsidRDefault="004206E9" w:rsidP="004206E9">
      <w:pPr>
        <w:widowControl/>
        <w:numPr>
          <w:ilvl w:val="0"/>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Continued strong small shop leased rate, ending the quarter at 93.3% leased representing an increase of 20 basis points year-over-year.</w:t>
      </w:r>
    </w:p>
    <w:p w:rsidR="004206E9" w:rsidRPr="004206E9" w:rsidRDefault="004206E9" w:rsidP="004206E9">
      <w:pPr>
        <w:widowControl/>
        <w:numPr>
          <w:ilvl w:val="0"/>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Subsequent to quarter end, announced the acquisition of Annapolis Town Center in Annapolis, Maryland totaling 479,000 square feet for a purchase price of $187 million.</w:t>
      </w:r>
    </w:p>
    <w:p w:rsidR="004206E9" w:rsidRPr="004206E9" w:rsidRDefault="004206E9" w:rsidP="004206E9">
      <w:pPr>
        <w:widowControl/>
        <w:numPr>
          <w:ilvl w:val="0"/>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Ended the quarter with approximately $1.3 billion in total liquidity.</w:t>
      </w:r>
    </w:p>
    <w:p w:rsidR="004206E9" w:rsidRPr="004206E9" w:rsidRDefault="004206E9" w:rsidP="004206E9">
      <w:pPr>
        <w:widowControl/>
        <w:numPr>
          <w:ilvl w:val="0"/>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Updated guidance for 2025 earnings per diluted share to $3.93 - $3.99.</w:t>
      </w:r>
    </w:p>
    <w:p w:rsidR="004206E9" w:rsidRPr="004206E9" w:rsidRDefault="004206E9" w:rsidP="004206E9">
      <w:pPr>
        <w:widowControl/>
        <w:numPr>
          <w:ilvl w:val="0"/>
          <w:numId w:val="1"/>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Raised guidance for 2025 FFO per diluted share to $7.05 - $7.11, which excludes $0.15 of one-time new market tax credit ("NMTC") transaction income that occurred in the second quarter, representing 4.6% growth at the midpoint year-over-year.</w:t>
      </w:r>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"Our third quarter performance reflects the strength of our portfolio and the discipline of our strategy," said Donald C. Wood, Chief Executive Officer of Federal Realty. "Record leasing volume and some of the strongest rent spreads in our history underscore the demand for our properties and the power of our platform. We're driving NOI growth and maintaining sharp focus on disciplined capital allocation that drives compounding</w:t>
      </w:r>
      <w:proofErr w:type="gramStart"/>
      <w:r w:rsidRPr="004206E9">
        <w:rPr>
          <w:rFonts w:ascii="宋体" w:eastAsia="宋体" w:hAnsi="宋体" w:cs="宋体"/>
          <w:color w:val="000000"/>
          <w:kern w:val="0"/>
          <w:sz w:val="29"/>
          <w:szCs w:val="29"/>
        </w:rPr>
        <w:t>  growth</w:t>
      </w:r>
      <w:proofErr w:type="gramEnd"/>
      <w:r w:rsidRPr="004206E9">
        <w:rPr>
          <w:rFonts w:ascii="宋体" w:eastAsia="宋体" w:hAnsi="宋体" w:cs="宋体"/>
          <w:color w:val="000000"/>
          <w:kern w:val="0"/>
          <w:sz w:val="29"/>
          <w:szCs w:val="29"/>
        </w:rPr>
        <w:t xml:space="preserve"> over time."</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b/>
          <w:bCs/>
          <w:color w:val="000000"/>
          <w:kern w:val="0"/>
          <w:sz w:val="29"/>
          <w:szCs w:val="29"/>
          <w:bdr w:val="none" w:sz="0" w:space="0" w:color="auto" w:frame="1"/>
        </w:rPr>
        <w:t>Financial Results</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i/>
          <w:iCs/>
          <w:color w:val="000000"/>
          <w:kern w:val="0"/>
          <w:sz w:val="29"/>
          <w:szCs w:val="29"/>
          <w:bdr w:val="none" w:sz="0" w:space="0" w:color="auto" w:frame="1"/>
        </w:rPr>
        <w:t>Net Income</w:t>
      </w:r>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For the third quarter 2025, net income available for common shareholders was $59.6 million and earnings per diluted share was $0.69 versus $58.9 million and $0.70, respectively, for the third quarter 2024.</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i/>
          <w:iCs/>
          <w:color w:val="000000"/>
          <w:kern w:val="0"/>
          <w:sz w:val="29"/>
          <w:szCs w:val="29"/>
          <w:bdr w:val="none" w:sz="0" w:space="0" w:color="auto" w:frame="1"/>
        </w:rPr>
        <w:t>FFO</w:t>
      </w:r>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For the third quarter 2025, FFO was $153.0 million, or $1.77 per diluted share. This compares to $144.6 million, or $1.71 per diluted share for the third quarter 2024.</w:t>
      </w:r>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FFO is a non-GAAP supplemental earnings measure which the Trust considers meaningful in measuring its operating performance.  A reconciliation of FFO to net income is attached to this press release.</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b/>
          <w:bCs/>
          <w:color w:val="000000"/>
          <w:kern w:val="0"/>
          <w:sz w:val="29"/>
          <w:szCs w:val="29"/>
          <w:bdr w:val="none" w:sz="0" w:space="0" w:color="auto" w:frame="1"/>
        </w:rPr>
        <w:t>Operational Update</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i/>
          <w:iCs/>
          <w:color w:val="000000"/>
          <w:kern w:val="0"/>
          <w:sz w:val="29"/>
          <w:szCs w:val="29"/>
          <w:bdr w:val="none" w:sz="0" w:space="0" w:color="auto" w:frame="1"/>
        </w:rPr>
        <w:t>Occupancy</w:t>
      </w:r>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The following operational metrics for the commercial portfolio are as of September 30, 2025:</w:t>
      </w:r>
    </w:p>
    <w:p w:rsidR="004206E9" w:rsidRPr="004206E9" w:rsidRDefault="004206E9" w:rsidP="004206E9">
      <w:pPr>
        <w:widowControl/>
        <w:numPr>
          <w:ilvl w:val="0"/>
          <w:numId w:val="2"/>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The comparable portfolio occupancy was 94.0%, up 40 basis points sequentially and up 20 basis points year-over-year.</w:t>
      </w:r>
    </w:p>
    <w:p w:rsidR="004206E9" w:rsidRPr="004206E9" w:rsidRDefault="004206E9" w:rsidP="004206E9">
      <w:pPr>
        <w:widowControl/>
        <w:numPr>
          <w:ilvl w:val="0"/>
          <w:numId w:val="2"/>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Comparable portfolio leased rate was 95.7%, up 10 basis points sequentially and down 10 basis points year-over-year.</w:t>
      </w:r>
    </w:p>
    <w:p w:rsidR="004206E9" w:rsidRPr="004206E9" w:rsidRDefault="004206E9" w:rsidP="004206E9">
      <w:pPr>
        <w:widowControl/>
        <w:numPr>
          <w:ilvl w:val="0"/>
          <w:numId w:val="2"/>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Small shop leased rate was 93.3%, down 10 basis points sequentially and up 20 basis points year-over-year.</w:t>
      </w:r>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The residential leased rate was 96.0% as of September 30, 2025.</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i/>
          <w:iCs/>
          <w:color w:val="000000"/>
          <w:kern w:val="0"/>
          <w:sz w:val="29"/>
          <w:szCs w:val="29"/>
          <w:bdr w:val="none" w:sz="0" w:space="0" w:color="auto" w:frame="1"/>
        </w:rPr>
        <w:t>Leasing Activity</w:t>
      </w:r>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During the third quarter 2025, Federal Realty signed 132 leases totaling 774,890 square feet of retail space. On a comparable space basis, the company signed 123 leases for 727,029 square feet at an average rent of $35.71 per square foot, compared to $27.85 under prior leases, representing a 28% increase on a cash basis and 43% increase on a straight-line basis.</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i/>
          <w:iCs/>
          <w:color w:val="000000"/>
          <w:kern w:val="0"/>
          <w:sz w:val="29"/>
          <w:szCs w:val="29"/>
          <w:bdr w:val="none" w:sz="0" w:space="0" w:color="auto" w:frame="1"/>
        </w:rPr>
        <w:t>Transaction Activity</w:t>
      </w:r>
    </w:p>
    <w:p w:rsidR="004206E9" w:rsidRPr="004206E9" w:rsidRDefault="004206E9" w:rsidP="004206E9">
      <w:pPr>
        <w:widowControl/>
        <w:numPr>
          <w:ilvl w:val="0"/>
          <w:numId w:val="3"/>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October 10, 2025 – acquired Annapolis Town Center, a premier open-air retail center in Annapolis, MD totaling approximately 479,000 square feet, for $187 million.</w:t>
      </w:r>
    </w:p>
    <w:p w:rsidR="004206E9" w:rsidRPr="004206E9" w:rsidRDefault="004206E9" w:rsidP="004206E9">
      <w:pPr>
        <w:widowControl/>
        <w:numPr>
          <w:ilvl w:val="0"/>
          <w:numId w:val="3"/>
        </w:numPr>
        <w:spacing w:before="100" w:beforeAutospacing="1" w:after="100"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July 1, 2025 – acquired Town Center Crossing and Town Center Plaza, two dominant open-air retail centers in </w:t>
      </w:r>
      <w:proofErr w:type="spellStart"/>
      <w:r w:rsidRPr="004206E9">
        <w:rPr>
          <w:rFonts w:ascii="宋体" w:eastAsia="宋体" w:hAnsi="宋体" w:cs="宋体"/>
          <w:color w:val="262626"/>
          <w:kern w:val="0"/>
          <w:sz w:val="27"/>
          <w:szCs w:val="27"/>
        </w:rPr>
        <w:t>Leawood</w:t>
      </w:r>
      <w:proofErr w:type="spellEnd"/>
      <w:r w:rsidRPr="004206E9">
        <w:rPr>
          <w:rFonts w:ascii="宋体" w:eastAsia="宋体" w:hAnsi="宋体" w:cs="宋体"/>
          <w:color w:val="262626"/>
          <w:kern w:val="0"/>
          <w:sz w:val="27"/>
          <w:szCs w:val="27"/>
        </w:rPr>
        <w:t>, KS totaling approximately 552,000 square feet, for $289 million.</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b/>
          <w:bCs/>
          <w:color w:val="000000"/>
          <w:kern w:val="0"/>
          <w:sz w:val="29"/>
          <w:szCs w:val="29"/>
          <w:bdr w:val="none" w:sz="0" w:space="0" w:color="auto" w:frame="1"/>
        </w:rPr>
        <w:t>Regular Quarterly Dividends</w:t>
      </w:r>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Federal Realty announced today that its Board of Trustees declared a regular quarterly cash dividend of $1.13 per common share, resulting in an indicated annual rate of $4.52 per common share. The regular common dividend will be payable on January 15, 2026 to common shareholders of record as of January 2, 2026.</w:t>
      </w:r>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Federal Realty's Board of Trustees also declared a quarterly cash dividend on its Class C depositary shares, each representing 1/1000 of a 5.000% Series C Cumulative Preferred Share of Beneficial Interest, of $0.3125 per depositary share. All dividends on the depositary shares will be payable on January 15, 2026 to shareholders of record as of January 2, 2026.</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b/>
          <w:bCs/>
          <w:color w:val="000000"/>
          <w:kern w:val="0"/>
          <w:sz w:val="29"/>
          <w:szCs w:val="29"/>
          <w:bdr w:val="none" w:sz="0" w:space="0" w:color="auto" w:frame="1"/>
        </w:rPr>
        <w:t>2025 Guidance</w:t>
      </w:r>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Federal Realty has tightened its 2025 earnings per diluted share guidance and raised and tightened its 2025 FFO guidance, as summarized in the table below:</w:t>
      </w:r>
    </w:p>
    <w:tbl>
      <w:tblPr>
        <w:tblW w:w="0" w:type="auto"/>
        <w:tblCellMar>
          <w:left w:w="0" w:type="dxa"/>
          <w:right w:w="0" w:type="dxa"/>
        </w:tblCellMar>
        <w:tblLook w:val="04A0" w:firstRow="1" w:lastRow="0" w:firstColumn="1" w:lastColumn="0" w:noHBand="0" w:noVBand="1"/>
      </w:tblPr>
      <w:tblGrid>
        <w:gridCol w:w="5"/>
        <w:gridCol w:w="211"/>
        <w:gridCol w:w="4802"/>
        <w:gridCol w:w="1756"/>
        <w:gridCol w:w="1527"/>
        <w:gridCol w:w="5"/>
      </w:tblGrid>
      <w:tr w:rsidR="004206E9" w:rsidRPr="004206E9" w:rsidTr="004206E9">
        <w:trPr>
          <w:gridBefore w:val="1"/>
          <w:gridAfter w:val="1"/>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w:t>
            </w:r>
            <w:r w:rsidRPr="004206E9">
              <w:rPr>
                <w:rFonts w:ascii="Arial" w:eastAsia="宋体" w:hAnsi="Arial" w:cs="Arial"/>
                <w:b/>
                <w:bCs/>
                <w:color w:val="000000"/>
                <w:kern w:val="0"/>
                <w:sz w:val="16"/>
                <w:szCs w:val="16"/>
                <w:u w:val="single"/>
                <w:bdr w:val="none" w:sz="0" w:space="0" w:color="auto" w:frame="1"/>
              </w:rPr>
              <w:t>Full Year 2025 Guidance</w:t>
            </w:r>
            <w:r w:rsidRPr="004206E9">
              <w:rPr>
                <w:rFonts w:ascii="Arial" w:eastAsia="宋体" w:hAnsi="Arial" w:cs="Arial"/>
                <w:b/>
                <w:bCs/>
                <w:color w:val="000000"/>
                <w:kern w:val="0"/>
                <w:sz w:val="16"/>
                <w:szCs w:val="16"/>
                <w:bdr w:val="none" w:sz="0" w:space="0" w:color="auto" w:frame="1"/>
              </w:rPr>
              <w:t>  </w:t>
            </w:r>
            <w:r w:rsidRPr="004206E9">
              <w:rPr>
                <w:rFonts w:ascii="Arial" w:eastAsia="宋体" w:hAnsi="Arial" w:cs="Arial"/>
                <w:color w:val="000000"/>
                <w:kern w:val="0"/>
                <w:sz w:val="16"/>
                <w:szCs w:val="16"/>
                <w:bdr w:val="none" w:sz="0" w:space="0" w:color="auto" w:frame="1"/>
              </w:rPr>
              <w:t>  </w:t>
            </w:r>
          </w:p>
        </w:tc>
        <w:tc>
          <w:tcPr>
            <w:tcW w:w="0" w:type="auto"/>
            <w:tcBorders>
              <w:top w:val="single" w:sz="4" w:space="0" w:color="000000"/>
              <w:left w:val="nil"/>
              <w:bottom w:val="single" w:sz="4" w:space="0" w:color="000000"/>
              <w:right w:val="single" w:sz="4" w:space="0" w:color="000000"/>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w:t>
            </w:r>
            <w:r w:rsidRPr="004206E9">
              <w:rPr>
                <w:rFonts w:ascii="Arial" w:eastAsia="宋体" w:hAnsi="Arial" w:cs="Arial"/>
                <w:b/>
                <w:bCs/>
                <w:color w:val="000000"/>
                <w:kern w:val="0"/>
                <w:sz w:val="16"/>
                <w:szCs w:val="16"/>
                <w:u w:val="single"/>
                <w:bdr w:val="none" w:sz="0" w:space="0" w:color="auto" w:frame="1"/>
              </w:rPr>
              <w:t>Revised Guidance</w:t>
            </w:r>
            <w:r w:rsidRPr="004206E9">
              <w:rPr>
                <w:rFonts w:ascii="Arial" w:eastAsia="宋体" w:hAnsi="Arial" w:cs="Arial"/>
                <w:b/>
                <w:bCs/>
                <w:color w:val="000000"/>
                <w:kern w:val="0"/>
                <w:sz w:val="16"/>
                <w:szCs w:val="16"/>
                <w:bdr w:val="none" w:sz="0" w:space="0" w:color="auto" w:frame="1"/>
              </w:rPr>
              <w:t>  </w:t>
            </w:r>
            <w:r w:rsidRPr="004206E9">
              <w:rPr>
                <w:rFonts w:ascii="Arial" w:eastAsia="宋体" w:hAnsi="Arial" w:cs="Arial"/>
                <w:color w:val="000000"/>
                <w:kern w:val="0"/>
                <w:sz w:val="16"/>
                <w:szCs w:val="16"/>
                <w:bdr w:val="none" w:sz="0" w:space="0" w:color="auto" w:frame="1"/>
              </w:rPr>
              <w:t>  </w:t>
            </w:r>
          </w:p>
        </w:tc>
        <w:tc>
          <w:tcPr>
            <w:tcW w:w="0" w:type="auto"/>
            <w:tcBorders>
              <w:top w:val="single" w:sz="4" w:space="0" w:color="000000"/>
              <w:left w:val="nil"/>
              <w:bottom w:val="single" w:sz="4" w:space="0" w:color="000000"/>
              <w:right w:val="single" w:sz="4" w:space="0" w:color="000000"/>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w:t>
            </w:r>
            <w:r w:rsidRPr="004206E9">
              <w:rPr>
                <w:rFonts w:ascii="Arial" w:eastAsia="宋体" w:hAnsi="Arial" w:cs="Arial"/>
                <w:b/>
                <w:bCs/>
                <w:color w:val="000000"/>
                <w:kern w:val="0"/>
                <w:sz w:val="16"/>
                <w:szCs w:val="16"/>
                <w:u w:val="single"/>
                <w:bdr w:val="none" w:sz="0" w:space="0" w:color="auto" w:frame="1"/>
              </w:rPr>
              <w:t>Prior Guidance</w:t>
            </w:r>
            <w:r w:rsidRPr="004206E9">
              <w:rPr>
                <w:rFonts w:ascii="Arial" w:eastAsia="宋体" w:hAnsi="Arial" w:cs="Arial"/>
                <w:b/>
                <w:bCs/>
                <w:color w:val="000000"/>
                <w:kern w:val="0"/>
                <w:sz w:val="16"/>
                <w:szCs w:val="16"/>
                <w:bdr w:val="none" w:sz="0" w:space="0" w:color="auto" w:frame="1"/>
              </w:rPr>
              <w:t>  </w:t>
            </w:r>
            <w:r w:rsidRPr="004206E9">
              <w:rPr>
                <w:rFonts w:ascii="Arial" w:eastAsia="宋体" w:hAnsi="Arial" w:cs="Arial"/>
                <w:color w:val="000000"/>
                <w:kern w:val="0"/>
                <w:sz w:val="16"/>
                <w:szCs w:val="16"/>
                <w:bdr w:val="none" w:sz="0" w:space="0" w:color="auto" w:frame="1"/>
              </w:rPr>
              <w:t>  </w:t>
            </w:r>
          </w:p>
        </w:tc>
      </w:tr>
      <w:tr w:rsidR="004206E9" w:rsidRPr="004206E9" w:rsidTr="004206E9">
        <w:trPr>
          <w:gridBefore w:val="1"/>
          <w:gridAfter w:val="1"/>
        </w:trPr>
        <w:tc>
          <w:tcPr>
            <w:tcW w:w="0" w:type="auto"/>
            <w:gridSpan w:val="2"/>
            <w:tcBorders>
              <w:top w:val="nil"/>
              <w:left w:val="single" w:sz="4" w:space="0" w:color="000000"/>
              <w:bottom w:val="single" w:sz="4" w:space="0" w:color="000000"/>
              <w:right w:val="single" w:sz="4" w:space="0" w:color="000000"/>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2025 Earnings per diluted share</w:t>
            </w:r>
          </w:p>
        </w:tc>
        <w:tc>
          <w:tcPr>
            <w:tcW w:w="0" w:type="auto"/>
            <w:tcBorders>
              <w:top w:val="nil"/>
              <w:left w:val="nil"/>
              <w:bottom w:val="single" w:sz="4" w:space="0" w:color="000000"/>
              <w:right w:val="single" w:sz="4" w:space="0" w:color="000000"/>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$3.93 to $3.99</w:t>
            </w:r>
          </w:p>
        </w:tc>
        <w:tc>
          <w:tcPr>
            <w:tcW w:w="0" w:type="auto"/>
            <w:tcBorders>
              <w:top w:val="nil"/>
              <w:left w:val="nil"/>
              <w:bottom w:val="single" w:sz="4" w:space="0" w:color="000000"/>
              <w:right w:val="single" w:sz="4" w:space="0" w:color="000000"/>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$3.91 to $4.01</w:t>
            </w:r>
          </w:p>
        </w:tc>
      </w:tr>
      <w:tr w:rsidR="004206E9" w:rsidRPr="004206E9" w:rsidTr="004206E9">
        <w:trPr>
          <w:gridBefore w:val="1"/>
          <w:gridAfter w:val="1"/>
        </w:trPr>
        <w:tc>
          <w:tcPr>
            <w:tcW w:w="0" w:type="auto"/>
            <w:gridSpan w:val="2"/>
            <w:tcBorders>
              <w:top w:val="nil"/>
              <w:left w:val="single" w:sz="4" w:space="0" w:color="000000"/>
              <w:bottom w:val="single" w:sz="4" w:space="0" w:color="000000"/>
              <w:right w:val="single" w:sz="4" w:space="0" w:color="000000"/>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2025 FFO per diluted share</w:t>
            </w:r>
          </w:p>
        </w:tc>
        <w:tc>
          <w:tcPr>
            <w:tcW w:w="0" w:type="auto"/>
            <w:tcBorders>
              <w:top w:val="nil"/>
              <w:left w:val="nil"/>
              <w:bottom w:val="single" w:sz="4" w:space="0" w:color="000000"/>
              <w:right w:val="single" w:sz="4" w:space="0" w:color="000000"/>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$7.20 to $7.26</w:t>
            </w:r>
          </w:p>
        </w:tc>
        <w:tc>
          <w:tcPr>
            <w:tcW w:w="0" w:type="auto"/>
            <w:tcBorders>
              <w:top w:val="nil"/>
              <w:left w:val="nil"/>
              <w:bottom w:val="single" w:sz="4" w:space="0" w:color="000000"/>
              <w:right w:val="single" w:sz="4" w:space="0" w:color="000000"/>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$7.16 to $7.26</w:t>
            </w:r>
          </w:p>
        </w:tc>
      </w:tr>
      <w:tr w:rsidR="004206E9" w:rsidRPr="004206E9" w:rsidTr="004206E9">
        <w:trPr>
          <w:gridBefore w:val="1"/>
          <w:gridAfter w:val="1"/>
        </w:trPr>
        <w:tc>
          <w:tcPr>
            <w:tcW w:w="0" w:type="auto"/>
            <w:gridSpan w:val="2"/>
            <w:tcBorders>
              <w:top w:val="nil"/>
              <w:left w:val="single" w:sz="4" w:space="0" w:color="000000"/>
              <w:bottom w:val="single" w:sz="4" w:space="0" w:color="000000"/>
              <w:right w:val="single" w:sz="4" w:space="0" w:color="000000"/>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i/>
                <w:iCs/>
                <w:color w:val="000000"/>
                <w:kern w:val="0"/>
                <w:sz w:val="16"/>
                <w:szCs w:val="16"/>
                <w:bdr w:val="none" w:sz="0" w:space="0" w:color="auto" w:frame="1"/>
              </w:rPr>
              <w:t>2025 FFO per diluted share, excluding NMTC transaction income</w:t>
            </w:r>
            <w:r w:rsidRPr="004206E9">
              <w:rPr>
                <w:rFonts w:ascii="Arial" w:eastAsia="宋体" w:hAnsi="Arial" w:cs="Arial"/>
                <w:i/>
                <w:iCs/>
                <w:color w:val="000000"/>
                <w:kern w:val="0"/>
                <w:sz w:val="10"/>
                <w:szCs w:val="10"/>
                <w:bdr w:val="none" w:sz="0" w:space="0" w:color="auto" w:frame="1"/>
                <w:vertAlign w:val="superscript"/>
              </w:rPr>
              <w:t>1               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single" w:sz="4" w:space="0" w:color="000000"/>
              <w:right w:val="single" w:sz="4" w:space="0" w:color="000000"/>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i/>
                <w:iCs/>
                <w:color w:val="000000"/>
                <w:kern w:val="0"/>
                <w:sz w:val="16"/>
                <w:szCs w:val="16"/>
                <w:bdr w:val="none" w:sz="0" w:space="0" w:color="auto" w:frame="1"/>
              </w:rPr>
              <w:t>$7.05 to $7.11</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single" w:sz="4" w:space="0" w:color="000000"/>
              <w:right w:val="single" w:sz="4" w:space="0" w:color="000000"/>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i/>
                <w:iCs/>
                <w:color w:val="000000"/>
                <w:kern w:val="0"/>
                <w:sz w:val="16"/>
                <w:szCs w:val="16"/>
                <w:bdr w:val="none" w:sz="0" w:space="0" w:color="auto" w:frame="1"/>
              </w:rPr>
              <w:t>$7.01 to $7.11</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gridSpan w:val="2"/>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w:t>
            </w:r>
          </w:p>
        </w:tc>
        <w:tc>
          <w:tcPr>
            <w:tcW w:w="0" w:type="auto"/>
            <w:gridSpan w:val="4"/>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See further discussion of NMTC transaction income in Form 10-Q filed with the Securities and Exchange Commission on August 6, 2025.</w:t>
            </w:r>
          </w:p>
        </w:tc>
      </w:tr>
    </w:tbl>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b/>
          <w:bCs/>
          <w:color w:val="000000"/>
          <w:kern w:val="0"/>
          <w:sz w:val="29"/>
          <w:szCs w:val="29"/>
          <w:bdr w:val="none" w:sz="0" w:space="0" w:color="auto" w:frame="1"/>
        </w:rPr>
        <w:t>Conference Call Information</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Federal Realty's management team will present an in-depth discussion of Federal Realty's operating performance on its third quarter 2025 earnings conference call, which is scheduled for Friday, October 31, 2025 at 9:00 AM ET. To participate, please call 833-821-4548 or 412-652-1258 prior to the call start time. The teleconference can also be accessed via a live webcast at </w:t>
      </w:r>
      <w:hyperlink r:id="rId6" w:history="1">
        <w:r w:rsidRPr="004206E9">
          <w:rPr>
            <w:rFonts w:ascii="宋体" w:eastAsia="宋体" w:hAnsi="宋体" w:cs="宋体"/>
            <w:color w:val="393939"/>
            <w:kern w:val="0"/>
            <w:sz w:val="29"/>
            <w:szCs w:val="29"/>
            <w:u w:val="single"/>
            <w:bdr w:val="none" w:sz="0" w:space="0" w:color="auto" w:frame="1"/>
          </w:rPr>
          <w:t>www.federalrealty.com</w:t>
        </w:r>
      </w:hyperlink>
      <w:r w:rsidRPr="004206E9">
        <w:rPr>
          <w:rFonts w:ascii="宋体" w:eastAsia="宋体" w:hAnsi="宋体" w:cs="宋体"/>
          <w:color w:val="000000"/>
          <w:kern w:val="0"/>
          <w:sz w:val="29"/>
          <w:szCs w:val="29"/>
        </w:rPr>
        <w:t> in the Investors section. A replay of the webcast will be available on Federal Realty's website at </w:t>
      </w:r>
      <w:hyperlink r:id="rId7" w:history="1">
        <w:r w:rsidRPr="004206E9">
          <w:rPr>
            <w:rFonts w:ascii="宋体" w:eastAsia="宋体" w:hAnsi="宋体" w:cs="宋体"/>
            <w:color w:val="393939"/>
            <w:kern w:val="0"/>
            <w:sz w:val="29"/>
            <w:szCs w:val="29"/>
            <w:u w:val="single"/>
            <w:bdr w:val="none" w:sz="0" w:space="0" w:color="auto" w:frame="1"/>
          </w:rPr>
          <w:t>www.federalrealty.com</w:t>
        </w:r>
      </w:hyperlink>
      <w:r w:rsidRPr="004206E9">
        <w:rPr>
          <w:rFonts w:ascii="宋体" w:eastAsia="宋体" w:hAnsi="宋体" w:cs="宋体"/>
          <w:color w:val="000000"/>
          <w:kern w:val="0"/>
          <w:sz w:val="29"/>
          <w:szCs w:val="29"/>
        </w:rPr>
        <w:t>. A telephonic replay of the conference call will also be available through November 14, 2025 by dialing 844-512-2921 or 412-317-6671; Passcode: 10203351.</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b/>
          <w:bCs/>
          <w:color w:val="000000"/>
          <w:kern w:val="0"/>
          <w:sz w:val="29"/>
          <w:szCs w:val="29"/>
          <w:bdr w:val="none" w:sz="0" w:space="0" w:color="auto" w:frame="1"/>
        </w:rPr>
        <w:t>About Federal Realty</w:t>
      </w:r>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Federal Realty is a recognized leader in the ownership, operation and redevelopment of high-quality retail-based properties located primarily in major coastal markets and select underserved regions with strong economic and demographic fundamentals. Founded in 1962, Federal Realty's mission is to deliver long-term, sustainable growth through investing in communities where retail demand exceeds supply. This includes a portfolio of open-air shopping centers and mixed-use destinations—such as Santana Row, Pike &amp; Rose and Assembly Row—which together reflect the company's ability to create distinctive, high-performing environments that serve as vibrant destinations for their communities. Federal Realty's 103 properties include approximately 3,600 tenants in 27.9 million commercial square feet, and approximately 3,000 residential units. </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Federal Realty has increased its quarterly dividends to its shareholders for 58 consecutive years, the longest record in the REIT industry. The company is an S&amp;P 500 index member and its shares are traded on the NYSE under the symbol FRT. For additional information about Federal Realty and its properties, visit </w:t>
      </w:r>
      <w:hyperlink r:id="rId8" w:tgtFrame="_blank" w:history="1">
        <w:r w:rsidRPr="004206E9">
          <w:rPr>
            <w:rFonts w:ascii="宋体" w:eastAsia="宋体" w:hAnsi="宋体" w:cs="宋体"/>
            <w:color w:val="393939"/>
            <w:kern w:val="0"/>
            <w:sz w:val="29"/>
            <w:szCs w:val="29"/>
            <w:u w:val="single"/>
            <w:bdr w:val="none" w:sz="0" w:space="0" w:color="auto" w:frame="1"/>
          </w:rPr>
          <w:t>www.federalrealty.com</w:t>
        </w:r>
      </w:hyperlink>
      <w:r w:rsidRPr="004206E9">
        <w:rPr>
          <w:rFonts w:ascii="宋体" w:eastAsia="宋体" w:hAnsi="宋体" w:cs="宋体"/>
          <w:color w:val="000000"/>
          <w:kern w:val="0"/>
          <w:sz w:val="29"/>
          <w:szCs w:val="29"/>
        </w:rPr>
        <w:t>.</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b/>
          <w:bCs/>
          <w:color w:val="000000"/>
          <w:kern w:val="0"/>
          <w:sz w:val="29"/>
          <w:szCs w:val="29"/>
          <w:bdr w:val="none" w:sz="0" w:space="0" w:color="auto" w:frame="1"/>
        </w:rPr>
        <w:t>Safe Harbor Language</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i/>
          <w:iCs/>
          <w:color w:val="000000"/>
          <w:kern w:val="0"/>
          <w:sz w:val="29"/>
          <w:szCs w:val="29"/>
          <w:bdr w:val="none" w:sz="0" w:space="0" w:color="auto" w:frame="1"/>
        </w:rPr>
        <w:t>Certain matters discussed within this Press Release may be deemed to be forward-looking statements within the meaning of the federal securities laws. Although Federal Realty believes the expectations reflected in the forward-looking statements are based on reasonable assumptions, it can give no assurance that its expectations will be attained. These factors include, but are not limited to, the risk factors described in our Annual Report on Form 10-K filed on February 13, 2025 and include the following:</w:t>
      </w:r>
    </w:p>
    <w:p w:rsidR="004206E9" w:rsidRPr="004206E9" w:rsidRDefault="004206E9" w:rsidP="004206E9">
      <w:pPr>
        <w:widowControl/>
        <w:numPr>
          <w:ilvl w:val="0"/>
          <w:numId w:val="4"/>
        </w:numPr>
        <w:spacing w:beforeAutospacing="1"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i/>
          <w:iCs/>
          <w:color w:val="262626"/>
          <w:kern w:val="0"/>
          <w:sz w:val="27"/>
          <w:szCs w:val="27"/>
          <w:bdr w:val="none" w:sz="0" w:space="0" w:color="auto" w:frame="1"/>
        </w:rPr>
        <w:t>risks that our tenants will not pay rent, may vacate early or may file for bankruptcy or that we may be unable to renew leases or re-let space at favorable rents as leases expire or to fill existing vacancy;</w:t>
      </w:r>
    </w:p>
    <w:p w:rsidR="004206E9" w:rsidRPr="004206E9" w:rsidRDefault="004206E9" w:rsidP="004206E9">
      <w:pPr>
        <w:widowControl/>
        <w:numPr>
          <w:ilvl w:val="0"/>
          <w:numId w:val="4"/>
        </w:numPr>
        <w:spacing w:beforeAutospacing="1"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i/>
          <w:iCs/>
          <w:color w:val="262626"/>
          <w:kern w:val="0"/>
          <w:sz w:val="27"/>
          <w:szCs w:val="27"/>
          <w:bdr w:val="none" w:sz="0" w:space="0" w:color="auto" w:frame="1"/>
        </w:rPr>
        <w:t>risks that we may not be able to proceed with or obtain necessary approvals for any development, redevelopment or renovation project, and that completion of anticipated or ongoing property development, redevelopment or renovation projects that we do pursue may cost more, take more time to complete or fail to perform as expected;</w:t>
      </w:r>
    </w:p>
    <w:p w:rsidR="004206E9" w:rsidRPr="004206E9" w:rsidRDefault="004206E9" w:rsidP="004206E9">
      <w:pPr>
        <w:widowControl/>
        <w:numPr>
          <w:ilvl w:val="0"/>
          <w:numId w:val="4"/>
        </w:numPr>
        <w:spacing w:beforeAutospacing="1"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i/>
          <w:iCs/>
          <w:color w:val="262626"/>
          <w:kern w:val="0"/>
          <w:sz w:val="27"/>
          <w:szCs w:val="27"/>
          <w:bdr w:val="none" w:sz="0" w:space="0" w:color="auto" w:frame="1"/>
        </w:rPr>
        <w:t>risks normally associated with the real estate industry, including risks that occupancy levels at our properties and the amount of rent that we receive from our properties may be lower than expected, that new acquisitions may fail to perform as expected, that competition for acquisitions could result in increased prices for acquisitions, that costs associated with the periodic maintenance and repair or renovation of space, insurance and other operations may increase, that environmental issues may develop at our properties and result in unanticipated costs, and, because real estate is illiquid, that we may not be able to sell properties when appropriate;</w:t>
      </w:r>
    </w:p>
    <w:p w:rsidR="004206E9" w:rsidRPr="004206E9" w:rsidRDefault="004206E9" w:rsidP="004206E9">
      <w:pPr>
        <w:widowControl/>
        <w:numPr>
          <w:ilvl w:val="0"/>
          <w:numId w:val="4"/>
        </w:numPr>
        <w:spacing w:beforeAutospacing="1"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i/>
          <w:iCs/>
          <w:color w:val="262626"/>
          <w:kern w:val="0"/>
          <w:sz w:val="27"/>
          <w:szCs w:val="27"/>
          <w:bdr w:val="none" w:sz="0" w:space="0" w:color="auto" w:frame="1"/>
        </w:rPr>
        <w:t>risks that our growth will be limited if we cannot obtain additional capital, or if the costs of capital we obtain are significantly higher than historical levels;</w:t>
      </w:r>
    </w:p>
    <w:p w:rsidR="004206E9" w:rsidRPr="004206E9" w:rsidRDefault="004206E9" w:rsidP="004206E9">
      <w:pPr>
        <w:widowControl/>
        <w:numPr>
          <w:ilvl w:val="0"/>
          <w:numId w:val="4"/>
        </w:numPr>
        <w:spacing w:beforeAutospacing="1"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i/>
          <w:iCs/>
          <w:color w:val="262626"/>
          <w:kern w:val="0"/>
          <w:sz w:val="27"/>
          <w:szCs w:val="27"/>
          <w:bdr w:val="none" w:sz="0" w:space="0" w:color="auto" w:frame="1"/>
        </w:rPr>
        <w:t>risks associated with general economic conditions, including inflation, tariffs, and local economic conditions in our geographic markets;</w:t>
      </w:r>
    </w:p>
    <w:p w:rsidR="004206E9" w:rsidRPr="004206E9" w:rsidRDefault="004206E9" w:rsidP="004206E9">
      <w:pPr>
        <w:widowControl/>
        <w:numPr>
          <w:ilvl w:val="0"/>
          <w:numId w:val="4"/>
        </w:numPr>
        <w:spacing w:beforeAutospacing="1"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i/>
          <w:iCs/>
          <w:color w:val="262626"/>
          <w:kern w:val="0"/>
          <w:sz w:val="27"/>
          <w:szCs w:val="27"/>
          <w:bdr w:val="none" w:sz="0" w:space="0" w:color="auto" w:frame="1"/>
        </w:rPr>
        <w:t>risks of financing on terms which are acceptable to us, our ability to meet existing financial covenants and the limitations imposed on our operations by those covenants, and the possibility of increases in interest rates that would result in increased interest expense;</w:t>
      </w:r>
    </w:p>
    <w:p w:rsidR="004206E9" w:rsidRPr="004206E9" w:rsidRDefault="004206E9" w:rsidP="004206E9">
      <w:pPr>
        <w:widowControl/>
        <w:numPr>
          <w:ilvl w:val="0"/>
          <w:numId w:val="4"/>
        </w:numPr>
        <w:spacing w:beforeAutospacing="1"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i/>
          <w:iCs/>
          <w:color w:val="262626"/>
          <w:kern w:val="0"/>
          <w:sz w:val="27"/>
          <w:szCs w:val="27"/>
          <w:bdr w:val="none" w:sz="0" w:space="0" w:color="auto" w:frame="1"/>
        </w:rPr>
        <w:t>risks related to our status as a real estate investment trust, commonly referred to as a REIT, for federal income tax purposes, such as the existence of complex tax regulations relating to our status as a REIT, the effect of future changes in REIT requirements as a result of new legislation, and the adverse consequences of the failure to qualify as a REIT; and</w:t>
      </w:r>
    </w:p>
    <w:p w:rsidR="004206E9" w:rsidRPr="004206E9" w:rsidRDefault="004206E9" w:rsidP="004206E9">
      <w:pPr>
        <w:widowControl/>
        <w:numPr>
          <w:ilvl w:val="0"/>
          <w:numId w:val="4"/>
        </w:numPr>
        <w:spacing w:beforeAutospacing="1" w:afterAutospacing="1" w:line="360" w:lineRule="atLeast"/>
        <w:ind w:left="0" w:hanging="168"/>
        <w:jc w:val="left"/>
        <w:textAlignment w:val="baseline"/>
        <w:rPr>
          <w:rFonts w:ascii="宋体" w:eastAsia="宋体" w:hAnsi="宋体" w:cs="宋体"/>
          <w:color w:val="262626"/>
          <w:kern w:val="0"/>
          <w:sz w:val="27"/>
          <w:szCs w:val="27"/>
        </w:rPr>
      </w:pPr>
      <w:r w:rsidRPr="004206E9">
        <w:rPr>
          <w:rFonts w:ascii="宋体" w:eastAsia="宋体" w:hAnsi="宋体" w:cs="宋体"/>
          <w:i/>
          <w:iCs/>
          <w:color w:val="262626"/>
          <w:kern w:val="0"/>
          <w:sz w:val="27"/>
          <w:szCs w:val="27"/>
          <w:bdr w:val="none" w:sz="0" w:space="0" w:color="auto" w:frame="1"/>
        </w:rPr>
        <w:t>risks related to natural disasters, climate change and public health crises (such as worldwide pandemics), and the measures that international, federal, state and local governments, agencies, law enforcement and/or health authorities implement to address them, may precipitate or materially exacerbate one or more of the above-mentioned risks, and may significantly disrupt or prevent us from operating our business in the ordinary course for an extended period.</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i/>
          <w:iCs/>
          <w:color w:val="000000"/>
          <w:kern w:val="0"/>
          <w:sz w:val="29"/>
          <w:szCs w:val="29"/>
          <w:bdr w:val="none" w:sz="0" w:space="0" w:color="auto" w:frame="1"/>
        </w:rPr>
        <w:t>Given these uncertainties, readers are cautioned not to place undue reliance on any forward-looking statements that we make, including those in this Press Release. Except as required by law, we make no promise to update any of the forward-looking statements as a result of new information, future events, or otherwise. You should review the risks contained in our Annual Report on Form 10-K, filed with the Securities and Exchange Commission on February 13, 2025 and subsequent quarterly reports on Form 10-Q.</w:t>
      </w:r>
    </w:p>
    <w:tbl>
      <w:tblPr>
        <w:tblW w:w="0" w:type="auto"/>
        <w:tblCellMar>
          <w:left w:w="0" w:type="dxa"/>
          <w:right w:w="0" w:type="dxa"/>
        </w:tblCellMar>
        <w:tblLook w:val="04A0" w:firstRow="1" w:lastRow="0" w:firstColumn="1" w:lastColumn="0" w:noHBand="0" w:noVBand="1"/>
      </w:tblPr>
      <w:tblGrid>
        <w:gridCol w:w="2991"/>
        <w:gridCol w:w="3186"/>
      </w:tblGrid>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Investor Inquiries:</w:t>
            </w:r>
          </w:p>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Jill Sawyer</w:t>
            </w:r>
          </w:p>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Senior Vice President, Investor Relations</w:t>
            </w:r>
          </w:p>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301.998.8265</w:t>
            </w:r>
          </w:p>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hyperlink r:id="rId9" w:tgtFrame="_blank" w:history="1">
              <w:r w:rsidRPr="004206E9">
                <w:rPr>
                  <w:rFonts w:ascii="Arial" w:eastAsia="宋体" w:hAnsi="Arial" w:cs="Arial"/>
                  <w:color w:val="0000FF"/>
                  <w:kern w:val="0"/>
                  <w:sz w:val="16"/>
                  <w:szCs w:val="16"/>
                  <w:u w:val="single"/>
                  <w:bdr w:val="none" w:sz="0" w:space="0" w:color="auto" w:frame="1"/>
                </w:rPr>
                <w:t>  jsawyer@federalrealty.com  </w:t>
              </w:r>
            </w:hyperlink>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Media Inquiries:</w:t>
            </w:r>
          </w:p>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xml:space="preserve">Brenda </w:t>
            </w:r>
            <w:proofErr w:type="spellStart"/>
            <w:r w:rsidRPr="004206E9">
              <w:rPr>
                <w:rFonts w:ascii="Arial" w:eastAsia="宋体" w:hAnsi="Arial" w:cs="Arial"/>
                <w:color w:val="000000"/>
                <w:kern w:val="0"/>
                <w:sz w:val="16"/>
                <w:szCs w:val="16"/>
                <w:bdr w:val="none" w:sz="0" w:space="0" w:color="auto" w:frame="1"/>
              </w:rPr>
              <w:t>Pomar</w:t>
            </w:r>
            <w:proofErr w:type="spellEnd"/>
          </w:p>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Senior Director, Corporate Communications</w:t>
            </w:r>
          </w:p>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301.998.8316</w:t>
            </w:r>
          </w:p>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hyperlink r:id="rId10" w:tgtFrame="_blank" w:history="1">
              <w:r w:rsidRPr="004206E9">
                <w:rPr>
                  <w:rFonts w:ascii="Arial" w:eastAsia="宋体" w:hAnsi="Arial" w:cs="Arial"/>
                  <w:color w:val="0000FF"/>
                  <w:kern w:val="0"/>
                  <w:sz w:val="16"/>
                  <w:szCs w:val="16"/>
                  <w:u w:val="single"/>
                  <w:bdr w:val="none" w:sz="0" w:space="0" w:color="auto" w:frame="1"/>
                </w:rPr>
                <w:t>  bpomar@federalrealty.com  </w:t>
              </w:r>
            </w:hyperlink>
            <w:r w:rsidRPr="004206E9">
              <w:rPr>
                <w:rFonts w:ascii="Arial" w:eastAsia="宋体" w:hAnsi="Arial" w:cs="Arial"/>
                <w:color w:val="000000"/>
                <w:kern w:val="0"/>
                <w:sz w:val="16"/>
                <w:szCs w:val="16"/>
                <w:bdr w:val="none" w:sz="0" w:space="0" w:color="auto" w:frame="1"/>
              </w:rPr>
              <w:t>  </w:t>
            </w:r>
          </w:p>
        </w:tc>
      </w:tr>
    </w:tbl>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 </w:t>
      </w:r>
    </w:p>
    <w:tbl>
      <w:tblPr>
        <w:tblW w:w="0" w:type="auto"/>
        <w:tblCellMar>
          <w:left w:w="0" w:type="dxa"/>
          <w:right w:w="0" w:type="dxa"/>
        </w:tblCellMar>
        <w:tblLook w:val="04A0" w:firstRow="1" w:lastRow="0" w:firstColumn="1" w:lastColumn="0" w:noHBand="0" w:noVBand="1"/>
      </w:tblPr>
      <w:tblGrid>
        <w:gridCol w:w="4869"/>
        <w:gridCol w:w="1704"/>
        <w:gridCol w:w="152"/>
        <w:gridCol w:w="1581"/>
      </w:tblGrid>
      <w:tr w:rsidR="004206E9" w:rsidRPr="004206E9" w:rsidTr="004206E9">
        <w:tc>
          <w:tcPr>
            <w:tcW w:w="0" w:type="auto"/>
            <w:gridSpan w:val="4"/>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Federal Realty Investment Trust  </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gridSpan w:val="4"/>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Consolidated Balance Sheets  </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gridSpan w:val="4"/>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September 30, 2025  </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September 30,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December 31,  </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center"/>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2025</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center"/>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2024</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gridSpan w:val="3"/>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(in thousands, except share and per share data)  </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(unaudited)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ASSETS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Real estate, at cost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Operating (including $1,827,346 and $1,825,656 of consolidated variable interest</w:t>
            </w:r>
          </w:p>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entities, respectively)</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$ 11,035,704</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$ 10,363,961</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Construction-in-progress (including $25,395 and $9,939 of consolidated variable</w:t>
            </w:r>
          </w:p>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interest entities, respectively)</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338,990</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539,752</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single" w:sz="4" w:space="0" w:color="000000"/>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11,374,694</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single" w:sz="4" w:space="0" w:color="000000"/>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10,903,713</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Less accumulated depreciation and amortization (including $456,303 and $424,044 </w:t>
            </w:r>
          </w:p>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of consolidated variable interest entities, respectively)</w:t>
            </w:r>
          </w:p>
        </w:tc>
        <w:tc>
          <w:tcPr>
            <w:tcW w:w="0" w:type="auto"/>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(3,326,160)</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(3,152,799)</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Net real estate</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8,048,534</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7,750,914</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Cash and cash equivalents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111,311</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123,409</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Accounts and notes receivable, net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239,887</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229,080</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Mortgage notes receivable, net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9,105</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9,144</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Investment in partnerships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32,708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33,458</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Operating lease right of use assets, net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83,860</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85,806</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Finance lease right of use assets, net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6,465</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6,630</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Prepaid expenses and other assets</w:t>
            </w: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330,355</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286,316</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TOTAL ASSETS</w:t>
            </w: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8,862,225</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8,524,757</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LIABILITIES AND SHAREHOLDERS' EQUITY</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Liabilities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Mortgages payable, net (including $183,493 and $186,643 of consolidated variable</w:t>
            </w:r>
          </w:p>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interest entities, respectively)</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511,318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514,378</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Notes payable, net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849,558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601,414</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Senior notes and debentures, net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3,362,468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3,357,840</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Accounts payable and accrued expenses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224,540</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183,564</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Dividends payable</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99,792</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96,743</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Security deposits payable</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31,275</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30,941</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Operating lease liabilities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72,960</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74,837</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Finance lease liabilities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12,872</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12,783</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Other liabilities and deferred credits</w:t>
            </w: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231,613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227,827</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Total liabilities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5,396,396</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5,100,327</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Commitments and contingencies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xml:space="preserve">Redeemable </w:t>
            </w:r>
            <w:proofErr w:type="spellStart"/>
            <w:r w:rsidRPr="004206E9">
              <w:rPr>
                <w:rFonts w:ascii="Arial" w:eastAsia="宋体" w:hAnsi="Arial" w:cs="Arial"/>
                <w:color w:val="000000"/>
                <w:kern w:val="0"/>
                <w:sz w:val="16"/>
                <w:szCs w:val="16"/>
                <w:bdr w:val="none" w:sz="0" w:space="0" w:color="auto" w:frame="1"/>
              </w:rPr>
              <w:t>noncontrolling</w:t>
            </w:r>
            <w:proofErr w:type="spellEnd"/>
            <w:r w:rsidRPr="004206E9">
              <w:rPr>
                <w:rFonts w:ascii="Arial" w:eastAsia="宋体" w:hAnsi="Arial" w:cs="Arial"/>
                <w:color w:val="000000"/>
                <w:kern w:val="0"/>
                <w:sz w:val="16"/>
                <w:szCs w:val="16"/>
                <w:bdr w:val="none" w:sz="0" w:space="0" w:color="auto" w:frame="1"/>
              </w:rPr>
              <w:t xml:space="preserve"> interests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180,684</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180,286</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Shareholders' equity</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Preferred shares, authorized 15,000,000 shares, $.01 par:</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5.0% Series C Cumulative Redeemable Preferred Shares, (stated at liquidation</w:t>
            </w:r>
          </w:p>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preference $25,000 per share), 6,000 shares issued and outstanding</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150,000</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150,000</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5.417% Series 1 Cumulative Convertible Preferred Shares, (stated at liquidation</w:t>
            </w:r>
          </w:p>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preference $25 per share), 392,878 shares issued and outstanding</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9,822</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9,822</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Common shares of beneficial interest, $.01 par, 200,000,000 shares authorized,</w:t>
            </w:r>
          </w:p>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86,265,563 and 85,666,220 shares issued and outstanding, respectively</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869</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862</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Additional paid-in capital</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4,306,262</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4,248,824</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Accumulated dividends in excess of net income</w:t>
            </w: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(1,254,627)</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(1,242,654)</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Accumulated other comprehensive income</w:t>
            </w: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2,232</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4,740</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Total shareholders' equity of the Trust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3,214,558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3,171,594</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proofErr w:type="spellStart"/>
            <w:r w:rsidRPr="004206E9">
              <w:rPr>
                <w:rFonts w:ascii="Arial" w:eastAsia="宋体" w:hAnsi="Arial" w:cs="Arial"/>
                <w:color w:val="000000"/>
                <w:kern w:val="0"/>
                <w:sz w:val="16"/>
                <w:szCs w:val="16"/>
                <w:bdr w:val="none" w:sz="0" w:space="0" w:color="auto" w:frame="1"/>
              </w:rPr>
              <w:t>Noncontrolling</w:t>
            </w:r>
            <w:proofErr w:type="spellEnd"/>
            <w:r w:rsidRPr="004206E9">
              <w:rPr>
                <w:rFonts w:ascii="Arial" w:eastAsia="宋体" w:hAnsi="Arial" w:cs="Arial"/>
                <w:color w:val="000000"/>
                <w:kern w:val="0"/>
                <w:sz w:val="16"/>
                <w:szCs w:val="16"/>
                <w:bdr w:val="none" w:sz="0" w:space="0" w:color="auto" w:frame="1"/>
              </w:rPr>
              <w:t xml:space="preserve"> interests</w:t>
            </w: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70,587</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72,550</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Total shareholders' equity</w:t>
            </w: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3,285,145</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3,244,144</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TOTAL LIABILITIES AND SHAREHOLDERS' EQUITY</w:t>
            </w: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8,862,225</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8,524,757</w:t>
            </w:r>
          </w:p>
        </w:tc>
      </w:tr>
    </w:tbl>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 </w:t>
      </w:r>
    </w:p>
    <w:tbl>
      <w:tblPr>
        <w:tblW w:w="0" w:type="auto"/>
        <w:tblCellMar>
          <w:left w:w="0" w:type="dxa"/>
          <w:right w:w="0" w:type="dxa"/>
        </w:tblCellMar>
        <w:tblLook w:val="04A0" w:firstRow="1" w:lastRow="0" w:firstColumn="1" w:lastColumn="0" w:noHBand="0" w:noVBand="1"/>
      </w:tblPr>
      <w:tblGrid>
        <w:gridCol w:w="3834"/>
        <w:gridCol w:w="1046"/>
        <w:gridCol w:w="126"/>
        <w:gridCol w:w="1046"/>
        <w:gridCol w:w="126"/>
        <w:gridCol w:w="1001"/>
        <w:gridCol w:w="126"/>
        <w:gridCol w:w="1001"/>
      </w:tblGrid>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Federal Realty Investment Trust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Consolidated Income Statements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September 30, 2025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gridSpan w:val="3"/>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Three Months Ended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gridSpan w:val="3"/>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Nine Months Ended  </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gridSpan w:val="3"/>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September 30,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gridSpan w:val="3"/>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September 30,  </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center"/>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2025</w:t>
            </w:r>
            <w:r w:rsidRPr="004206E9">
              <w:rPr>
                <w:rFonts w:ascii="Arial" w:eastAsia="宋体" w:hAnsi="Arial" w:cs="Arial"/>
                <w:color w:val="000000"/>
                <w:kern w:val="0"/>
                <w:sz w:val="16"/>
                <w:szCs w:val="16"/>
                <w:bdr w:val="none" w:sz="0" w:space="0" w:color="auto" w:frame="1"/>
              </w:rPr>
              <w:t>  </w:t>
            </w:r>
          </w:p>
        </w:tc>
        <w:tc>
          <w:tcPr>
            <w:tcW w:w="0" w:type="auto"/>
            <w:tcBorders>
              <w:top w:val="single" w:sz="4" w:space="0" w:color="000000"/>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center"/>
              <w:rPr>
                <w:rFonts w:ascii="宋体" w:eastAsia="宋体" w:hAnsi="宋体" w:cs="宋体"/>
                <w:kern w:val="0"/>
                <w:sz w:val="29"/>
                <w:szCs w:val="29"/>
              </w:rPr>
            </w:pPr>
          </w:p>
        </w:tc>
        <w:tc>
          <w:tcPr>
            <w:tcW w:w="0" w:type="auto"/>
            <w:tcBorders>
              <w:top w:val="single" w:sz="4" w:space="0" w:color="000000"/>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2024</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center"/>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2025</w:t>
            </w:r>
            <w:r w:rsidRPr="004206E9">
              <w:rPr>
                <w:rFonts w:ascii="Arial" w:eastAsia="宋体" w:hAnsi="Arial" w:cs="Arial"/>
                <w:color w:val="000000"/>
                <w:kern w:val="0"/>
                <w:sz w:val="16"/>
                <w:szCs w:val="16"/>
                <w:bdr w:val="none" w:sz="0" w:space="0" w:color="auto" w:frame="1"/>
              </w:rPr>
              <w:t>  </w:t>
            </w:r>
          </w:p>
        </w:tc>
        <w:tc>
          <w:tcPr>
            <w:tcW w:w="0" w:type="auto"/>
            <w:tcBorders>
              <w:top w:val="single" w:sz="4" w:space="0" w:color="000000"/>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center"/>
              <w:rPr>
                <w:rFonts w:ascii="宋体" w:eastAsia="宋体" w:hAnsi="宋体" w:cs="宋体"/>
                <w:kern w:val="0"/>
                <w:sz w:val="29"/>
                <w:szCs w:val="29"/>
              </w:rPr>
            </w:pPr>
          </w:p>
        </w:tc>
        <w:tc>
          <w:tcPr>
            <w:tcW w:w="0" w:type="auto"/>
            <w:tcBorders>
              <w:top w:val="single" w:sz="4" w:space="0" w:color="000000"/>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2024</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gridSpan w:val="7"/>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(in thousands, except per share data)  </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gridSpan w:val="7"/>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(unaudited)  </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REVENUE</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Rental income</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313,183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295,119</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917,954</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866,199</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Other property income</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8,789</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8,233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24,143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23,973</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Mortgage interest income</w:t>
            </w: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281</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281</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833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836</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Total revenue</w:t>
            </w: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322,253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303,633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942,930</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891,008</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EXPENSES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Rental expenses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67,481</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63,898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196,894</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184,448</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Real estate taxes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38,178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36,053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111,426</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105,402</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General and administrative</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11,649</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10,822</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34,449</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34,920</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Depreciation and amortization</w:t>
            </w: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94,277</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87,028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270,464</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255,481</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Total operating expenses</w:t>
            </w: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211,585</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197,801</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613,233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580,251</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Gain on sale of real estate</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77,672</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52,280</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New market tax credit transaction income</w:t>
            </w: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14,176</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OPERATING INCOME</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110,668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105,832</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421,545</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363,037</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OTHER INCOME/(EXPENSE)</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Other interest income</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845</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978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2,493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3,512</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Interest expense</w:t>
            </w: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(47,619)</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(44,237)</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(134,692)</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(132,242)</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Income from partnerships</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605</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888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1,687</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1,825</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NET INCOME</w:t>
            </w:r>
          </w:p>
        </w:tc>
        <w:tc>
          <w:tcPr>
            <w:tcW w:w="0" w:type="auto"/>
            <w:tcBorders>
              <w:top w:val="single" w:sz="4" w:space="0" w:color="000000"/>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64,499</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single" w:sz="4" w:space="0" w:color="000000"/>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63,461</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single" w:sz="4" w:space="0" w:color="000000"/>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291,033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single" w:sz="4" w:space="0" w:color="000000"/>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236,132</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xml:space="preserve">   Net income attributable to </w:t>
            </w:r>
            <w:proofErr w:type="spellStart"/>
            <w:r w:rsidRPr="004206E9">
              <w:rPr>
                <w:rFonts w:ascii="Arial" w:eastAsia="宋体" w:hAnsi="Arial" w:cs="Arial"/>
                <w:color w:val="000000"/>
                <w:kern w:val="0"/>
                <w:sz w:val="16"/>
                <w:szCs w:val="16"/>
                <w:bdr w:val="none" w:sz="0" w:space="0" w:color="auto" w:frame="1"/>
              </w:rPr>
              <w:t>noncontrolling</w:t>
            </w:r>
            <w:proofErr w:type="spellEnd"/>
            <w:r w:rsidRPr="004206E9">
              <w:rPr>
                <w:rFonts w:ascii="Arial" w:eastAsia="宋体" w:hAnsi="Arial" w:cs="Arial"/>
                <w:color w:val="000000"/>
                <w:kern w:val="0"/>
                <w:sz w:val="16"/>
                <w:szCs w:val="16"/>
                <w:bdr w:val="none" w:sz="0" w:space="0" w:color="auto" w:frame="1"/>
              </w:rPr>
              <w:t xml:space="preserve"> interests</w:t>
            </w:r>
          </w:p>
        </w:tc>
        <w:tc>
          <w:tcPr>
            <w:tcW w:w="0" w:type="auto"/>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(2,850)</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(2,508)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(9,700)</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(6,461)</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NET INCOME ATTRIBUTABLE TO THE TRUST</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61,649</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60,953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281,333</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229,671</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Dividends on preferred shares</w:t>
            </w:r>
          </w:p>
        </w:tc>
        <w:tc>
          <w:tcPr>
            <w:tcW w:w="0" w:type="auto"/>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(2,008)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(2,008)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(6,024)</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(6,024)</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NET INCOME AVAILABLE FOR COMMON SHAREHOLDERS</w:t>
            </w: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59,641</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58,945</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275,309</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223,647</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EARNINGS PER COMMON SHARE, BASIC AND DILUTED</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Net income available for common shareholders</w:t>
            </w: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0.69</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0.70</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3.20</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2.68</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Weighted average number of common shares</w:t>
            </w: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85,978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83,994</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85,808</w:t>
            </w:r>
          </w:p>
        </w:tc>
        <w:tc>
          <w:tcPr>
            <w:tcW w:w="0" w:type="auto"/>
            <w:tcBorders>
              <w:top w:val="nil"/>
              <w:left w:val="nil"/>
              <w:bottom w:val="nil"/>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double" w:sz="6" w:space="0" w:color="000000"/>
              <w:right w:val="nil"/>
            </w:tcBorders>
            <w:shd w:val="clear" w:color="auto" w:fill="auto"/>
            <w:tcMar>
              <w:top w:w="0" w:type="dxa"/>
              <w:left w:w="41" w:type="dxa"/>
              <w:bottom w:w="0" w:type="dxa"/>
              <w:right w:w="7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83,180</w:t>
            </w:r>
          </w:p>
        </w:tc>
      </w:tr>
    </w:tbl>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 </w:t>
      </w:r>
    </w:p>
    <w:tbl>
      <w:tblPr>
        <w:tblW w:w="0" w:type="auto"/>
        <w:tblCellMar>
          <w:left w:w="0" w:type="dxa"/>
          <w:right w:w="0" w:type="dxa"/>
        </w:tblCellMar>
        <w:tblLook w:val="04A0" w:firstRow="1" w:lastRow="0" w:firstColumn="1" w:lastColumn="0" w:noHBand="0" w:noVBand="1"/>
      </w:tblPr>
      <w:tblGrid>
        <w:gridCol w:w="2926"/>
        <w:gridCol w:w="246"/>
        <w:gridCol w:w="1121"/>
        <w:gridCol w:w="246"/>
        <w:gridCol w:w="1121"/>
        <w:gridCol w:w="246"/>
        <w:gridCol w:w="1077"/>
        <w:gridCol w:w="246"/>
        <w:gridCol w:w="1077"/>
      </w:tblGrid>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Federal Realty Investment Trust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gridSpan w:val="7"/>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Funds From Operations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September 30, 2025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gridSpan w:val="3"/>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Three Months Ended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gridSpan w:val="3"/>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Nine Months Ended  </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gridSpan w:val="3"/>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September 30,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gridSpan w:val="3"/>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September 30,  </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2025</w:t>
            </w:r>
            <w:r w:rsidRPr="004206E9">
              <w:rPr>
                <w:rFonts w:ascii="Arial" w:eastAsia="宋体" w:hAnsi="Arial" w:cs="Arial"/>
                <w:color w:val="000000"/>
                <w:kern w:val="0"/>
                <w:sz w:val="16"/>
                <w:szCs w:val="16"/>
                <w:bdr w:val="none" w:sz="0" w:space="0" w:color="auto" w:frame="1"/>
              </w:rPr>
              <w:t>  </w:t>
            </w:r>
          </w:p>
        </w:tc>
        <w:tc>
          <w:tcPr>
            <w:tcW w:w="0" w:type="auto"/>
            <w:tcBorders>
              <w:top w:val="single" w:sz="4" w:space="0" w:color="000000"/>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single" w:sz="4" w:space="0" w:color="000000"/>
              <w:left w:val="nil"/>
              <w:bottom w:val="single" w:sz="4" w:space="0" w:color="000000"/>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2024</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2025</w:t>
            </w:r>
            <w:r w:rsidRPr="004206E9">
              <w:rPr>
                <w:rFonts w:ascii="Arial" w:eastAsia="宋体" w:hAnsi="Arial" w:cs="Arial"/>
                <w:color w:val="000000"/>
                <w:kern w:val="0"/>
                <w:sz w:val="16"/>
                <w:szCs w:val="16"/>
                <w:bdr w:val="none" w:sz="0" w:space="0" w:color="auto" w:frame="1"/>
              </w:rPr>
              <w:t>  </w:t>
            </w:r>
          </w:p>
        </w:tc>
        <w:tc>
          <w:tcPr>
            <w:tcW w:w="0" w:type="auto"/>
            <w:tcBorders>
              <w:top w:val="single" w:sz="4" w:space="0" w:color="000000"/>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single" w:sz="4" w:space="0" w:color="000000"/>
              <w:left w:val="nil"/>
              <w:bottom w:val="single" w:sz="4" w:space="0" w:color="000000"/>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2024</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gridSpan w:val="7"/>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center"/>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b/>
                <w:bCs/>
                <w:color w:val="000000"/>
                <w:kern w:val="0"/>
                <w:sz w:val="16"/>
                <w:szCs w:val="16"/>
                <w:bdr w:val="none" w:sz="0" w:space="0" w:color="auto" w:frame="1"/>
              </w:rPr>
              <w:t>  (in thousands, except per share data)  </w:t>
            </w:r>
            <w:r w:rsidRPr="004206E9">
              <w:rPr>
                <w:rFonts w:ascii="Arial" w:eastAsia="宋体" w:hAnsi="Arial" w:cs="Arial"/>
                <w:color w:val="000000"/>
                <w:kern w:val="0"/>
                <w:sz w:val="16"/>
                <w:szCs w:val="16"/>
                <w:bdr w:val="none" w:sz="0" w:space="0" w:color="auto" w:frame="1"/>
              </w:rPr>
              <w:t>  </w:t>
            </w:r>
          </w:p>
        </w:tc>
      </w:tr>
      <w:tr w:rsidR="004206E9" w:rsidRPr="004206E9" w:rsidTr="004206E9">
        <w:tc>
          <w:tcPr>
            <w:tcW w:w="0" w:type="auto"/>
            <w:gridSpan w:val="3"/>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color w:val="000000"/>
                <w:kern w:val="0"/>
                <w:sz w:val="16"/>
                <w:szCs w:val="16"/>
                <w:u w:val="single"/>
                <w:bdr w:val="none" w:sz="0" w:space="0" w:color="auto" w:frame="1"/>
              </w:rPr>
              <w:t>  Funds from Operations available for common shareholders (FFO)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Net income</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64,499</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63,461</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291,033</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236,132</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xml:space="preserve">Net income attributable to </w:t>
            </w:r>
            <w:proofErr w:type="spellStart"/>
            <w:r w:rsidRPr="004206E9">
              <w:rPr>
                <w:rFonts w:ascii="Arial" w:eastAsia="宋体" w:hAnsi="Arial" w:cs="Arial"/>
                <w:color w:val="000000"/>
                <w:kern w:val="0"/>
                <w:sz w:val="16"/>
                <w:szCs w:val="16"/>
                <w:bdr w:val="none" w:sz="0" w:space="0" w:color="auto" w:frame="1"/>
              </w:rPr>
              <w:t>noncontrolling</w:t>
            </w:r>
            <w:proofErr w:type="spellEnd"/>
            <w:r w:rsidRPr="004206E9">
              <w:rPr>
                <w:rFonts w:ascii="Arial" w:eastAsia="宋体" w:hAnsi="Arial" w:cs="Arial"/>
                <w:color w:val="000000"/>
                <w:kern w:val="0"/>
                <w:sz w:val="16"/>
                <w:szCs w:val="16"/>
                <w:bdr w:val="none" w:sz="0" w:space="0" w:color="auto" w:frame="1"/>
              </w:rPr>
              <w:t xml:space="preserve"> interests</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(2,850)</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(2,508)</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(9,700)</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(6,461)</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Gain on sale of real estate</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(77,672)</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(52,280)</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Depreciation and amortization of real estate assets</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81,155</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76,581</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236,251</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225,676</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Amortization of initial direct costs of leases</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12,029</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8,757</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30,464</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24,673</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Funds from operations</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single" w:sz="4" w:space="0" w:color="000000"/>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154,833</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single" w:sz="4" w:space="0" w:color="000000"/>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146,291</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single" w:sz="4" w:space="0" w:color="000000"/>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470,376</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single" w:sz="4" w:space="0" w:color="000000"/>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427,740</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Dividends on preferred shares (1)</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(1,875)</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(1,875)</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(5,625)</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(5,625)</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xml:space="preserve">Income attributable to </w:t>
            </w:r>
            <w:proofErr w:type="spellStart"/>
            <w:r w:rsidRPr="004206E9">
              <w:rPr>
                <w:rFonts w:ascii="Arial" w:eastAsia="宋体" w:hAnsi="Arial" w:cs="Arial"/>
                <w:color w:val="000000"/>
                <w:kern w:val="0"/>
                <w:sz w:val="16"/>
                <w:szCs w:val="16"/>
                <w:bdr w:val="none" w:sz="0" w:space="0" w:color="auto" w:frame="1"/>
              </w:rPr>
              <w:t>downREIT</w:t>
            </w:r>
            <w:proofErr w:type="spellEnd"/>
            <w:r w:rsidRPr="004206E9">
              <w:rPr>
                <w:rFonts w:ascii="Arial" w:eastAsia="宋体" w:hAnsi="Arial" w:cs="Arial"/>
                <w:color w:val="000000"/>
                <w:kern w:val="0"/>
                <w:sz w:val="16"/>
                <w:szCs w:val="16"/>
                <w:bdr w:val="none" w:sz="0" w:space="0" w:color="auto" w:frame="1"/>
              </w:rPr>
              <w:t xml:space="preserve"> operating partnership units</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596</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688</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1,868</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2,068</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Income attributable to unvested shares</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(509)</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(506)</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(1,558)</w:t>
            </w:r>
          </w:p>
        </w:tc>
        <w:tc>
          <w:tcPr>
            <w:tcW w:w="0" w:type="auto"/>
            <w:tcBorders>
              <w:top w:val="nil"/>
              <w:left w:val="nil"/>
              <w:bottom w:val="single" w:sz="4" w:space="0" w:color="000000"/>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single" w:sz="4" w:space="0" w:color="000000"/>
              <w:right w:val="nil"/>
            </w:tcBorders>
            <w:shd w:val="clear" w:color="auto" w:fill="auto"/>
            <w:tcMar>
              <w:top w:w="0" w:type="dxa"/>
              <w:left w:w="41" w:type="dxa"/>
              <w:bottom w:w="0" w:type="dxa"/>
              <w:right w:w="120"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(1,524)</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FFO (2)</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153,045</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144,598</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465,061</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422,659</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Weighted average number of common shares, diluted (1)(3)</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double" w:sz="6" w:space="0" w:color="000000"/>
              <w:left w:val="nil"/>
              <w:bottom w:val="double" w:sz="6" w:space="0" w:color="000000"/>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86,599</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double" w:sz="6" w:space="0" w:color="000000"/>
              <w:left w:val="nil"/>
              <w:bottom w:val="double" w:sz="6" w:space="0" w:color="000000"/>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84,714</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double" w:sz="6" w:space="0" w:color="000000"/>
              <w:left w:val="nil"/>
              <w:bottom w:val="double" w:sz="6" w:space="0" w:color="000000"/>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86,463</w:t>
            </w:r>
          </w:p>
        </w:tc>
        <w:tc>
          <w:tcPr>
            <w:tcW w:w="0" w:type="auto"/>
            <w:tcBorders>
              <w:top w:val="double" w:sz="6" w:space="0" w:color="000000"/>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double" w:sz="6" w:space="0" w:color="000000"/>
              <w:left w:val="nil"/>
              <w:bottom w:val="double" w:sz="6" w:space="0" w:color="000000"/>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83,904</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FFO per diluted share (2)(3)</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1.77</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1.71</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5.38</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5.04</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double" w:sz="6" w:space="0" w:color="000000"/>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double" w:sz="6" w:space="0" w:color="000000"/>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double" w:sz="6" w:space="0" w:color="000000"/>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double" w:sz="6" w:space="0" w:color="000000"/>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w:t>
            </w:r>
            <w:r w:rsidRPr="004206E9">
              <w:rPr>
                <w:rFonts w:ascii="Arial" w:eastAsia="宋体" w:hAnsi="Arial" w:cs="Arial"/>
                <w:color w:val="000000"/>
                <w:kern w:val="0"/>
                <w:sz w:val="16"/>
                <w:szCs w:val="16"/>
                <w:u w:val="single"/>
                <w:bdr w:val="none" w:sz="0" w:space="0" w:color="auto" w:frame="1"/>
              </w:rPr>
              <w:t>  Dividends and Payout Ratios  </w:t>
            </w:r>
            <w:r w:rsidRPr="004206E9">
              <w:rPr>
                <w:rFonts w:ascii="Arial" w:eastAsia="宋体" w:hAnsi="Arial" w:cs="Arial"/>
                <w:color w:val="000000"/>
                <w:kern w:val="0"/>
                <w:sz w:val="16"/>
                <w:szCs w:val="16"/>
                <w:bdr w:val="none" w:sz="0" w:space="0" w:color="auto" w:frame="1"/>
              </w:rPr>
              <w:t>  </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Regular common dividends declared</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97,474</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93,442</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287,282</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   275,006</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lef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Dividend payout ratio as a percentage of FFO</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64 %</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65 %</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62 %</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4206E9" w:rsidRPr="004206E9" w:rsidRDefault="004206E9" w:rsidP="004206E9">
            <w:pPr>
              <w:widowControl/>
              <w:spacing w:line="435" w:lineRule="atLeast"/>
              <w:jc w:val="right"/>
              <w:textAlignment w:val="baseline"/>
              <w:rPr>
                <w:rFonts w:ascii="宋体" w:eastAsia="宋体" w:hAnsi="宋体" w:cs="宋体"/>
                <w:color w:val="000000"/>
                <w:kern w:val="0"/>
                <w:sz w:val="29"/>
                <w:szCs w:val="29"/>
              </w:rPr>
            </w:pPr>
            <w:r w:rsidRPr="004206E9">
              <w:rPr>
                <w:rFonts w:ascii="Arial" w:eastAsia="宋体" w:hAnsi="Arial" w:cs="Arial"/>
                <w:color w:val="000000"/>
                <w:kern w:val="0"/>
                <w:sz w:val="16"/>
                <w:szCs w:val="16"/>
                <w:bdr w:val="none" w:sz="0" w:space="0" w:color="auto" w:frame="1"/>
              </w:rPr>
              <w:t>65 %</w:t>
            </w:r>
          </w:p>
        </w:tc>
      </w:tr>
      <w:tr w:rsidR="004206E9" w:rsidRPr="004206E9" w:rsidTr="004206E9">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4206E9" w:rsidRPr="004206E9" w:rsidRDefault="004206E9" w:rsidP="004206E9">
            <w:pPr>
              <w:widowControl/>
              <w:jc w:val="right"/>
              <w:rPr>
                <w:rFonts w:ascii="宋体" w:eastAsia="宋体" w:hAnsi="宋体" w:cs="宋体"/>
                <w:kern w:val="0"/>
                <w:sz w:val="29"/>
                <w:szCs w:val="29"/>
              </w:rPr>
            </w:pPr>
          </w:p>
        </w:tc>
      </w:tr>
    </w:tbl>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u w:val="single"/>
          <w:bdr w:val="none" w:sz="0" w:space="0" w:color="auto" w:frame="1"/>
        </w:rPr>
        <w:t>Notes:</w:t>
      </w:r>
    </w:p>
    <w:p w:rsidR="004206E9" w:rsidRPr="004206E9" w:rsidRDefault="004206E9" w:rsidP="004206E9">
      <w:pPr>
        <w:widowControl/>
        <w:numPr>
          <w:ilvl w:val="0"/>
          <w:numId w:val="5"/>
        </w:numPr>
        <w:spacing w:before="100" w:beforeAutospacing="1" w:after="100" w:afterAutospacing="1" w:line="360" w:lineRule="atLeast"/>
        <w:ind w:left="0"/>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For the three and nine months ended September 30, 2025 and 2024, dividends on our Series 1 preferred stock were not deducted in the calculation of FFO available to common shareholders, as the related shares were dilutive and are included in "weighted average number of common shares, diluted."</w:t>
      </w:r>
    </w:p>
    <w:p w:rsidR="004206E9" w:rsidRPr="004206E9" w:rsidRDefault="004206E9" w:rsidP="004206E9">
      <w:pPr>
        <w:widowControl/>
        <w:numPr>
          <w:ilvl w:val="0"/>
          <w:numId w:val="5"/>
        </w:numPr>
        <w:spacing w:before="100" w:beforeAutospacing="1" w:after="100" w:afterAutospacing="1" w:line="360" w:lineRule="atLeast"/>
        <w:ind w:left="0"/>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 xml:space="preserve">FFO available for common shareholders includes new market tax credit transaction income, net of </w:t>
      </w:r>
      <w:proofErr w:type="spellStart"/>
      <w:r w:rsidRPr="004206E9">
        <w:rPr>
          <w:rFonts w:ascii="宋体" w:eastAsia="宋体" w:hAnsi="宋体" w:cs="宋体"/>
          <w:color w:val="262626"/>
          <w:kern w:val="0"/>
          <w:sz w:val="27"/>
          <w:szCs w:val="27"/>
        </w:rPr>
        <w:t>noncontrolling</w:t>
      </w:r>
      <w:proofErr w:type="spellEnd"/>
      <w:r w:rsidRPr="004206E9">
        <w:rPr>
          <w:rFonts w:ascii="宋体" w:eastAsia="宋体" w:hAnsi="宋体" w:cs="宋体"/>
          <w:color w:val="262626"/>
          <w:kern w:val="0"/>
          <w:sz w:val="27"/>
          <w:szCs w:val="27"/>
        </w:rPr>
        <w:t xml:space="preserve"> interest of $13.0 million. Excluding this income, FFO for the nine months ended September 30, 2025 would have been $452.0 million, and FFO per diluted share would have been $5.23 per share.</w:t>
      </w:r>
    </w:p>
    <w:p w:rsidR="004206E9" w:rsidRPr="004206E9" w:rsidRDefault="004206E9" w:rsidP="004206E9">
      <w:pPr>
        <w:widowControl/>
        <w:numPr>
          <w:ilvl w:val="0"/>
          <w:numId w:val="5"/>
        </w:numPr>
        <w:spacing w:before="100" w:beforeAutospacing="1" w:after="100" w:afterAutospacing="1" w:line="360" w:lineRule="atLeast"/>
        <w:ind w:left="0"/>
        <w:jc w:val="left"/>
        <w:textAlignment w:val="baseline"/>
        <w:rPr>
          <w:rFonts w:ascii="宋体" w:eastAsia="宋体" w:hAnsi="宋体" w:cs="宋体"/>
          <w:color w:val="262626"/>
          <w:kern w:val="0"/>
          <w:sz w:val="27"/>
          <w:szCs w:val="27"/>
        </w:rPr>
      </w:pPr>
      <w:r w:rsidRPr="004206E9">
        <w:rPr>
          <w:rFonts w:ascii="宋体" w:eastAsia="宋体" w:hAnsi="宋体" w:cs="宋体"/>
          <w:color w:val="262626"/>
          <w:kern w:val="0"/>
          <w:sz w:val="27"/>
          <w:szCs w:val="27"/>
        </w:rPr>
        <w:t xml:space="preserve">The weighted average common shares used to compute FFO per diluted common share includes </w:t>
      </w:r>
      <w:proofErr w:type="spellStart"/>
      <w:r w:rsidRPr="004206E9">
        <w:rPr>
          <w:rFonts w:ascii="宋体" w:eastAsia="宋体" w:hAnsi="宋体" w:cs="宋体"/>
          <w:color w:val="262626"/>
          <w:kern w:val="0"/>
          <w:sz w:val="27"/>
          <w:szCs w:val="27"/>
        </w:rPr>
        <w:t>downREIT</w:t>
      </w:r>
      <w:proofErr w:type="spellEnd"/>
      <w:r w:rsidRPr="004206E9">
        <w:rPr>
          <w:rFonts w:ascii="宋体" w:eastAsia="宋体" w:hAnsi="宋体" w:cs="宋体"/>
          <w:color w:val="262626"/>
          <w:kern w:val="0"/>
          <w:sz w:val="27"/>
          <w:szCs w:val="27"/>
        </w:rPr>
        <w:t xml:space="preserve"> operating partnership units that were excluded from the computation of diluted EPS. Conversion of these operating partnership units is dilutive in the computation of FFO per diluted share for all periods presented, but is anti-dilutive for the computation of diluted EPS.</w:t>
      </w:r>
    </w:p>
    <w:p w:rsidR="004206E9" w:rsidRPr="004206E9" w:rsidRDefault="004206E9" w:rsidP="004206E9">
      <w:pPr>
        <w:widowControl/>
        <w:spacing w:beforeAutospacing="1"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noProof/>
          <w:color w:val="000000"/>
          <w:kern w:val="0"/>
          <w:sz w:val="29"/>
          <w:szCs w:val="29"/>
        </w:rPr>
        <w:drawing>
          <wp:inline distT="0" distB="0" distL="0" distR="0">
            <wp:extent cx="114300" cy="114300"/>
            <wp:effectExtent l="0" t="0" r="0" b="0"/>
            <wp:docPr id="2" name="图片 2" descr="C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sio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206E9">
        <w:rPr>
          <w:rFonts w:ascii="宋体" w:eastAsia="宋体" w:hAnsi="宋体" w:cs="宋体"/>
          <w:color w:val="000000"/>
          <w:kern w:val="0"/>
          <w:sz w:val="29"/>
          <w:szCs w:val="29"/>
        </w:rPr>
        <w:t> View original content to download multimedia</w:t>
      </w:r>
      <w:proofErr w:type="gramStart"/>
      <w:r w:rsidRPr="004206E9">
        <w:rPr>
          <w:rFonts w:ascii="宋体" w:eastAsia="宋体" w:hAnsi="宋体" w:cs="宋体"/>
          <w:color w:val="000000"/>
          <w:kern w:val="0"/>
          <w:sz w:val="29"/>
          <w:szCs w:val="29"/>
        </w:rPr>
        <w:t>:</w:t>
      </w:r>
      <w:proofErr w:type="gramEnd"/>
      <w:hyperlink r:id="rId12" w:tgtFrame="_blank" w:history="1">
        <w:r w:rsidRPr="004206E9">
          <w:rPr>
            <w:rFonts w:ascii="宋体" w:eastAsia="宋体" w:hAnsi="宋体" w:cs="宋体"/>
            <w:color w:val="393939"/>
            <w:kern w:val="0"/>
            <w:sz w:val="29"/>
            <w:szCs w:val="29"/>
            <w:u w:val="single"/>
            <w:bdr w:val="none" w:sz="0" w:space="0" w:color="auto" w:frame="1"/>
          </w:rPr>
          <w:t>https://www.prnewswire.com/news-releases/federal-realty-investment-trust-reports-third-quarter-2025-results-302600585.html</w:t>
        </w:r>
      </w:hyperlink>
    </w:p>
    <w:p w:rsidR="004206E9" w:rsidRPr="004206E9" w:rsidRDefault="004206E9" w:rsidP="004206E9">
      <w:pPr>
        <w:widowControl/>
        <w:spacing w:before="100" w:beforeAutospacing="1" w:after="100" w:afterAutospacing="1" w:line="435" w:lineRule="atLeast"/>
        <w:jc w:val="left"/>
        <w:textAlignment w:val="baseline"/>
        <w:rPr>
          <w:rFonts w:ascii="宋体" w:eastAsia="宋体" w:hAnsi="宋体" w:cs="宋体"/>
          <w:color w:val="000000"/>
          <w:kern w:val="0"/>
          <w:sz w:val="29"/>
          <w:szCs w:val="29"/>
        </w:rPr>
      </w:pPr>
      <w:r w:rsidRPr="004206E9">
        <w:rPr>
          <w:rFonts w:ascii="宋体" w:eastAsia="宋体" w:hAnsi="宋体" w:cs="宋体"/>
          <w:color w:val="000000"/>
          <w:kern w:val="0"/>
          <w:sz w:val="29"/>
          <w:szCs w:val="29"/>
        </w:rPr>
        <w:t>SOURCE Federal Realty Investment Trust</w:t>
      </w:r>
    </w:p>
    <w:p w:rsidR="004206E9" w:rsidRPr="004206E9" w:rsidRDefault="004206E9" w:rsidP="004206E9">
      <w:pPr>
        <w:widowControl/>
        <w:jc w:val="left"/>
        <w:textAlignment w:val="baseline"/>
        <w:rPr>
          <w:rFonts w:ascii="宋体" w:eastAsia="宋体" w:hAnsi="宋体" w:cs="宋体"/>
          <w:kern w:val="0"/>
          <w:sz w:val="29"/>
          <w:szCs w:val="29"/>
        </w:rPr>
      </w:pPr>
      <w:r w:rsidRPr="004206E9">
        <w:rPr>
          <w:rFonts w:ascii="宋体" w:eastAsia="宋体" w:hAnsi="宋体" w:cs="宋体"/>
          <w:noProof/>
          <w:color w:val="F73A25"/>
          <w:kern w:val="0"/>
          <w:sz w:val="29"/>
          <w:szCs w:val="29"/>
          <w:bdr w:val="none" w:sz="0" w:space="0" w:color="auto" w:frame="1"/>
        </w:rPr>
        <w:drawing>
          <wp:inline distT="0" distB="0" distL="0" distR="0">
            <wp:extent cx="3733800" cy="1419225"/>
            <wp:effectExtent l="0" t="0" r="0" b="9525"/>
            <wp:docPr id="1" name="图片 1" descr="Federal Realty Investment Trust">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ederal Realty Investment Trust">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33800" cy="1419225"/>
                    </a:xfrm>
                    <a:prstGeom prst="rect">
                      <a:avLst/>
                    </a:prstGeom>
                    <a:noFill/>
                    <a:ln>
                      <a:noFill/>
                    </a:ln>
                  </pic:spPr>
                </pic:pic>
              </a:graphicData>
            </a:graphic>
          </wp:inline>
        </w:drawing>
      </w:r>
    </w:p>
    <w:p w:rsidR="00C87DF1" w:rsidRDefault="00C87DF1">
      <w:bookmarkStart w:id="0" w:name="_GoBack"/>
      <w:bookmarkEnd w:id="0"/>
    </w:p>
    <w:sectPr w:rsidR="00C87DF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1559F"/>
    <w:multiLevelType w:val="multilevel"/>
    <w:tmpl w:val="DFA0A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BB67841"/>
    <w:multiLevelType w:val="multilevel"/>
    <w:tmpl w:val="39F009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4C50385"/>
    <w:multiLevelType w:val="multilevel"/>
    <w:tmpl w:val="62A0F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DF266DB"/>
    <w:multiLevelType w:val="multilevel"/>
    <w:tmpl w:val="33606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FBE40B5"/>
    <w:multiLevelType w:val="multilevel"/>
    <w:tmpl w:val="53D6AEE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EC9"/>
    <w:rsid w:val="004206E9"/>
    <w:rsid w:val="00934EC9"/>
    <w:rsid w:val="00C87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7D6E08-855B-410E-9E0F-6DBD3CC3C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4206E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206E9"/>
    <w:rPr>
      <w:rFonts w:ascii="宋体" w:eastAsia="宋体" w:hAnsi="宋体" w:cs="宋体"/>
      <w:b/>
      <w:bCs/>
      <w:kern w:val="36"/>
      <w:sz w:val="48"/>
      <w:szCs w:val="48"/>
    </w:rPr>
  </w:style>
  <w:style w:type="paragraph" w:styleId="a3">
    <w:name w:val="Normal (Web)"/>
    <w:basedOn w:val="a"/>
    <w:uiPriority w:val="99"/>
    <w:semiHidden/>
    <w:unhideWhenUsed/>
    <w:rsid w:val="004206E9"/>
    <w:pPr>
      <w:widowControl/>
      <w:spacing w:before="100" w:beforeAutospacing="1" w:after="100" w:afterAutospacing="1"/>
      <w:jc w:val="left"/>
    </w:pPr>
    <w:rPr>
      <w:rFonts w:ascii="宋体" w:eastAsia="宋体" w:hAnsi="宋体" w:cs="宋体"/>
      <w:kern w:val="0"/>
      <w:sz w:val="24"/>
      <w:szCs w:val="24"/>
    </w:rPr>
  </w:style>
  <w:style w:type="character" w:customStyle="1" w:styleId="legendspanclass">
    <w:name w:val="legendspanclass"/>
    <w:basedOn w:val="a0"/>
    <w:rsid w:val="004206E9"/>
  </w:style>
  <w:style w:type="character" w:styleId="a4">
    <w:name w:val="Hyperlink"/>
    <w:basedOn w:val="a0"/>
    <w:uiPriority w:val="99"/>
    <w:semiHidden/>
    <w:unhideWhenUsed/>
    <w:rsid w:val="004206E9"/>
    <w:rPr>
      <w:color w:val="0000FF"/>
      <w:u w:val="single"/>
    </w:rPr>
  </w:style>
  <w:style w:type="character" w:styleId="a5">
    <w:name w:val="FollowedHyperlink"/>
    <w:basedOn w:val="a0"/>
    <w:uiPriority w:val="99"/>
    <w:semiHidden/>
    <w:unhideWhenUsed/>
    <w:rsid w:val="004206E9"/>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4120649">
      <w:bodyDiv w:val="1"/>
      <w:marLeft w:val="0"/>
      <w:marRight w:val="0"/>
      <w:marTop w:val="0"/>
      <w:marBottom w:val="0"/>
      <w:divBdr>
        <w:top w:val="none" w:sz="0" w:space="0" w:color="auto"/>
        <w:left w:val="none" w:sz="0" w:space="0" w:color="auto"/>
        <w:bottom w:val="none" w:sz="0" w:space="0" w:color="auto"/>
        <w:right w:val="none" w:sz="0" w:space="0" w:color="auto"/>
      </w:divBdr>
      <w:divsChild>
        <w:div w:id="1402022257">
          <w:marLeft w:val="0"/>
          <w:marRight w:val="0"/>
          <w:marTop w:val="0"/>
          <w:marBottom w:val="0"/>
          <w:divBdr>
            <w:top w:val="none" w:sz="0" w:space="0" w:color="auto"/>
            <w:left w:val="none" w:sz="0" w:space="0" w:color="auto"/>
            <w:bottom w:val="none" w:sz="0" w:space="0" w:color="auto"/>
            <w:right w:val="none" w:sz="0" w:space="0" w:color="auto"/>
          </w:divBdr>
          <w:divsChild>
            <w:div w:id="441386760">
              <w:marLeft w:val="2321"/>
              <w:marRight w:val="0"/>
              <w:marTop w:val="0"/>
              <w:marBottom w:val="0"/>
              <w:divBdr>
                <w:top w:val="none" w:sz="0" w:space="0" w:color="auto"/>
                <w:left w:val="none" w:sz="0" w:space="0" w:color="auto"/>
                <w:bottom w:val="none" w:sz="0" w:space="0" w:color="auto"/>
                <w:right w:val="none" w:sz="0" w:space="0" w:color="auto"/>
              </w:divBdr>
              <w:divsChild>
                <w:div w:id="1173491403">
                  <w:marLeft w:val="0"/>
                  <w:marRight w:val="0"/>
                  <w:marTop w:val="0"/>
                  <w:marBottom w:val="0"/>
                  <w:divBdr>
                    <w:top w:val="none" w:sz="0" w:space="0" w:color="auto"/>
                    <w:left w:val="none" w:sz="0" w:space="0" w:color="auto"/>
                    <w:bottom w:val="none" w:sz="0" w:space="0" w:color="auto"/>
                    <w:right w:val="none" w:sz="0" w:space="0" w:color="auto"/>
                  </w:divBdr>
                  <w:divsChild>
                    <w:div w:id="114831749">
                      <w:marLeft w:val="0"/>
                      <w:marRight w:val="0"/>
                      <w:marTop w:val="0"/>
                      <w:marBottom w:val="0"/>
                      <w:divBdr>
                        <w:top w:val="none" w:sz="0" w:space="0" w:color="auto"/>
                        <w:left w:val="none" w:sz="0" w:space="0" w:color="auto"/>
                        <w:bottom w:val="none" w:sz="0" w:space="0" w:color="auto"/>
                        <w:right w:val="none" w:sz="0" w:space="0" w:color="auto"/>
                      </w:divBdr>
                      <w:divsChild>
                        <w:div w:id="213053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424948">
          <w:marLeft w:val="0"/>
          <w:marRight w:val="0"/>
          <w:marTop w:val="0"/>
          <w:marBottom w:val="0"/>
          <w:divBdr>
            <w:top w:val="none" w:sz="0" w:space="0" w:color="auto"/>
            <w:left w:val="none" w:sz="0" w:space="0" w:color="auto"/>
            <w:bottom w:val="none" w:sz="0" w:space="0" w:color="auto"/>
            <w:right w:val="none" w:sz="0" w:space="0" w:color="auto"/>
          </w:divBdr>
          <w:divsChild>
            <w:div w:id="1559977346">
              <w:marLeft w:val="0"/>
              <w:marRight w:val="0"/>
              <w:marTop w:val="0"/>
              <w:marBottom w:val="0"/>
              <w:divBdr>
                <w:top w:val="none" w:sz="0" w:space="0" w:color="auto"/>
                <w:left w:val="none" w:sz="0" w:space="0" w:color="auto"/>
                <w:bottom w:val="none" w:sz="0" w:space="0" w:color="auto"/>
                <w:right w:val="none" w:sz="0" w:space="0" w:color="auto"/>
              </w:divBdr>
              <w:divsChild>
                <w:div w:id="1991056375">
                  <w:marLeft w:val="0"/>
                  <w:marRight w:val="0"/>
                  <w:marTop w:val="0"/>
                  <w:marBottom w:val="0"/>
                  <w:divBdr>
                    <w:top w:val="none" w:sz="0" w:space="0" w:color="auto"/>
                    <w:left w:val="none" w:sz="0" w:space="0" w:color="auto"/>
                    <w:bottom w:val="none" w:sz="0" w:space="0" w:color="auto"/>
                    <w:right w:val="none" w:sz="0" w:space="0" w:color="auto"/>
                  </w:divBdr>
                  <w:divsChild>
                    <w:div w:id="1873415535">
                      <w:marLeft w:val="0"/>
                      <w:marRight w:val="0"/>
                      <w:marTop w:val="0"/>
                      <w:marBottom w:val="0"/>
                      <w:divBdr>
                        <w:top w:val="none" w:sz="0" w:space="0" w:color="auto"/>
                        <w:left w:val="none" w:sz="0" w:space="0" w:color="auto"/>
                        <w:bottom w:val="none" w:sz="0" w:space="0" w:color="auto"/>
                        <w:right w:val="none" w:sz="0" w:space="0" w:color="auto"/>
                      </w:divBdr>
                      <w:divsChild>
                        <w:div w:id="318772737">
                          <w:marLeft w:val="0"/>
                          <w:marRight w:val="0"/>
                          <w:marTop w:val="0"/>
                          <w:marBottom w:val="0"/>
                          <w:divBdr>
                            <w:top w:val="none" w:sz="0" w:space="0" w:color="auto"/>
                            <w:left w:val="none" w:sz="0" w:space="0" w:color="auto"/>
                            <w:bottom w:val="none" w:sz="0" w:space="0" w:color="auto"/>
                            <w:right w:val="none" w:sz="0" w:space="0" w:color="auto"/>
                          </w:divBdr>
                          <w:divsChild>
                            <w:div w:id="1736582420">
                              <w:marLeft w:val="0"/>
                              <w:marRight w:val="0"/>
                              <w:marTop w:val="0"/>
                              <w:marBottom w:val="0"/>
                              <w:divBdr>
                                <w:top w:val="none" w:sz="0" w:space="0" w:color="auto"/>
                                <w:left w:val="none" w:sz="0" w:space="0" w:color="auto"/>
                                <w:bottom w:val="none" w:sz="0" w:space="0" w:color="auto"/>
                                <w:right w:val="none" w:sz="0" w:space="0" w:color="auto"/>
                              </w:divBdr>
                            </w:div>
                          </w:divsChild>
                        </w:div>
                        <w:div w:id="1017193837">
                          <w:marLeft w:val="0"/>
                          <w:marRight w:val="0"/>
                          <w:marTop w:val="0"/>
                          <w:marBottom w:val="0"/>
                          <w:divBdr>
                            <w:top w:val="none" w:sz="0" w:space="0" w:color="auto"/>
                            <w:left w:val="none" w:sz="0" w:space="0" w:color="auto"/>
                            <w:bottom w:val="none" w:sz="0" w:space="0" w:color="auto"/>
                            <w:right w:val="none" w:sz="0" w:space="0" w:color="auto"/>
                          </w:divBdr>
                          <w:divsChild>
                            <w:div w:id="1235748793">
                              <w:marLeft w:val="0"/>
                              <w:marRight w:val="0"/>
                              <w:marTop w:val="0"/>
                              <w:marBottom w:val="0"/>
                              <w:divBdr>
                                <w:top w:val="none" w:sz="0" w:space="0" w:color="auto"/>
                                <w:left w:val="none" w:sz="0" w:space="0" w:color="auto"/>
                                <w:bottom w:val="none" w:sz="0" w:space="0" w:color="auto"/>
                                <w:right w:val="none" w:sz="0" w:space="0" w:color="auto"/>
                              </w:divBdr>
                            </w:div>
                          </w:divsChild>
                        </w:div>
                        <w:div w:id="1623807777">
                          <w:marLeft w:val="0"/>
                          <w:marRight w:val="0"/>
                          <w:marTop w:val="0"/>
                          <w:marBottom w:val="0"/>
                          <w:divBdr>
                            <w:top w:val="none" w:sz="0" w:space="0" w:color="auto"/>
                            <w:left w:val="none" w:sz="0" w:space="0" w:color="auto"/>
                            <w:bottom w:val="none" w:sz="0" w:space="0" w:color="auto"/>
                            <w:right w:val="none" w:sz="0" w:space="0" w:color="auto"/>
                          </w:divBdr>
                          <w:divsChild>
                            <w:div w:id="364525704">
                              <w:marLeft w:val="0"/>
                              <w:marRight w:val="0"/>
                              <w:marTop w:val="0"/>
                              <w:marBottom w:val="0"/>
                              <w:divBdr>
                                <w:top w:val="none" w:sz="0" w:space="0" w:color="auto"/>
                                <w:left w:val="none" w:sz="0" w:space="0" w:color="auto"/>
                                <w:bottom w:val="none" w:sz="0" w:space="0" w:color="auto"/>
                                <w:right w:val="none" w:sz="0" w:space="0" w:color="auto"/>
                              </w:divBdr>
                            </w:div>
                          </w:divsChild>
                        </w:div>
                        <w:div w:id="1629118250">
                          <w:marLeft w:val="0"/>
                          <w:marRight w:val="0"/>
                          <w:marTop w:val="0"/>
                          <w:marBottom w:val="0"/>
                          <w:divBdr>
                            <w:top w:val="none" w:sz="0" w:space="0" w:color="auto"/>
                            <w:left w:val="none" w:sz="0" w:space="0" w:color="auto"/>
                            <w:bottom w:val="none" w:sz="0" w:space="0" w:color="auto"/>
                            <w:right w:val="none" w:sz="0" w:space="0" w:color="auto"/>
                          </w:divBdr>
                          <w:divsChild>
                            <w:div w:id="726685204">
                              <w:marLeft w:val="0"/>
                              <w:marRight w:val="0"/>
                              <w:marTop w:val="0"/>
                              <w:marBottom w:val="0"/>
                              <w:divBdr>
                                <w:top w:val="none" w:sz="0" w:space="0" w:color="auto"/>
                                <w:left w:val="none" w:sz="0" w:space="0" w:color="auto"/>
                                <w:bottom w:val="none" w:sz="0" w:space="0" w:color="auto"/>
                                <w:right w:val="none" w:sz="0" w:space="0" w:color="auto"/>
                              </w:divBdr>
                            </w:div>
                          </w:divsChild>
                        </w:div>
                        <w:div w:id="2083521640">
                          <w:marLeft w:val="0"/>
                          <w:marRight w:val="0"/>
                          <w:marTop w:val="0"/>
                          <w:marBottom w:val="0"/>
                          <w:divBdr>
                            <w:top w:val="none" w:sz="0" w:space="0" w:color="auto"/>
                            <w:left w:val="none" w:sz="0" w:space="0" w:color="auto"/>
                            <w:bottom w:val="none" w:sz="0" w:space="0" w:color="auto"/>
                            <w:right w:val="none" w:sz="0" w:space="0" w:color="auto"/>
                          </w:divBdr>
                          <w:divsChild>
                            <w:div w:id="167438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34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ge.prnewswire.com/c/link/?t=0&amp;l=en&amp;o=4546149-1&amp;h=3616267654&amp;u=http%3A%2F%2Fwww.federalrealty.com%2F&amp;a=www.federalrealty.com" TargetMode="External"/><Relationship Id="rId13" Type="http://schemas.openxmlformats.org/officeDocument/2006/relationships/hyperlink" Target="https://mma.prnewswire.com/media/1141400/Federal_1962.html" TargetMode="External"/><Relationship Id="rId3" Type="http://schemas.openxmlformats.org/officeDocument/2006/relationships/settings" Target="settings.xml"/><Relationship Id="rId7" Type="http://schemas.openxmlformats.org/officeDocument/2006/relationships/hyperlink" Target="http://www.federalrealty.com/" TargetMode="External"/><Relationship Id="rId12" Type="http://schemas.openxmlformats.org/officeDocument/2006/relationships/hyperlink" Target="https://www.prnewswire.com/news-releases/federal-realty-investment-trust-reports-third-quarter-2025-results-302600585.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federalrealty.com/" TargetMode="External"/><Relationship Id="rId11" Type="http://schemas.openxmlformats.org/officeDocument/2006/relationships/image" Target="media/image1.png"/><Relationship Id="rId5" Type="http://schemas.openxmlformats.org/officeDocument/2006/relationships/hyperlink" Target="https://edge.prnewswire.com/c/link/?t=0&amp;l=en&amp;o=4546149-1&amp;h=844836353&amp;u=http%3A%2F%2Fwww.federalrealty.com%2F&amp;a=Federal+Realty+Investment+Trust" TargetMode="External"/><Relationship Id="rId15" Type="http://schemas.openxmlformats.org/officeDocument/2006/relationships/fontTable" Target="fontTable.xml"/><Relationship Id="rId10" Type="http://schemas.openxmlformats.org/officeDocument/2006/relationships/hyperlink" Target="mailto:bpomar@federalrealty.com" TargetMode="External"/><Relationship Id="rId4" Type="http://schemas.openxmlformats.org/officeDocument/2006/relationships/webSettings" Target="webSettings.xml"/><Relationship Id="rId9" Type="http://schemas.openxmlformats.org/officeDocument/2006/relationships/hyperlink" Target="mailto:jsawyer@federalrealty.com" TargetMode="External"/><Relationship Id="rId14"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2922</Words>
  <Characters>16659</Characters>
  <Application>Microsoft Office Word</Application>
  <DocSecurity>0</DocSecurity>
  <Lines>138</Lines>
  <Paragraphs>39</Paragraphs>
  <ScaleCrop>false</ScaleCrop>
  <Company/>
  <LinksUpToDate>false</LinksUpToDate>
  <CharactersWithSpaces>19542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2</cp:revision>
  <dcterms:created xsi:type="dcterms:W3CDTF">2025-11-03T00:11:00Z</dcterms:created>
  <dcterms:modified xsi:type="dcterms:W3CDTF">2025-11-03T00:11:00Z</dcterms:modified>
</cp:coreProperties>
</file>