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5BCC" w:rsidRPr="00505BCC" w:rsidRDefault="00505BCC" w:rsidP="00505BCC">
      <w:pPr>
        <w:widowControl/>
        <w:shd w:val="clear" w:color="auto" w:fill="FFFFFF"/>
        <w:spacing w:after="300"/>
        <w:jc w:val="left"/>
        <w:outlineLvl w:val="0"/>
        <w:rPr>
          <w:rFonts w:ascii="Arial" w:eastAsia="宋体" w:hAnsi="Arial" w:cs="Arial"/>
          <w:b/>
          <w:bCs/>
          <w:color w:val="212322"/>
          <w:kern w:val="36"/>
          <w:sz w:val="48"/>
          <w:szCs w:val="48"/>
        </w:rPr>
      </w:pPr>
      <w:bookmarkStart w:id="0" w:name="_GoBack"/>
      <w:r w:rsidRPr="00505BCC">
        <w:rPr>
          <w:rFonts w:ascii="Arial" w:eastAsia="宋体" w:hAnsi="Arial" w:cs="Arial"/>
          <w:b/>
          <w:bCs/>
          <w:color w:val="212322"/>
          <w:kern w:val="36"/>
          <w:sz w:val="48"/>
          <w:szCs w:val="48"/>
        </w:rPr>
        <w:t>Marvell Technology, Inc. Reports Third Quarter of Fiscal Year 2026 Financial Results</w:t>
      </w:r>
    </w:p>
    <w:bookmarkEnd w:id="0"/>
    <w:p w:rsidR="00505BCC" w:rsidRPr="00505BCC" w:rsidRDefault="00505BCC" w:rsidP="00505BCC">
      <w:pPr>
        <w:widowControl/>
        <w:shd w:val="clear" w:color="auto" w:fill="FFFFFF"/>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December 02, 2025</w:t>
      </w:r>
    </w:p>
    <w:p w:rsidR="00505BCC" w:rsidRPr="00505BCC" w:rsidRDefault="00505BCC" w:rsidP="00505BCC">
      <w:pPr>
        <w:widowControl/>
        <w:numPr>
          <w:ilvl w:val="0"/>
          <w:numId w:val="1"/>
        </w:numPr>
        <w:shd w:val="clear" w:color="auto" w:fill="FFFFFF"/>
        <w:spacing w:after="270"/>
        <w:ind w:left="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Q3 Net Revenue: $2.075 billion, a new record, grew by 37% year-on-year</w:t>
      </w:r>
    </w:p>
    <w:p w:rsidR="00505BCC" w:rsidRPr="00505BCC" w:rsidRDefault="00505BCC" w:rsidP="00505BCC">
      <w:pPr>
        <w:widowControl/>
        <w:numPr>
          <w:ilvl w:val="0"/>
          <w:numId w:val="1"/>
        </w:numPr>
        <w:shd w:val="clear" w:color="auto" w:fill="FFFFFF"/>
        <w:spacing w:before="270" w:after="270"/>
        <w:ind w:left="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Q3 Gross Margin: 51.6% GAAP gross margin; 59.7% non-GAAP gross margin</w:t>
      </w:r>
    </w:p>
    <w:p w:rsidR="00505BCC" w:rsidRPr="00505BCC" w:rsidRDefault="00505BCC" w:rsidP="00505BCC">
      <w:pPr>
        <w:widowControl/>
        <w:numPr>
          <w:ilvl w:val="0"/>
          <w:numId w:val="1"/>
        </w:numPr>
        <w:shd w:val="clear" w:color="auto" w:fill="FFFFFF"/>
        <w:spacing w:before="270"/>
        <w:ind w:left="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Q3 Diluted income per share: $2.20 GAAP diluted income per share; $0.76 non-GAAP diluted income per share</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SANTA CLARA, Calif.--(BUSINESS WIRE</w:t>
      </w:r>
      <w:proofErr w:type="gramStart"/>
      <w:r w:rsidRPr="00505BCC">
        <w:rPr>
          <w:rFonts w:ascii="Arial" w:eastAsia="宋体" w:hAnsi="Arial" w:cs="Arial"/>
          <w:color w:val="63666A"/>
          <w:kern w:val="0"/>
          <w:sz w:val="24"/>
          <w:szCs w:val="24"/>
        </w:rPr>
        <w:t>)--</w:t>
      </w:r>
      <w:proofErr w:type="gramEnd"/>
      <w:r w:rsidRPr="00505BCC">
        <w:rPr>
          <w:rFonts w:ascii="Arial" w:eastAsia="宋体" w:hAnsi="Arial" w:cs="Arial"/>
          <w:color w:val="63666A"/>
          <w:kern w:val="0"/>
          <w:sz w:val="24"/>
          <w:szCs w:val="24"/>
        </w:rPr>
        <w:t xml:space="preserve"> Marvell Technology, Inc. (NASDAQ: MRVL), a leader in data infrastructure semiconductor solutions, today reported financial results for the third quarter of fiscal year 2026.</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Net revenue for the third quarter of fiscal 2026 was $2.075 billion, $15.0 million above the mid-point of the Company’s guidance provided on August 28, 2025.</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 xml:space="preserve">On August 14, 2025, the Company completed the sale of its automotive </w:t>
      </w:r>
      <w:proofErr w:type="spellStart"/>
      <w:r w:rsidRPr="00505BCC">
        <w:rPr>
          <w:rFonts w:ascii="Arial" w:eastAsia="宋体" w:hAnsi="Arial" w:cs="Arial"/>
          <w:color w:val="63666A"/>
          <w:kern w:val="0"/>
          <w:sz w:val="24"/>
          <w:szCs w:val="24"/>
        </w:rPr>
        <w:t>ethernet</w:t>
      </w:r>
      <w:proofErr w:type="spellEnd"/>
      <w:r w:rsidRPr="00505BCC">
        <w:rPr>
          <w:rFonts w:ascii="Arial" w:eastAsia="宋体" w:hAnsi="Arial" w:cs="Arial"/>
          <w:color w:val="63666A"/>
          <w:kern w:val="0"/>
          <w:sz w:val="24"/>
          <w:szCs w:val="24"/>
        </w:rPr>
        <w:t xml:space="preserve"> business to Infineon Technologies AG for $2.5 billion in cash, which resulted in a pre-tax gain on sale of $1.8 billion. Marvell's results for the third quarter of fiscal 2026 include the results of the automotive </w:t>
      </w:r>
      <w:proofErr w:type="spellStart"/>
      <w:r w:rsidRPr="00505BCC">
        <w:rPr>
          <w:rFonts w:ascii="Arial" w:eastAsia="宋体" w:hAnsi="Arial" w:cs="Arial"/>
          <w:color w:val="63666A"/>
          <w:kern w:val="0"/>
          <w:sz w:val="24"/>
          <w:szCs w:val="24"/>
        </w:rPr>
        <w:t>ethernet</w:t>
      </w:r>
      <w:proofErr w:type="spellEnd"/>
      <w:r w:rsidRPr="00505BCC">
        <w:rPr>
          <w:rFonts w:ascii="Arial" w:eastAsia="宋体" w:hAnsi="Arial" w:cs="Arial"/>
          <w:color w:val="63666A"/>
          <w:kern w:val="0"/>
          <w:sz w:val="24"/>
          <w:szCs w:val="24"/>
        </w:rPr>
        <w:t xml:space="preserve"> business through the sale date, while prior periods presented include the results of the automotive </w:t>
      </w:r>
      <w:proofErr w:type="spellStart"/>
      <w:r w:rsidRPr="00505BCC">
        <w:rPr>
          <w:rFonts w:ascii="Arial" w:eastAsia="宋体" w:hAnsi="Arial" w:cs="Arial"/>
          <w:color w:val="63666A"/>
          <w:kern w:val="0"/>
          <w:sz w:val="24"/>
          <w:szCs w:val="24"/>
        </w:rPr>
        <w:t>ethernet</w:t>
      </w:r>
      <w:proofErr w:type="spellEnd"/>
      <w:r w:rsidRPr="00505BCC">
        <w:rPr>
          <w:rFonts w:ascii="Arial" w:eastAsia="宋体" w:hAnsi="Arial" w:cs="Arial"/>
          <w:color w:val="63666A"/>
          <w:kern w:val="0"/>
          <w:sz w:val="24"/>
          <w:szCs w:val="24"/>
        </w:rPr>
        <w:t xml:space="preserve"> business for the entire period.</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GAAP net income for the third quarter of fiscal 2026 was $1.901 billion, or $2.20 per diluted share. Non-GAAP net income for the third quarter of fiscal 2026 was $655.0 million, or $0.76 per diluted share. Cash flow from operations for the third quarter was $582.3 million.</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“Marvell delivered record third-quarter revenue of $2.075 billion, exceeding the midpoint of guidance, driven by strong demand for our data center products. We are guiding for robust growth in the fourth quarter and are on track for a strong finish to the fiscal year, with full-year revenue growth forecasted to exceed 40%. Looking ahead, we see demand for our products continuing to accelerate, and as a result, our data center revenue growth forecast for next year is now higher than prior expectations,” said Matt Murphy, Marvell’s Chairman and CEO. “I am also excited to announce the acquisition of Celestial AI – a transformational milestone that accelerates our scale-up roadmap for interconnect. This acquisition further strengthens Marvell’s position at the forefront of one of the fastest-growing opportunities in AI datacenter infrastructure.”</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b/>
          <w:bCs/>
          <w:color w:val="63666A"/>
          <w:kern w:val="0"/>
          <w:sz w:val="24"/>
          <w:szCs w:val="24"/>
        </w:rPr>
        <w:t>Fourth Quarter of Fiscal 2026 Financial Outlook</w:t>
      </w:r>
    </w:p>
    <w:p w:rsidR="00505BCC" w:rsidRPr="00505BCC" w:rsidRDefault="00505BCC" w:rsidP="00505BCC">
      <w:pPr>
        <w:widowControl/>
        <w:numPr>
          <w:ilvl w:val="0"/>
          <w:numId w:val="2"/>
        </w:numPr>
        <w:shd w:val="clear" w:color="auto" w:fill="FFFFFF"/>
        <w:spacing w:after="270"/>
        <w:ind w:left="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Net revenue is expected to be $2.200 billion +/- 5%.</w:t>
      </w:r>
    </w:p>
    <w:p w:rsidR="00505BCC" w:rsidRPr="00505BCC" w:rsidRDefault="00505BCC" w:rsidP="00505BCC">
      <w:pPr>
        <w:widowControl/>
        <w:numPr>
          <w:ilvl w:val="0"/>
          <w:numId w:val="2"/>
        </w:numPr>
        <w:shd w:val="clear" w:color="auto" w:fill="FFFFFF"/>
        <w:spacing w:before="270" w:after="270"/>
        <w:ind w:left="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GAAP gross margin is expected to be 51.1% to 52.1%.</w:t>
      </w:r>
    </w:p>
    <w:p w:rsidR="00505BCC" w:rsidRPr="00505BCC" w:rsidRDefault="00505BCC" w:rsidP="00505BCC">
      <w:pPr>
        <w:widowControl/>
        <w:numPr>
          <w:ilvl w:val="0"/>
          <w:numId w:val="2"/>
        </w:numPr>
        <w:shd w:val="clear" w:color="auto" w:fill="FFFFFF"/>
        <w:spacing w:before="270" w:after="270"/>
        <w:ind w:left="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Non-GAAP gross margin is expected to be 58.5% to 59.5%.</w:t>
      </w:r>
    </w:p>
    <w:p w:rsidR="00505BCC" w:rsidRPr="00505BCC" w:rsidRDefault="00505BCC" w:rsidP="00505BCC">
      <w:pPr>
        <w:widowControl/>
        <w:numPr>
          <w:ilvl w:val="0"/>
          <w:numId w:val="2"/>
        </w:numPr>
        <w:shd w:val="clear" w:color="auto" w:fill="FFFFFF"/>
        <w:spacing w:before="270" w:after="270"/>
        <w:ind w:left="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GAAP operating expenses are expected to be approximately $741 million.</w:t>
      </w:r>
    </w:p>
    <w:p w:rsidR="00505BCC" w:rsidRPr="00505BCC" w:rsidRDefault="00505BCC" w:rsidP="00505BCC">
      <w:pPr>
        <w:widowControl/>
        <w:numPr>
          <w:ilvl w:val="0"/>
          <w:numId w:val="2"/>
        </w:numPr>
        <w:shd w:val="clear" w:color="auto" w:fill="FFFFFF"/>
        <w:spacing w:before="270" w:after="270"/>
        <w:ind w:left="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Non-GAAP operating expenses are expected to be approximately $515 million.</w:t>
      </w:r>
    </w:p>
    <w:p w:rsidR="00505BCC" w:rsidRPr="00505BCC" w:rsidRDefault="00505BCC" w:rsidP="00505BCC">
      <w:pPr>
        <w:widowControl/>
        <w:numPr>
          <w:ilvl w:val="0"/>
          <w:numId w:val="2"/>
        </w:numPr>
        <w:shd w:val="clear" w:color="auto" w:fill="FFFFFF"/>
        <w:spacing w:before="270" w:after="270"/>
        <w:ind w:left="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Basic weighted-average shares outstanding are expected to be 850 million.</w:t>
      </w:r>
    </w:p>
    <w:p w:rsidR="00505BCC" w:rsidRPr="00505BCC" w:rsidRDefault="00505BCC" w:rsidP="00505BCC">
      <w:pPr>
        <w:widowControl/>
        <w:numPr>
          <w:ilvl w:val="0"/>
          <w:numId w:val="2"/>
        </w:numPr>
        <w:shd w:val="clear" w:color="auto" w:fill="FFFFFF"/>
        <w:spacing w:before="270" w:after="270"/>
        <w:ind w:left="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Diluted weighted-average shares outstanding are expected to be 857 million.</w:t>
      </w:r>
    </w:p>
    <w:p w:rsidR="00505BCC" w:rsidRPr="00505BCC" w:rsidRDefault="00505BCC" w:rsidP="00505BCC">
      <w:pPr>
        <w:widowControl/>
        <w:numPr>
          <w:ilvl w:val="0"/>
          <w:numId w:val="2"/>
        </w:numPr>
        <w:shd w:val="clear" w:color="auto" w:fill="FFFFFF"/>
        <w:spacing w:before="270" w:after="270"/>
        <w:ind w:left="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GAAP diluted net income per share is expected to be $0.36 +/- $0.05 per share.</w:t>
      </w:r>
    </w:p>
    <w:p w:rsidR="00505BCC" w:rsidRPr="00505BCC" w:rsidRDefault="00505BCC" w:rsidP="00505BCC">
      <w:pPr>
        <w:widowControl/>
        <w:numPr>
          <w:ilvl w:val="0"/>
          <w:numId w:val="2"/>
        </w:numPr>
        <w:shd w:val="clear" w:color="auto" w:fill="FFFFFF"/>
        <w:spacing w:before="270"/>
        <w:ind w:left="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Non-GAAP diluted net income per share is expected to be $0.79 +/- $0.05 per share.</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GAAP diluted EPS is calculated using basic weighted-average shares outstanding when there is a GAAP net loss, and calculated using diluted weighted-average shares outstanding when there is a GAAP net income. Non-GAAP diluted EPS is calculated using diluted weighted-average shares outstanding.</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b/>
          <w:bCs/>
          <w:color w:val="63666A"/>
          <w:kern w:val="0"/>
          <w:sz w:val="24"/>
          <w:szCs w:val="24"/>
        </w:rPr>
        <w:t>Conference Call</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Marvell will conduct a conference call on Tuesday, December 2, 2025 at 1:45 p.m. Pacific Time to discuss results for the third quarter of fiscal year 2026. The call will be webcast and can be accessed at the Marvell Investor Relations website at </w:t>
      </w:r>
      <w:hyperlink r:id="rId5" w:history="1">
        <w:r w:rsidRPr="00505BCC">
          <w:rPr>
            <w:rFonts w:ascii="Arial" w:eastAsia="宋体" w:hAnsi="Arial" w:cs="Arial"/>
            <w:color w:val="0072CE"/>
            <w:kern w:val="0"/>
            <w:sz w:val="24"/>
            <w:szCs w:val="24"/>
            <w:u w:val="single"/>
          </w:rPr>
          <w:t>http://investor.marvell.com/</w:t>
        </w:r>
      </w:hyperlink>
      <w:r w:rsidRPr="00505BCC">
        <w:rPr>
          <w:rFonts w:ascii="Arial" w:eastAsia="宋体" w:hAnsi="Arial" w:cs="Arial"/>
          <w:color w:val="63666A"/>
          <w:kern w:val="0"/>
          <w:sz w:val="24"/>
          <w:szCs w:val="24"/>
        </w:rPr>
        <w:t>. Interested parties may also join the live conference call via telephone by using the ‘Call me</w:t>
      </w:r>
      <w:r w:rsidRPr="00505BCC">
        <w:rPr>
          <w:rFonts w:ascii="Arial" w:eastAsia="宋体" w:hAnsi="Arial" w:cs="Arial"/>
          <w:color w:val="63666A"/>
          <w:kern w:val="0"/>
          <w:sz w:val="18"/>
          <w:szCs w:val="18"/>
          <w:vertAlign w:val="superscript"/>
        </w:rPr>
        <w:t>™</w:t>
      </w:r>
      <w:r w:rsidRPr="00505BCC">
        <w:rPr>
          <w:rFonts w:ascii="Arial" w:eastAsia="宋体" w:hAnsi="Arial" w:cs="Arial"/>
          <w:color w:val="63666A"/>
          <w:kern w:val="0"/>
          <w:sz w:val="24"/>
          <w:szCs w:val="24"/>
        </w:rPr>
        <w:t>, link provided in the press release on November 4, 2025, and on the Quarterly Earnings section of the Marvell Investor Relations website, to receive an instant automated call back. To join the call via telephone with operator assistance, please dial 1-877-407-8291 or 1-201-689-8345. A replay of the call can be accessed by dialing 1-877-660-6853 or 1-201-612-7415, passcode 13757043 until Tuesday, December 9, 2025.</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b/>
          <w:bCs/>
          <w:color w:val="63666A"/>
          <w:kern w:val="0"/>
          <w:sz w:val="24"/>
          <w:szCs w:val="24"/>
        </w:rPr>
        <w:t>Discussion of Non-GAAP Financial Measures</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Non-GAAP financial measures exclude the effect of stock-based compensation expense, amortization of acquired intangible assets, gain on sale of business, acquisition and divestiture related costs, restructuring and other related charges (including, but not limited to, asset impairment charges, recognition of contractual obligations, employee severance costs, and facility exit related charges), resolution of legal matters, and certain expenses and benefits that are driven primarily by discrete events that management does not consider to be directly related to Marvell’s core business. Although Marvell excludes the amortization of all acquired intangible assets from these non-GAAP financial measures, management believes that it is important for investors to understand that such intangible assets were recorded as part of purchase price accounting arising from acquisitions, and that such amortization of intangible assets that relate to past acquisitions will recur in future periods until such intangible assets have been fully amortized. Investors should note that the use of intangible assets contributed to Marvell’s revenues earned during the periods presented and are expected to contribute to Marvell’s future period revenues as well.</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 xml:space="preserve">Marvell uses a non-GAAP tax rate to compute the non-GAAP tax provision. This non-GAAP tax rate is based on Marvell’s estimated annual GAAP income tax forecast, adjusted to account for items excluded from Marvell’s non-GAAP income, as well as the effects of significant non-recurring and period specific tax items which vary in size and frequency, and excludes tax deductions and benefits from acquired tax loss and credit </w:t>
      </w:r>
      <w:proofErr w:type="spellStart"/>
      <w:r w:rsidRPr="00505BCC">
        <w:rPr>
          <w:rFonts w:ascii="Arial" w:eastAsia="宋体" w:hAnsi="Arial" w:cs="Arial"/>
          <w:color w:val="63666A"/>
          <w:kern w:val="0"/>
          <w:sz w:val="24"/>
          <w:szCs w:val="24"/>
        </w:rPr>
        <w:t>carryforwards</w:t>
      </w:r>
      <w:proofErr w:type="spellEnd"/>
      <w:r w:rsidRPr="00505BCC">
        <w:rPr>
          <w:rFonts w:ascii="Arial" w:eastAsia="宋体" w:hAnsi="Arial" w:cs="Arial"/>
          <w:color w:val="63666A"/>
          <w:kern w:val="0"/>
          <w:sz w:val="24"/>
          <w:szCs w:val="24"/>
        </w:rPr>
        <w:t xml:space="preserve"> and changes in valuation allowance on acquired deferred tax assets. Marvell’s non-GAAP tax rate is determined on an annual basis and may be adjusted during the year to take into account events that may materially affect the non-GAAP tax rate such as tax law changes; acquisitions; significant changes in Marvell’s geographic mix of revenue and expenses; or changes to Marvell’s corporate structure. For the third quarter of fiscal 2026, a non-GAAP tax rate of 10.0% has been applied to the non-GAAP financial results.</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Marvell believes that the presentation of non-GAAP financial measures provides important supplemental information to management and investors regarding financial and business trends relating to Marvell’s financial condition and results of operations. While Marvell uses non-GAAP financial measures as a tool to enhance its understanding of certain aspects of its financial performance, Marvell does not consider these measures to be a substitute for, or superior to, financial measures calculated in accordance with GAAP. Consistent with this approach, Marvell believes that disclosing non-GAAP financial measures to the readers of its financial statements provides such readers with useful supplemental data that, while not a substitute for GAAP financial measures, allows for greater transparency in the review of its financial and operational performance.</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Externally, management believes that investors may find Marvell’s non-GAAP financial measures useful in their assessment of Marvell’s operating performance and the valuation of Marvell. Internally, Marvell’s non-GAAP financial measures are used in the following areas:</w:t>
      </w:r>
    </w:p>
    <w:p w:rsidR="00505BCC" w:rsidRPr="00505BCC" w:rsidRDefault="00505BCC" w:rsidP="00505BCC">
      <w:pPr>
        <w:widowControl/>
        <w:numPr>
          <w:ilvl w:val="0"/>
          <w:numId w:val="3"/>
        </w:numPr>
        <w:shd w:val="clear" w:color="auto" w:fill="FFFFFF"/>
        <w:spacing w:after="270"/>
        <w:ind w:left="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Management’s evaluation of Marvell’s operating performance;</w:t>
      </w:r>
    </w:p>
    <w:p w:rsidR="00505BCC" w:rsidRPr="00505BCC" w:rsidRDefault="00505BCC" w:rsidP="00505BCC">
      <w:pPr>
        <w:widowControl/>
        <w:numPr>
          <w:ilvl w:val="0"/>
          <w:numId w:val="3"/>
        </w:numPr>
        <w:shd w:val="clear" w:color="auto" w:fill="FFFFFF"/>
        <w:spacing w:before="270" w:after="270"/>
        <w:ind w:left="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Management’s establishment of internal operating budgets;</w:t>
      </w:r>
    </w:p>
    <w:p w:rsidR="00505BCC" w:rsidRPr="00505BCC" w:rsidRDefault="00505BCC" w:rsidP="00505BCC">
      <w:pPr>
        <w:widowControl/>
        <w:numPr>
          <w:ilvl w:val="0"/>
          <w:numId w:val="3"/>
        </w:numPr>
        <w:shd w:val="clear" w:color="auto" w:fill="FFFFFF"/>
        <w:spacing w:before="270" w:after="270"/>
        <w:ind w:left="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Management’s performance comparisons with internal forecasts and targeted business models; and</w:t>
      </w:r>
    </w:p>
    <w:p w:rsidR="00505BCC" w:rsidRPr="00505BCC" w:rsidRDefault="00505BCC" w:rsidP="00505BCC">
      <w:pPr>
        <w:widowControl/>
        <w:numPr>
          <w:ilvl w:val="0"/>
          <w:numId w:val="3"/>
        </w:numPr>
        <w:shd w:val="clear" w:color="auto" w:fill="FFFFFF"/>
        <w:spacing w:before="270"/>
        <w:ind w:left="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Management’s determination of the achievement and measurement of certain types of compensation including Marvell’s annual incentive plan and certain performance-based equity awards (adjustments may vary from award to award).</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Non-GAAP financial measures have limitations in that they do not reflect all of the costs associated with the operations of Marvell’s business as determined in accordance with GAAP. As a result, you should not consider these measures in isolation or as a substitute for analysis of Marvell’s results as reported under GAAP. The exclusion of the above items from our GAAP financial metrics does not necessarily mean that these costs are unusual or infrequent.</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b/>
          <w:bCs/>
          <w:color w:val="63666A"/>
          <w:kern w:val="0"/>
          <w:sz w:val="24"/>
          <w:szCs w:val="24"/>
        </w:rPr>
        <w:t>Forward-Looking Statements under the Private Securities Litigation Reform Act of 1995</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 xml:space="preserve">This press release contains forward-looking statements within the meaning of Section 27A of the Securities Act of 1933, as amended (the “Securities Act”), and Section 21E of the Securities Exchange Act of 1934, as amended (the “Exchange Act”), which are subject to the “safe harbor” created by those sections. These statements involve known and unknown risks, uncertainties and other factors, which may cause our actual results to differ materially from those implied by the forward-looking statements. Words such as “anticipates,” “expects,” “intends,” “plans,” “projects,” “believes,” “seeks,” “estimates,” “forecasts,” “targets,” “may,” “can,” “will,” “would” and similar expressions identify such forward-looking statements. Forward-looking statements contained in this press release include, but are not limited to, the statements describing our financial outlook and future period revenues. These statements are not guarantees of results and should not be considered as an indication of future activity or future performance. Forward-looking statements are predictions, projections and other statements about future events that are based on current expectations and assumptions and, as a result, are subject to risks and uncertainties. Actual events or results may differ materially from those described in this press release due to a number of risks and uncertainties, including, but not limited to: risks related to our ability to estimate customer demand and future sales accurately; our ability to define, design, develop and market products for the Artificial Intelligence (AI), Cloud, and 5G markets; risks related to our dependence on a few customers for a significant portion of our revenue, particularly as our major customers comprise an increasing percentage of our revenue, as well as risks related to a significant portion of our sales being concentrated in the data center end market; risks that our customers develop their own solutions, vertically integrate which may reduce the need for our products, or acquire fully developed solutions from third parties; our ability to secure design wins from our customers and prospective customers; the impact of international conflict (such as the current armed conflicts in the Ukraine and in Israel and the Gaza Strip) and economic volatility in either domestic or foreign markets including risks related to trade conflicts or tensions, regulations, and tariffs, including but not limited to, trade restrictions imposed on our Chinese customers; risks related to changes in general macroeconomic conditions, or expectations of such conditions, such as high or rising interest rates, macroeconomic slowdowns, recessions, inflation, and stagflation; risks related to higher inventory levels; risks related to cancellations, rescheduling or deferrals of significant customer orders or shipments, as well as the ability of our customers to manage inventory; our ability to realize the expected benefits from restructuring activities; the risk of downturns in the semiconductor industry or our customer end markets; our ability to retain and hire key personnel; risks related to our return to working full time in the office as of June 2025; </w:t>
      </w:r>
      <w:proofErr w:type="spellStart"/>
      <w:r w:rsidRPr="00505BCC">
        <w:rPr>
          <w:rFonts w:ascii="Arial" w:eastAsia="宋体" w:hAnsi="Arial" w:cs="Arial"/>
          <w:color w:val="63666A"/>
          <w:kern w:val="0"/>
          <w:sz w:val="24"/>
          <w:szCs w:val="24"/>
        </w:rPr>
        <w:t>cybersecurity</w:t>
      </w:r>
      <w:proofErr w:type="spellEnd"/>
      <w:r w:rsidRPr="00505BCC">
        <w:rPr>
          <w:rFonts w:ascii="Arial" w:eastAsia="宋体" w:hAnsi="Arial" w:cs="Arial"/>
          <w:color w:val="63666A"/>
          <w:kern w:val="0"/>
          <w:sz w:val="24"/>
          <w:szCs w:val="24"/>
        </w:rPr>
        <w:t xml:space="preserve"> risks; our ability to limit costs related to defective products; risks related to our debt obligations; risks related to the rapid growth of the Company; delays or increased costs related to completing the design, development, production and introduction of our new products due to a variety of issues, including supply chain cross-dependencies, dependencies on EDA and similar tools, dependencies on the use of third-party, business partner or customer intellectual property, collaboration and synchronization requirements with business partners and customers, requirements to establish new manufacturing, testing, assembly and packing processes, and other issues; our reliance on our manufacturing partners for the manufacture, assembly, testing and packaging of our products; risks related to the ASIC business model which requires us to use third-party IP including the risk that we may lose business or experience reputational harm if third parties, including customers, lose confidence in our ability to protect their IP rights; the risks associated with manufacturing and selling products and customers’ products outside of the United States; our ability to complete and realize the anticipated benefits of any acquisitions, divestitures and investments; decreases in gross margin and results of operations in the future due to a number of factors, including high or increasing interest rates and volatility in foreign exchange rates; severe financial hardship or bankruptcy of one or more of our major customers; the effects of transitioning to smaller geometry process technologies; the impact of any change in the income tax laws in jurisdictions where we operate and the loss of any beneficial tax treatment that we currently enjoy; the outcome of pending or future litigation and legal and regulatory proceedings; risk related to our Sustainability program; the impact and costs associated with changes in international financial and regulatory conditions; our ability and the ability of our customers to successfully compete in the markets in which we serve; our ability and our customers’ ability to develop new and enhanced products and the adoption of those products in the market; supply chain disruptions or component shortages that may impact the production of our products including our kitting process or may impact the price of components which in turn may impact our margins on any impacted products and any constrained availability from other electronic suppliers impacting our customers’ ability to ship their products, which in turn may adversely impact our sales to those customers; our ability to scale our operations in response to changes in demand for existing or new products and services; risks associated with acquisition and consolidation activity in the semiconductor industry, including any consolidation of our manufacturing partners; our ability to protect our intellectual property; risks related to the impact of the COVID-19 pandemic (or future pandemics) which have impacted, and for which lingering effects may continue to impact our business, employees and operations, the transportation and manufacturing of our products, and the operations of our customers, distributors, vendors, suppliers, and partners; our maintenance of an effective system of internal controls; financial institution instability; and other risks detailed in our SEC filings from time to time. The foregoing list of factors is not exhaustive. You should carefully consider the foregoing factors and the other risks and uncertainties that affect our business described in the “Risk Factors” section of our Annual Reports on Form 10-K, Quarterly Reports on Form 10-Q and other documents filed by us from time to time with the SEC. Forward-looking statements speak only as of the date they are made. Readers are cautioned not to put undue reliance on forward-looking statements, and we assume no obligation and do not intend to update or revise these forward-looking statements, whether as a result of new information, future events or otherwise.</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b/>
          <w:bCs/>
          <w:color w:val="63666A"/>
          <w:kern w:val="0"/>
          <w:sz w:val="24"/>
          <w:szCs w:val="24"/>
        </w:rPr>
        <w:t>About Marvell</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To deliver the data infrastructure technology that connects the world, we’re building solutions on the most powerful foundation: our partnerships with our customers. Trusted by the world’s leading technology companies for over 30 years, we move, store, process and secure the world’s data with semiconductor solutions designed for our customers’ current needs and future ambitions. Through a process of deep collaboration and transparency, we’re ultimately changing the way tomorrow’s enterprise, cloud, and carrier architectures transform—for the better.</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i/>
          <w:iCs/>
          <w:color w:val="63666A"/>
          <w:kern w:val="0"/>
          <w:sz w:val="24"/>
          <w:szCs w:val="24"/>
        </w:rPr>
        <w:t>Marvell</w:t>
      </w:r>
      <w:r w:rsidRPr="00505BCC">
        <w:rPr>
          <w:rFonts w:ascii="Arial" w:eastAsia="宋体" w:hAnsi="Arial" w:cs="Arial"/>
          <w:i/>
          <w:iCs/>
          <w:color w:val="63666A"/>
          <w:kern w:val="0"/>
          <w:sz w:val="18"/>
          <w:szCs w:val="18"/>
          <w:vertAlign w:val="superscript"/>
        </w:rPr>
        <w:t>®</w:t>
      </w:r>
      <w:r w:rsidRPr="00505BCC">
        <w:rPr>
          <w:rFonts w:ascii="Arial" w:eastAsia="宋体" w:hAnsi="Arial" w:cs="Arial"/>
          <w:i/>
          <w:iCs/>
          <w:color w:val="63666A"/>
          <w:kern w:val="0"/>
          <w:sz w:val="24"/>
          <w:szCs w:val="24"/>
        </w:rPr>
        <w:t> and the Marvell logo are registered trademarks of Marvell and/or its affiliates.</w:t>
      </w:r>
    </w:p>
    <w:tbl>
      <w:tblPr>
        <w:tblW w:w="17550" w:type="dxa"/>
        <w:tblCellMar>
          <w:top w:w="15" w:type="dxa"/>
          <w:left w:w="15" w:type="dxa"/>
          <w:bottom w:w="15" w:type="dxa"/>
          <w:right w:w="15" w:type="dxa"/>
        </w:tblCellMar>
        <w:tblLook w:val="04A0" w:firstRow="1" w:lastRow="0" w:firstColumn="1" w:lastColumn="0" w:noHBand="0" w:noVBand="1"/>
      </w:tblPr>
      <w:tblGrid>
        <w:gridCol w:w="5264"/>
        <w:gridCol w:w="350"/>
        <w:gridCol w:w="351"/>
        <w:gridCol w:w="1404"/>
        <w:gridCol w:w="351"/>
        <w:gridCol w:w="351"/>
        <w:gridCol w:w="351"/>
        <w:gridCol w:w="1404"/>
        <w:gridCol w:w="351"/>
        <w:gridCol w:w="351"/>
        <w:gridCol w:w="351"/>
        <w:gridCol w:w="1404"/>
        <w:gridCol w:w="2"/>
        <w:gridCol w:w="349"/>
        <w:gridCol w:w="2"/>
        <w:gridCol w:w="349"/>
        <w:gridCol w:w="2"/>
        <w:gridCol w:w="349"/>
        <w:gridCol w:w="1404"/>
        <w:gridCol w:w="2"/>
        <w:gridCol w:w="349"/>
        <w:gridCol w:w="2"/>
        <w:gridCol w:w="349"/>
        <w:gridCol w:w="2"/>
        <w:gridCol w:w="349"/>
        <w:gridCol w:w="1404"/>
        <w:gridCol w:w="2"/>
        <w:gridCol w:w="351"/>
      </w:tblGrid>
      <w:tr w:rsidR="00505BCC" w:rsidRPr="00505BCC" w:rsidTr="00505BCC">
        <w:tc>
          <w:tcPr>
            <w:tcW w:w="0" w:type="auto"/>
            <w:gridSpan w:val="28"/>
            <w:tcMar>
              <w:top w:w="0" w:type="dxa"/>
              <w:left w:w="0" w:type="dxa"/>
              <w:bottom w:w="0" w:type="dxa"/>
              <w:right w:w="0" w:type="dxa"/>
            </w:tcMar>
            <w:vAlign w:val="center"/>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Marvell Technology, Inc.</w:t>
            </w:r>
            <w:r w:rsidRPr="00505BCC">
              <w:rPr>
                <w:rFonts w:ascii="宋体" w:eastAsia="宋体" w:hAnsi="宋体" w:cs="宋体"/>
                <w:b/>
                <w:bCs/>
                <w:kern w:val="0"/>
                <w:szCs w:val="21"/>
              </w:rPr>
              <w:br/>
              <w:t>Condensed Consolidated Statements of Operations (Unaudited)</w:t>
            </w:r>
            <w:r w:rsidRPr="00505BCC">
              <w:rPr>
                <w:rFonts w:ascii="宋体" w:eastAsia="宋体" w:hAnsi="宋体" w:cs="宋体"/>
                <w:b/>
                <w:bCs/>
                <w:kern w:val="0"/>
                <w:szCs w:val="21"/>
              </w:rPr>
              <w:br/>
              <w:t>(In millions, except per share amounts)</w:t>
            </w:r>
          </w:p>
        </w:tc>
      </w:tr>
      <w:tr w:rsidR="00505BCC" w:rsidRPr="00505BCC" w:rsidTr="00505BCC">
        <w:tc>
          <w:tcPr>
            <w:tcW w:w="5266"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3"/>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3"/>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12"/>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Three Months Ended</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12"/>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Nine Months Ended</w:t>
            </w:r>
          </w:p>
        </w:tc>
      </w:tr>
      <w:tr w:rsidR="00505BCC" w:rsidRPr="00505BCC" w:rsidTr="00505BCC">
        <w:tc>
          <w:tcPr>
            <w:tcW w:w="5266"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3"/>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1,</w:t>
            </w:r>
            <w:r w:rsidRPr="00505BCC">
              <w:rPr>
                <w:rFonts w:ascii="宋体" w:eastAsia="宋体" w:hAnsi="宋体" w:cs="宋体"/>
                <w:kern w:val="0"/>
                <w:szCs w:val="21"/>
              </w:rPr>
              <w:br/>
            </w:r>
            <w:r w:rsidRPr="00505BCC">
              <w:rPr>
                <w:rFonts w:ascii="宋体" w:eastAsia="宋体" w:hAnsi="宋体" w:cs="宋体"/>
                <w:b/>
                <w:bCs/>
                <w:kern w:val="0"/>
                <w:szCs w:val="21"/>
              </w:rPr>
              <w:t>2025</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3"/>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August 2,</w:t>
            </w:r>
            <w:r w:rsidRPr="00505BCC">
              <w:rPr>
                <w:rFonts w:ascii="宋体" w:eastAsia="宋体" w:hAnsi="宋体" w:cs="宋体"/>
                <w:kern w:val="0"/>
                <w:szCs w:val="21"/>
              </w:rPr>
              <w:br/>
            </w:r>
            <w:r w:rsidRPr="00505BCC">
              <w:rPr>
                <w:rFonts w:ascii="宋体" w:eastAsia="宋体" w:hAnsi="宋体" w:cs="宋体"/>
                <w:b/>
                <w:bCs/>
                <w:kern w:val="0"/>
                <w:szCs w:val="21"/>
              </w:rPr>
              <w:t>2025</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2,</w:t>
            </w:r>
            <w:r w:rsidRPr="00505BCC">
              <w:rPr>
                <w:rFonts w:ascii="宋体" w:eastAsia="宋体" w:hAnsi="宋体" w:cs="宋体"/>
                <w:kern w:val="0"/>
                <w:szCs w:val="21"/>
              </w:rPr>
              <w:br/>
            </w:r>
            <w:r w:rsidRPr="00505BCC">
              <w:rPr>
                <w:rFonts w:ascii="宋体" w:eastAsia="宋体" w:hAnsi="宋体" w:cs="宋体"/>
                <w:b/>
                <w:bCs/>
                <w:kern w:val="0"/>
                <w:szCs w:val="21"/>
              </w:rPr>
              <w:t>2024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1,</w:t>
            </w:r>
            <w:r w:rsidRPr="00505BCC">
              <w:rPr>
                <w:rFonts w:ascii="宋体" w:eastAsia="宋体" w:hAnsi="宋体" w:cs="宋体"/>
                <w:kern w:val="0"/>
                <w:szCs w:val="21"/>
              </w:rPr>
              <w:br/>
            </w:r>
            <w:r w:rsidRPr="00505BCC">
              <w:rPr>
                <w:rFonts w:ascii="宋体" w:eastAsia="宋体" w:hAnsi="宋体" w:cs="宋体"/>
                <w:b/>
                <w:bCs/>
                <w:kern w:val="0"/>
                <w:szCs w:val="21"/>
              </w:rPr>
              <w:t>2025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2,</w:t>
            </w:r>
            <w:r w:rsidRPr="00505BCC">
              <w:rPr>
                <w:rFonts w:ascii="宋体" w:eastAsia="宋体" w:hAnsi="宋体" w:cs="宋体"/>
                <w:kern w:val="0"/>
                <w:szCs w:val="21"/>
              </w:rPr>
              <w:br/>
            </w:r>
            <w:r w:rsidRPr="00505BCC">
              <w:rPr>
                <w:rFonts w:ascii="宋体" w:eastAsia="宋体" w:hAnsi="宋体" w:cs="宋体"/>
                <w:b/>
                <w:bCs/>
                <w:kern w:val="0"/>
                <w:szCs w:val="21"/>
              </w:rPr>
              <w:t>2024</w:t>
            </w:r>
          </w:p>
        </w:tc>
      </w:tr>
      <w:tr w:rsidR="00505BCC" w:rsidRPr="00505BCC" w:rsidTr="00505BCC">
        <w:tc>
          <w:tcPr>
            <w:tcW w:w="5266" w:type="dxa"/>
            <w:shd w:val="clear" w:color="auto" w:fill="CCEEFF"/>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Net revenue</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2,074.5</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2,006.1</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1,516.1</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5,975.9</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3,949.9</w:t>
            </w:r>
          </w:p>
        </w:tc>
        <w:tc>
          <w:tcPr>
            <w:tcW w:w="353"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Cost of goods sold</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1,004.7</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995.5</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1,166.7</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2,943.1</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2,485.1</w:t>
            </w:r>
          </w:p>
        </w:tc>
        <w:tc>
          <w:tcPr>
            <w:tcW w:w="353"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Gross profit</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1,069.8</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1,010.6</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349.4</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3,032.8</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1,464.8</w:t>
            </w:r>
          </w:p>
        </w:tc>
        <w:tc>
          <w:tcPr>
            <w:tcW w:w="353"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3"/>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3"/>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Operating expenses:</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15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Research and development</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512.5</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519.0</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488.6</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1,539.2</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1,451.4</w:t>
            </w:r>
          </w:p>
        </w:tc>
        <w:tc>
          <w:tcPr>
            <w:tcW w:w="353"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15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Selling, general and administrative</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189.9</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192.8</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205.3</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569.1</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602.5</w:t>
            </w:r>
          </w:p>
        </w:tc>
        <w:tc>
          <w:tcPr>
            <w:tcW w:w="353"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15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Restructuring related charges, net</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9.6</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8.7</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358.3</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6.0</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366.4</w:t>
            </w:r>
          </w:p>
        </w:tc>
        <w:tc>
          <w:tcPr>
            <w:tcW w:w="353"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30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Total operating expenses</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712.0</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720.5</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1,052.2</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2,114.3</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2,420.3</w:t>
            </w:r>
          </w:p>
        </w:tc>
        <w:tc>
          <w:tcPr>
            <w:tcW w:w="353"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Operating income (loss)</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357.8</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290.1</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(702.8</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918.5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(955.5</w:t>
            </w:r>
          </w:p>
        </w:tc>
        <w:tc>
          <w:tcPr>
            <w:tcW w:w="353"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shd w:val="clear" w:color="auto" w:fill="CCEEFF"/>
            <w:tcMar>
              <w:top w:w="0" w:type="dxa"/>
              <w:left w:w="15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Interest expense</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(51.2</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(51.9</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(47.2</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(151.8</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(144.4</w:t>
            </w:r>
          </w:p>
        </w:tc>
        <w:tc>
          <w:tcPr>
            <w:tcW w:w="353"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tcMar>
              <w:top w:w="0" w:type="dxa"/>
              <w:left w:w="15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Interest income and other, net</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1,908.8</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(4.5</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(0.5</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1,898.3</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5.4</w:t>
            </w:r>
          </w:p>
        </w:tc>
        <w:tc>
          <w:tcPr>
            <w:tcW w:w="353"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30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Interest and other income (loss), net</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1,857.6</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(56.4</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(47.7</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1,746.5</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(139.0</w:t>
            </w:r>
          </w:p>
        </w:tc>
        <w:tc>
          <w:tcPr>
            <w:tcW w:w="353"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Income (loss) before income taxes</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2,215.4</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233.7</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(750.5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2,665.0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(1,094.5</w:t>
            </w:r>
          </w:p>
        </w:tc>
        <w:tc>
          <w:tcPr>
            <w:tcW w:w="353"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shd w:val="clear" w:color="auto" w:fill="CCEEFF"/>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Provision (benefit) for income taxes</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314.1</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38.9</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(74.2</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391.0</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(9.3</w:t>
            </w:r>
          </w:p>
        </w:tc>
        <w:tc>
          <w:tcPr>
            <w:tcW w:w="353"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Net income (loss)</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1,901.3</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194.8</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(676.3</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2,274.0</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(1,085.2</w:t>
            </w:r>
          </w:p>
        </w:tc>
        <w:tc>
          <w:tcPr>
            <w:tcW w:w="353"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Net income (loss) per share — basic</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2.22</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0.23</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(0.78</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2.64</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(1.25</w:t>
            </w:r>
          </w:p>
        </w:tc>
        <w:tc>
          <w:tcPr>
            <w:tcW w:w="353"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Net income (loss) per share — diluted</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2.20</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0.22</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(0.78</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2.61</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(1.25</w:t>
            </w:r>
          </w:p>
        </w:tc>
        <w:tc>
          <w:tcPr>
            <w:tcW w:w="353"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Weighted-average shares:</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3"/>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3"/>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15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Basic</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855.8</w:t>
            </w:r>
          </w:p>
        </w:tc>
        <w:tc>
          <w:tcPr>
            <w:tcW w:w="351"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862.6</w:t>
            </w:r>
          </w:p>
        </w:tc>
        <w:tc>
          <w:tcPr>
            <w:tcW w:w="351"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865.7</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861.1</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865.5</w:t>
            </w:r>
          </w:p>
        </w:tc>
        <w:tc>
          <w:tcPr>
            <w:tcW w:w="353"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15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Diluted</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863.7</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870.4</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865.7</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869.9</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865.5</w:t>
            </w:r>
          </w:p>
        </w:tc>
        <w:tc>
          <w:tcPr>
            <w:tcW w:w="353"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0" w:type="auto"/>
            <w:gridSpan w:val="28"/>
            <w:tcMar>
              <w:top w:w="0" w:type="dxa"/>
              <w:left w:w="0" w:type="dxa"/>
              <w:bottom w:w="0" w:type="dxa"/>
              <w:right w:w="0" w:type="dxa"/>
            </w:tcMar>
            <w:vAlign w:val="center"/>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Marvell Technology, Inc.</w:t>
            </w:r>
            <w:r w:rsidRPr="00505BCC">
              <w:rPr>
                <w:rFonts w:ascii="宋体" w:eastAsia="宋体" w:hAnsi="宋体" w:cs="宋体"/>
                <w:b/>
                <w:bCs/>
                <w:kern w:val="0"/>
                <w:szCs w:val="21"/>
              </w:rPr>
              <w:br/>
              <w:t>Condensed Consolidated Balance Sheets (Unaudited)</w:t>
            </w:r>
            <w:r w:rsidRPr="00505BCC">
              <w:rPr>
                <w:rFonts w:ascii="宋体" w:eastAsia="宋体" w:hAnsi="宋体" w:cs="宋体"/>
                <w:b/>
                <w:bCs/>
                <w:kern w:val="0"/>
                <w:szCs w:val="21"/>
              </w:rPr>
              <w:br/>
              <w:t>(In millions)</w:t>
            </w:r>
          </w:p>
        </w:tc>
      </w:tr>
      <w:tr w:rsidR="00505BCC" w:rsidRPr="00505BCC" w:rsidTr="00505BCC">
        <w:tc>
          <w:tcPr>
            <w:tcW w:w="12285" w:type="dxa"/>
            <w:gridSpan w:val="13"/>
            <w:tcMar>
              <w:top w:w="0" w:type="dxa"/>
              <w:left w:w="0" w:type="dxa"/>
              <w:bottom w:w="0" w:type="dxa"/>
              <w:right w:w="0" w:type="dxa"/>
            </w:tcMar>
            <w:vAlign w:val="center"/>
            <w:hideMark/>
          </w:tcPr>
          <w:p w:rsidR="00505BCC" w:rsidRPr="00505BCC" w:rsidRDefault="00505BCC" w:rsidP="00505BCC">
            <w:pPr>
              <w:widowControl/>
              <w:jc w:val="left"/>
              <w:rPr>
                <w:rFonts w:ascii="宋体" w:eastAsia="宋体" w:hAnsi="宋体" w:cs="宋体"/>
                <w:kern w:val="0"/>
                <w:szCs w:val="21"/>
              </w:rPr>
            </w:pPr>
          </w:p>
        </w:tc>
        <w:tc>
          <w:tcPr>
            <w:tcW w:w="351" w:type="dxa"/>
            <w:gridSpan w:val="2"/>
            <w:tcMar>
              <w:top w:w="0" w:type="dxa"/>
              <w:left w:w="0" w:type="dxa"/>
              <w:bottom w:w="0" w:type="dxa"/>
              <w:right w:w="0" w:type="dxa"/>
            </w:tcMar>
            <w:vAlign w:val="center"/>
            <w:hideMark/>
          </w:tcPr>
          <w:p w:rsidR="00505BCC" w:rsidRPr="00505BCC" w:rsidRDefault="00505BCC" w:rsidP="00505BCC">
            <w:pPr>
              <w:widowControl/>
              <w:jc w:val="left"/>
              <w:rPr>
                <w:rFonts w:ascii="Times New Roman" w:eastAsia="Times New Roman" w:hAnsi="Times New Roman" w:cs="Times New Roman"/>
                <w:kern w:val="0"/>
                <w:sz w:val="20"/>
                <w:szCs w:val="20"/>
              </w:rPr>
            </w:pPr>
          </w:p>
        </w:tc>
        <w:tc>
          <w:tcPr>
            <w:tcW w:w="0" w:type="auto"/>
            <w:gridSpan w:val="5"/>
            <w:tcMar>
              <w:top w:w="0" w:type="dxa"/>
              <w:left w:w="0" w:type="dxa"/>
              <w:bottom w:w="0" w:type="dxa"/>
              <w:right w:w="0" w:type="dxa"/>
            </w:tcMar>
            <w:vAlign w:val="center"/>
            <w:hideMark/>
          </w:tcPr>
          <w:p w:rsidR="00505BCC" w:rsidRPr="00505BCC" w:rsidRDefault="00505BCC" w:rsidP="00505BCC">
            <w:pPr>
              <w:widowControl/>
              <w:jc w:val="left"/>
              <w:rPr>
                <w:rFonts w:ascii="Times New Roman" w:eastAsia="Times New Roman" w:hAnsi="Times New Roman" w:cs="Times New Roman"/>
                <w:kern w:val="0"/>
                <w:sz w:val="20"/>
                <w:szCs w:val="20"/>
              </w:rPr>
            </w:pPr>
          </w:p>
        </w:tc>
        <w:tc>
          <w:tcPr>
            <w:tcW w:w="351" w:type="dxa"/>
            <w:gridSpan w:val="2"/>
            <w:tcMar>
              <w:top w:w="0" w:type="dxa"/>
              <w:left w:w="0" w:type="dxa"/>
              <w:bottom w:w="0" w:type="dxa"/>
              <w:right w:w="0" w:type="dxa"/>
            </w:tcMar>
            <w:vAlign w:val="center"/>
            <w:hideMark/>
          </w:tcPr>
          <w:p w:rsidR="00505BCC" w:rsidRPr="00505BCC" w:rsidRDefault="00505BCC" w:rsidP="00505BCC">
            <w:pPr>
              <w:widowControl/>
              <w:jc w:val="left"/>
              <w:rPr>
                <w:rFonts w:ascii="Times New Roman" w:eastAsia="Times New Roman" w:hAnsi="Times New Roman" w:cs="Times New Roman"/>
                <w:kern w:val="0"/>
                <w:sz w:val="20"/>
                <w:szCs w:val="20"/>
              </w:rPr>
            </w:pPr>
          </w:p>
        </w:tc>
        <w:tc>
          <w:tcPr>
            <w:tcW w:w="0" w:type="auto"/>
            <w:gridSpan w:val="6"/>
            <w:tcMar>
              <w:top w:w="0" w:type="dxa"/>
              <w:left w:w="0" w:type="dxa"/>
              <w:bottom w:w="0" w:type="dxa"/>
              <w:right w:w="0" w:type="dxa"/>
            </w:tcMar>
            <w:vAlign w:val="center"/>
            <w:hideMark/>
          </w:tcPr>
          <w:p w:rsidR="00505BCC" w:rsidRPr="00505BCC" w:rsidRDefault="00505BCC" w:rsidP="00505BCC">
            <w:pPr>
              <w:widowControl/>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1,</w:t>
            </w:r>
            <w:r w:rsidRPr="00505BCC">
              <w:rPr>
                <w:rFonts w:ascii="宋体" w:eastAsia="宋体" w:hAnsi="宋体" w:cs="宋体"/>
                <w:kern w:val="0"/>
                <w:szCs w:val="21"/>
              </w:rPr>
              <w:br/>
            </w:r>
            <w:r w:rsidRPr="00505BCC">
              <w:rPr>
                <w:rFonts w:ascii="宋体" w:eastAsia="宋体" w:hAnsi="宋体" w:cs="宋体"/>
                <w:b/>
                <w:bCs/>
                <w:kern w:val="0"/>
                <w:szCs w:val="21"/>
              </w:rPr>
              <w:t>2025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February 1,</w:t>
            </w:r>
            <w:r w:rsidRPr="00505BCC">
              <w:rPr>
                <w:rFonts w:ascii="宋体" w:eastAsia="宋体" w:hAnsi="宋体" w:cs="宋体"/>
                <w:kern w:val="0"/>
                <w:szCs w:val="21"/>
              </w:rPr>
              <w:br/>
            </w:r>
            <w:r w:rsidRPr="00505BCC">
              <w:rPr>
                <w:rFonts w:ascii="宋体" w:eastAsia="宋体" w:hAnsi="宋体" w:cs="宋体"/>
                <w:b/>
                <w:bCs/>
                <w:kern w:val="0"/>
                <w:szCs w:val="21"/>
              </w:rPr>
              <w:t>2025</w:t>
            </w:r>
          </w:p>
        </w:tc>
      </w:tr>
      <w:tr w:rsidR="00505BCC" w:rsidRPr="00505BCC" w:rsidTr="00505BCC">
        <w:tc>
          <w:tcPr>
            <w:tcW w:w="12285" w:type="dxa"/>
            <w:gridSpan w:val="13"/>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Assets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Current assets:</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Cash and cash equivalents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2,714.5</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948.3</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Accounts receivable, net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1,546.3</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1,028.4</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Inventories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1,014.5</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1,029.7</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Prepaid expenses and other current assets</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237.2</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113.9</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shd w:val="clear" w:color="auto" w:fill="CCEEFF"/>
            <w:tcMar>
              <w:top w:w="0" w:type="dxa"/>
              <w:left w:w="30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Total current assets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5,512.5</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3,120.3</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Property and equipment, net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854.8</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790.5</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Goodwill</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11,062.2</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11,586.9</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Acquired intangible assets, net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1,978.3</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2,710.6</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Deferred tax assets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403.5</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401.2</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Other non-current assets</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1,767.7</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1,595.0</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shd w:val="clear" w:color="auto" w:fill="CCEEFF"/>
            <w:tcMar>
              <w:top w:w="0" w:type="dxa"/>
              <w:left w:w="30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Total assets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gridSpan w:val="3"/>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21,579.0</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gridSpan w:val="3"/>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20,204.5</w:t>
            </w:r>
          </w:p>
        </w:tc>
        <w:tc>
          <w:tcPr>
            <w:tcW w:w="351"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Liabilities and Stockholders’ Equity</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Current liabilities:</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Accounts payable</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633.7</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622.2</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Accrued liabilities</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1,351.1</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972.6</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Accrued employee compensation</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252.4</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302.5</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Short-term debt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499.5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129.5</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shd w:val="clear" w:color="auto" w:fill="CCEEFF"/>
            <w:tcMar>
              <w:top w:w="0" w:type="dxa"/>
              <w:left w:w="30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Total current liabilities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2,736.7</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2,026.8</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Long-term debt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3,969.4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3,934.3</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Other non-current liabilities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816.3</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816.4</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tcMar>
              <w:top w:w="0" w:type="dxa"/>
              <w:left w:w="30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Total liabilities</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7,522.4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6,777.5</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Stockholders’ equity:</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Common stock</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1.7</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1.7</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Additional paid-in capital</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13,044.0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14,534.1</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Accumulated other comprehensive income</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0.4</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0.4</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Retained earnings (Accumulated deficit)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1,010.5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(1,109.2</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12285" w:type="dxa"/>
            <w:gridSpan w:val="13"/>
            <w:shd w:val="clear" w:color="auto" w:fill="CCEEFF"/>
            <w:tcMar>
              <w:top w:w="0" w:type="dxa"/>
              <w:left w:w="30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Total stockholders’ equity</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14,056.6</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3"/>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13,427.0</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12285" w:type="dxa"/>
            <w:gridSpan w:val="13"/>
            <w:tcMar>
              <w:top w:w="0" w:type="dxa"/>
              <w:left w:w="30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Total liabilities and stockholders’ equity</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gridSpan w:val="3"/>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21,579.0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gridSpan w:val="3"/>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20,204.5</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bl>
    <w:p w:rsidR="00505BCC" w:rsidRPr="00505BCC" w:rsidRDefault="00505BCC" w:rsidP="00505BCC">
      <w:pPr>
        <w:widowControl/>
        <w:shd w:val="clear" w:color="auto" w:fill="FFFFFF"/>
        <w:jc w:val="left"/>
        <w:rPr>
          <w:rFonts w:ascii="Arial" w:eastAsia="宋体" w:hAnsi="Arial" w:cs="Arial"/>
          <w:vanish/>
          <w:color w:val="63666A"/>
          <w:kern w:val="0"/>
          <w:sz w:val="24"/>
          <w:szCs w:val="24"/>
        </w:rPr>
      </w:pPr>
    </w:p>
    <w:tbl>
      <w:tblPr>
        <w:tblW w:w="17550" w:type="dxa"/>
        <w:tblCellMar>
          <w:top w:w="15" w:type="dxa"/>
          <w:left w:w="15" w:type="dxa"/>
          <w:bottom w:w="15" w:type="dxa"/>
          <w:right w:w="15" w:type="dxa"/>
        </w:tblCellMar>
        <w:tblLook w:val="04A0" w:firstRow="1" w:lastRow="0" w:firstColumn="1" w:lastColumn="0" w:noHBand="0" w:noVBand="1"/>
      </w:tblPr>
      <w:tblGrid>
        <w:gridCol w:w="5264"/>
        <w:gridCol w:w="350"/>
        <w:gridCol w:w="351"/>
        <w:gridCol w:w="1404"/>
        <w:gridCol w:w="302"/>
        <w:gridCol w:w="49"/>
        <w:gridCol w:w="311"/>
        <w:gridCol w:w="40"/>
        <w:gridCol w:w="320"/>
        <w:gridCol w:w="31"/>
        <w:gridCol w:w="1369"/>
        <w:gridCol w:w="35"/>
        <w:gridCol w:w="315"/>
        <w:gridCol w:w="36"/>
        <w:gridCol w:w="324"/>
        <w:gridCol w:w="27"/>
        <w:gridCol w:w="333"/>
        <w:gridCol w:w="18"/>
        <w:gridCol w:w="1381"/>
        <w:gridCol w:w="23"/>
        <w:gridCol w:w="327"/>
        <w:gridCol w:w="24"/>
        <w:gridCol w:w="336"/>
        <w:gridCol w:w="15"/>
        <w:gridCol w:w="345"/>
        <w:gridCol w:w="6"/>
        <w:gridCol w:w="1394"/>
        <w:gridCol w:w="10"/>
        <w:gridCol w:w="340"/>
        <w:gridCol w:w="11"/>
        <w:gridCol w:w="349"/>
        <w:gridCol w:w="2"/>
        <w:gridCol w:w="351"/>
        <w:gridCol w:w="7"/>
        <w:gridCol w:w="1397"/>
        <w:gridCol w:w="2"/>
        <w:gridCol w:w="351"/>
      </w:tblGrid>
      <w:tr w:rsidR="00505BCC" w:rsidRPr="00505BCC" w:rsidTr="00505BCC">
        <w:tc>
          <w:tcPr>
            <w:tcW w:w="0" w:type="auto"/>
            <w:gridSpan w:val="37"/>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Marvell Technology, Inc.</w:t>
            </w:r>
            <w:r w:rsidRPr="00505BCC">
              <w:rPr>
                <w:rFonts w:ascii="宋体" w:eastAsia="宋体" w:hAnsi="宋体" w:cs="宋体"/>
                <w:kern w:val="0"/>
                <w:szCs w:val="21"/>
              </w:rPr>
              <w:br/>
            </w:r>
            <w:r w:rsidRPr="00505BCC">
              <w:rPr>
                <w:rFonts w:ascii="宋体" w:eastAsia="宋体" w:hAnsi="宋体" w:cs="宋体"/>
                <w:b/>
                <w:bCs/>
                <w:kern w:val="0"/>
                <w:szCs w:val="21"/>
              </w:rPr>
              <w:t>Condensed Consolidated Statements of Cash Flows (Unaudited)</w:t>
            </w:r>
            <w:r w:rsidRPr="00505BCC">
              <w:rPr>
                <w:rFonts w:ascii="宋体" w:eastAsia="宋体" w:hAnsi="宋体" w:cs="宋体"/>
                <w:kern w:val="0"/>
                <w:szCs w:val="21"/>
              </w:rPr>
              <w:br/>
            </w:r>
            <w:r w:rsidRPr="00505BCC">
              <w:rPr>
                <w:rFonts w:ascii="宋体" w:eastAsia="宋体" w:hAnsi="宋体" w:cs="宋体"/>
                <w:b/>
                <w:bCs/>
                <w:kern w:val="0"/>
                <w:szCs w:val="21"/>
              </w:rPr>
              <w:t>(In millions)</w:t>
            </w:r>
          </w:p>
        </w:tc>
      </w:tr>
      <w:tr w:rsidR="00505BCC" w:rsidRPr="00505BCC" w:rsidTr="00505BCC">
        <w:tc>
          <w:tcPr>
            <w:tcW w:w="7723" w:type="dxa"/>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14"/>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Three Months Ended</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14"/>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Nine Months Ended</w:t>
            </w:r>
          </w:p>
        </w:tc>
      </w:tr>
      <w:tr w:rsidR="00505BCC" w:rsidRPr="00505BCC" w:rsidTr="00505BCC">
        <w:tc>
          <w:tcPr>
            <w:tcW w:w="7723" w:type="dxa"/>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1,</w:t>
            </w:r>
            <w:r w:rsidRPr="00505BCC">
              <w:rPr>
                <w:rFonts w:ascii="宋体" w:eastAsia="宋体" w:hAnsi="宋体" w:cs="宋体"/>
                <w:kern w:val="0"/>
                <w:szCs w:val="21"/>
              </w:rPr>
              <w:br/>
            </w:r>
            <w:r w:rsidRPr="00505BCC">
              <w:rPr>
                <w:rFonts w:ascii="宋体" w:eastAsia="宋体" w:hAnsi="宋体" w:cs="宋体"/>
                <w:b/>
                <w:bCs/>
                <w:kern w:val="0"/>
                <w:szCs w:val="21"/>
              </w:rPr>
              <w:t>2025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2,</w:t>
            </w:r>
            <w:r w:rsidRPr="00505BCC">
              <w:rPr>
                <w:rFonts w:ascii="宋体" w:eastAsia="宋体" w:hAnsi="宋体" w:cs="宋体"/>
                <w:kern w:val="0"/>
                <w:szCs w:val="21"/>
              </w:rPr>
              <w:br/>
            </w:r>
            <w:r w:rsidRPr="00505BCC">
              <w:rPr>
                <w:rFonts w:ascii="宋体" w:eastAsia="宋体" w:hAnsi="宋体" w:cs="宋体"/>
                <w:b/>
                <w:bCs/>
                <w:kern w:val="0"/>
                <w:szCs w:val="21"/>
              </w:rPr>
              <w:t>2024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1,</w:t>
            </w:r>
            <w:r w:rsidRPr="00505BCC">
              <w:rPr>
                <w:rFonts w:ascii="宋体" w:eastAsia="宋体" w:hAnsi="宋体" w:cs="宋体"/>
                <w:kern w:val="0"/>
                <w:szCs w:val="21"/>
              </w:rPr>
              <w:br/>
            </w:r>
            <w:r w:rsidRPr="00505BCC">
              <w:rPr>
                <w:rFonts w:ascii="宋体" w:eastAsia="宋体" w:hAnsi="宋体" w:cs="宋体"/>
                <w:b/>
                <w:bCs/>
                <w:kern w:val="0"/>
                <w:szCs w:val="21"/>
              </w:rPr>
              <w:t>2025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2,</w:t>
            </w:r>
            <w:r w:rsidRPr="00505BCC">
              <w:rPr>
                <w:rFonts w:ascii="宋体" w:eastAsia="宋体" w:hAnsi="宋体" w:cs="宋体"/>
                <w:kern w:val="0"/>
                <w:szCs w:val="21"/>
              </w:rPr>
              <w:br/>
            </w:r>
            <w:r w:rsidRPr="00505BCC">
              <w:rPr>
                <w:rFonts w:ascii="宋体" w:eastAsia="宋体" w:hAnsi="宋体" w:cs="宋体"/>
                <w:b/>
                <w:bCs/>
                <w:kern w:val="0"/>
                <w:szCs w:val="21"/>
              </w:rPr>
              <w:t>2024</w:t>
            </w:r>
          </w:p>
        </w:tc>
      </w:tr>
      <w:tr w:rsidR="00505BCC" w:rsidRPr="00505BCC" w:rsidTr="00505BCC">
        <w:tc>
          <w:tcPr>
            <w:tcW w:w="7723" w:type="dxa"/>
            <w:gridSpan w:val="5"/>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Cash flows from operating activities: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Net income (loss)</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1,901.3</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(676.3</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2,274.0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(1,085.2</w:t>
            </w:r>
          </w:p>
        </w:tc>
        <w:tc>
          <w:tcPr>
            <w:tcW w:w="352"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7723" w:type="dxa"/>
            <w:gridSpan w:val="5"/>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Adjustments to reconcile net income (loss) to net cash provided by operating activities: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Depreciation and amortization</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86.9</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76.6</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255.2</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225.5</w:t>
            </w:r>
          </w:p>
        </w:tc>
        <w:tc>
          <w:tcPr>
            <w:tcW w:w="352"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Stock-based compensation</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152.1</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158.4</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447.8</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449.8</w:t>
            </w:r>
          </w:p>
        </w:tc>
        <w:tc>
          <w:tcPr>
            <w:tcW w:w="352"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Amortization of acquired intangible assets</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229.0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264.9</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718.4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805.5</w:t>
            </w:r>
          </w:p>
        </w:tc>
        <w:tc>
          <w:tcPr>
            <w:tcW w:w="352"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Restructuring related charges (gains), net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521.8</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(14.0</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524.1</w:t>
            </w:r>
          </w:p>
        </w:tc>
        <w:tc>
          <w:tcPr>
            <w:tcW w:w="352"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Deferred income taxes</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(47.9</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(2.2</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(106.2</w:t>
            </w:r>
          </w:p>
        </w:tc>
        <w:tc>
          <w:tcPr>
            <w:tcW w:w="352"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7723" w:type="dxa"/>
            <w:gridSpan w:val="5"/>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Gain on sale of business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(1,830.4</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(1,830.4</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2"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Other expense, net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4.3</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9.0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85.1</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42.1</w:t>
            </w:r>
          </w:p>
        </w:tc>
        <w:tc>
          <w:tcPr>
            <w:tcW w:w="352"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Changes in assets and liabilities, net of acquisitions: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tcMar>
              <w:top w:w="0" w:type="dxa"/>
              <w:left w:w="30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Accounts receivable</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(94.7</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62.2</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(518.0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123.7</w:t>
            </w:r>
          </w:p>
        </w:tc>
        <w:tc>
          <w:tcPr>
            <w:tcW w:w="352"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shd w:val="clear" w:color="auto" w:fill="CCEEFF"/>
            <w:tcMar>
              <w:top w:w="0" w:type="dxa"/>
              <w:left w:w="30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Prepaid expenses and other assets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(190.1</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(45.5</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(283.5</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176.2</w:t>
            </w:r>
          </w:p>
        </w:tc>
        <w:tc>
          <w:tcPr>
            <w:tcW w:w="352"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tcMar>
              <w:top w:w="0" w:type="dxa"/>
              <w:left w:w="30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Inventories</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35.2</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(108.2</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(19.3</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(60.2</w:t>
            </w:r>
          </w:p>
        </w:tc>
        <w:tc>
          <w:tcPr>
            <w:tcW w:w="352"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7723" w:type="dxa"/>
            <w:gridSpan w:val="5"/>
            <w:shd w:val="clear" w:color="auto" w:fill="CCEEFF"/>
            <w:tcMar>
              <w:top w:w="0" w:type="dxa"/>
              <w:left w:w="30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Accounts payable</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(11.0</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75.0</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(79.1</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109.8</w:t>
            </w:r>
          </w:p>
        </w:tc>
        <w:tc>
          <w:tcPr>
            <w:tcW w:w="352"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tcMar>
              <w:top w:w="0" w:type="dxa"/>
              <w:left w:w="30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Accrued employee compensation</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22.8</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71.1</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(68.0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11.9</w:t>
            </w:r>
          </w:p>
        </w:tc>
        <w:tc>
          <w:tcPr>
            <w:tcW w:w="352"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shd w:val="clear" w:color="auto" w:fill="CCEEFF"/>
            <w:tcMar>
              <w:top w:w="0" w:type="dxa"/>
              <w:left w:w="30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Accrued liabilities and other non-current liabilities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269.9</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175.2</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410.8</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(49.8</w:t>
            </w:r>
          </w:p>
        </w:tc>
        <w:tc>
          <w:tcPr>
            <w:tcW w:w="352"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7723" w:type="dxa"/>
            <w:gridSpan w:val="5"/>
            <w:tcMar>
              <w:top w:w="0" w:type="dxa"/>
              <w:left w:w="4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Net cash provided by operating activities</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582.3</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536.3</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1,376.8</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1,167.2</w:t>
            </w:r>
          </w:p>
        </w:tc>
        <w:tc>
          <w:tcPr>
            <w:tcW w:w="352"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Cash flows from investing activities: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Purchases of technology licenses</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(1.2</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(6.2</w:t>
            </w:r>
          </w:p>
        </w:tc>
        <w:tc>
          <w:tcPr>
            <w:tcW w:w="352"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7723" w:type="dxa"/>
            <w:gridSpan w:val="5"/>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Purchases of property and equipment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(73.5</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(75.0</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(239.8</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(214.7</w:t>
            </w:r>
          </w:p>
        </w:tc>
        <w:tc>
          <w:tcPr>
            <w:tcW w:w="352"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7723" w:type="dxa"/>
            <w:gridSpan w:val="5"/>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Proceeds from sales of property and equipment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0.1</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0.1</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27.4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0.5</w:t>
            </w:r>
          </w:p>
        </w:tc>
        <w:tc>
          <w:tcPr>
            <w:tcW w:w="352"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Acquisitions, net of cash acquired</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(10.4</w:t>
            </w:r>
          </w:p>
        </w:tc>
        <w:tc>
          <w:tcPr>
            <w:tcW w:w="352"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7723" w:type="dxa"/>
            <w:gridSpan w:val="5"/>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Net proceeds from sale of business</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2,478.6</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2,478.6</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2"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Other, net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(12.8</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(0.1</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(42.9</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0.4</w:t>
            </w:r>
          </w:p>
        </w:tc>
        <w:tc>
          <w:tcPr>
            <w:tcW w:w="352"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tcMar>
              <w:top w:w="0" w:type="dxa"/>
              <w:left w:w="4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Net cash provided by (used in) investing activities</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2,391.2</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(75.5</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2,219.9</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(230.4</w:t>
            </w:r>
          </w:p>
        </w:tc>
        <w:tc>
          <w:tcPr>
            <w:tcW w:w="352"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7723" w:type="dxa"/>
            <w:gridSpan w:val="5"/>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Cash flows from financing activities: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Repurchases of common stock</w:t>
            </w:r>
          </w:p>
        </w:tc>
        <w:tc>
          <w:tcPr>
            <w:tcW w:w="351" w:type="dxa"/>
            <w:gridSpan w:val="2"/>
            <w:tcMar>
              <w:top w:w="0" w:type="dxa"/>
              <w:left w:w="15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15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15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(1,300.0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15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15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15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(200.0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15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15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15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(1,840.0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15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Mar>
              <w:top w:w="0" w:type="dxa"/>
              <w:left w:w="15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15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(525.0</w:t>
            </w:r>
          </w:p>
        </w:tc>
        <w:tc>
          <w:tcPr>
            <w:tcW w:w="352"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7723" w:type="dxa"/>
            <w:gridSpan w:val="5"/>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Proceeds from employee stock plans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0.4</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0.8</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51.5</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52.4</w:t>
            </w:r>
          </w:p>
        </w:tc>
        <w:tc>
          <w:tcPr>
            <w:tcW w:w="352"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Tax withholding paid on behalf of employees for net share settlement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(62.5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(58.6</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(163.4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(190.3</w:t>
            </w:r>
          </w:p>
        </w:tc>
        <w:tc>
          <w:tcPr>
            <w:tcW w:w="352"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7723" w:type="dxa"/>
            <w:gridSpan w:val="5"/>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Dividend payments to stockholders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(50.8</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(51.9</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(154.3</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(155.6</w:t>
            </w:r>
          </w:p>
        </w:tc>
        <w:tc>
          <w:tcPr>
            <w:tcW w:w="352"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7723" w:type="dxa"/>
            <w:gridSpan w:val="5"/>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Payments on technology license obligations</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(47.7</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(58.9</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(102.0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(124.4</w:t>
            </w:r>
          </w:p>
        </w:tc>
        <w:tc>
          <w:tcPr>
            <w:tcW w:w="352"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7723" w:type="dxa"/>
            <w:gridSpan w:val="5"/>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Proceeds from borrowings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1,198.6</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2"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Principal payments of debt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(32.8</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(790.6</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(76.6</w:t>
            </w:r>
          </w:p>
        </w:tc>
        <w:tc>
          <w:tcPr>
            <w:tcW w:w="352"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7723" w:type="dxa"/>
            <w:gridSpan w:val="5"/>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Other, net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(22.8</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(30.3</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2"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tcMar>
              <w:top w:w="0" w:type="dxa"/>
              <w:left w:w="4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Net cash used in financing activities</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(1,483.4</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(401.4</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(1,830.5</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(1,019.5</w:t>
            </w:r>
          </w:p>
        </w:tc>
        <w:tc>
          <w:tcPr>
            <w:tcW w:w="352"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7723" w:type="dxa"/>
            <w:gridSpan w:val="5"/>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Net increase (decrease) in cash and cash equivalents</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1,490.1</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59.4</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1,766.2</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(82.7</w:t>
            </w:r>
          </w:p>
        </w:tc>
        <w:tc>
          <w:tcPr>
            <w:tcW w:w="352"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7723" w:type="dxa"/>
            <w:gridSpan w:val="5"/>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Cash and cash equivalents at beginning of period</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1,224.4</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808.7</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948.3</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950.8</w:t>
            </w:r>
          </w:p>
        </w:tc>
        <w:tc>
          <w:tcPr>
            <w:tcW w:w="352"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7723" w:type="dxa"/>
            <w:gridSpan w:val="5"/>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Cash and cash equivalents at end of period</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2,714.5</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868.1</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2,714.5</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3"/>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868.1</w:t>
            </w:r>
          </w:p>
        </w:tc>
        <w:tc>
          <w:tcPr>
            <w:tcW w:w="352"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0" w:type="auto"/>
            <w:gridSpan w:val="37"/>
            <w:tcMar>
              <w:top w:w="0" w:type="dxa"/>
              <w:left w:w="0" w:type="dxa"/>
              <w:bottom w:w="0" w:type="dxa"/>
              <w:right w:w="0" w:type="dxa"/>
            </w:tcMar>
            <w:vAlign w:val="center"/>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Marvell Technology, Inc.</w:t>
            </w:r>
            <w:r w:rsidRPr="00505BCC">
              <w:rPr>
                <w:rFonts w:ascii="宋体" w:eastAsia="宋体" w:hAnsi="宋体" w:cs="宋体"/>
                <w:kern w:val="0"/>
                <w:szCs w:val="21"/>
              </w:rPr>
              <w:br/>
            </w:r>
            <w:r w:rsidRPr="00505BCC">
              <w:rPr>
                <w:rFonts w:ascii="宋体" w:eastAsia="宋体" w:hAnsi="宋体" w:cs="宋体"/>
                <w:b/>
                <w:bCs/>
                <w:kern w:val="0"/>
                <w:szCs w:val="21"/>
              </w:rPr>
              <w:t>Reconciliations from GAAP to Non-GAAP (Unaudited)</w:t>
            </w:r>
            <w:r w:rsidRPr="00505BCC">
              <w:rPr>
                <w:rFonts w:ascii="宋体" w:eastAsia="宋体" w:hAnsi="宋体" w:cs="宋体"/>
                <w:kern w:val="0"/>
                <w:szCs w:val="21"/>
              </w:rPr>
              <w:br/>
            </w:r>
            <w:r w:rsidRPr="00505BCC">
              <w:rPr>
                <w:rFonts w:ascii="宋体" w:eastAsia="宋体" w:hAnsi="宋体" w:cs="宋体"/>
                <w:b/>
                <w:bCs/>
                <w:kern w:val="0"/>
                <w:szCs w:val="21"/>
              </w:rPr>
              <w:t>(In millions, except per share amounts)</w:t>
            </w:r>
          </w:p>
        </w:tc>
      </w:tr>
      <w:tr w:rsidR="00505BCC" w:rsidRPr="00505BCC" w:rsidTr="00505BCC">
        <w:tc>
          <w:tcPr>
            <w:tcW w:w="5266"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20"/>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Three Months Ended</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13"/>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Nine Months Ended</w:t>
            </w:r>
          </w:p>
        </w:tc>
      </w:tr>
      <w:tr w:rsidR="00505BCC" w:rsidRPr="00505BCC" w:rsidTr="00505BCC">
        <w:tc>
          <w:tcPr>
            <w:tcW w:w="5266"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1,</w:t>
            </w:r>
            <w:r w:rsidRPr="00505BCC">
              <w:rPr>
                <w:rFonts w:ascii="宋体" w:eastAsia="宋体" w:hAnsi="宋体" w:cs="宋体"/>
                <w:kern w:val="0"/>
                <w:szCs w:val="21"/>
              </w:rPr>
              <w:br/>
            </w:r>
            <w:r w:rsidRPr="00505BCC">
              <w:rPr>
                <w:rFonts w:ascii="宋体" w:eastAsia="宋体" w:hAnsi="宋体" w:cs="宋体"/>
                <w:b/>
                <w:bCs/>
                <w:kern w:val="0"/>
                <w:szCs w:val="21"/>
              </w:rPr>
              <w:t>2025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August 2,</w:t>
            </w:r>
            <w:r w:rsidRPr="00505BCC">
              <w:rPr>
                <w:rFonts w:ascii="宋体" w:eastAsia="宋体" w:hAnsi="宋体" w:cs="宋体"/>
                <w:kern w:val="0"/>
                <w:szCs w:val="21"/>
              </w:rPr>
              <w:br/>
            </w:r>
            <w:r w:rsidRPr="00505BCC">
              <w:rPr>
                <w:rFonts w:ascii="宋体" w:eastAsia="宋体" w:hAnsi="宋体" w:cs="宋体"/>
                <w:b/>
                <w:bCs/>
                <w:kern w:val="0"/>
                <w:szCs w:val="21"/>
              </w:rPr>
              <w:t>2025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2,</w:t>
            </w:r>
            <w:r w:rsidRPr="00505BCC">
              <w:rPr>
                <w:rFonts w:ascii="宋体" w:eastAsia="宋体" w:hAnsi="宋体" w:cs="宋体"/>
                <w:kern w:val="0"/>
                <w:szCs w:val="21"/>
              </w:rPr>
              <w:br/>
            </w:r>
            <w:r w:rsidRPr="00505BCC">
              <w:rPr>
                <w:rFonts w:ascii="宋体" w:eastAsia="宋体" w:hAnsi="宋体" w:cs="宋体"/>
                <w:b/>
                <w:bCs/>
                <w:kern w:val="0"/>
                <w:szCs w:val="21"/>
              </w:rPr>
              <w:t>2024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1,</w:t>
            </w:r>
            <w:r w:rsidRPr="00505BCC">
              <w:rPr>
                <w:rFonts w:ascii="宋体" w:eastAsia="宋体" w:hAnsi="宋体" w:cs="宋体"/>
                <w:kern w:val="0"/>
                <w:szCs w:val="21"/>
              </w:rPr>
              <w:br/>
            </w:r>
            <w:r w:rsidRPr="00505BCC">
              <w:rPr>
                <w:rFonts w:ascii="宋体" w:eastAsia="宋体" w:hAnsi="宋体" w:cs="宋体"/>
                <w:b/>
                <w:bCs/>
                <w:kern w:val="0"/>
                <w:szCs w:val="21"/>
              </w:rPr>
              <w:t>2025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2,</w:t>
            </w:r>
            <w:r w:rsidRPr="00505BCC">
              <w:rPr>
                <w:rFonts w:ascii="宋体" w:eastAsia="宋体" w:hAnsi="宋体" w:cs="宋体"/>
                <w:kern w:val="0"/>
                <w:szCs w:val="21"/>
              </w:rPr>
              <w:br/>
            </w:r>
            <w:r w:rsidRPr="00505BCC">
              <w:rPr>
                <w:rFonts w:ascii="宋体" w:eastAsia="宋体" w:hAnsi="宋体" w:cs="宋体"/>
                <w:b/>
                <w:bCs/>
                <w:kern w:val="0"/>
                <w:szCs w:val="21"/>
              </w:rPr>
              <w:t>2024</w:t>
            </w:r>
          </w:p>
        </w:tc>
      </w:tr>
      <w:tr w:rsidR="00505BCC" w:rsidRPr="00505BCC" w:rsidTr="00505BCC">
        <w:tc>
          <w:tcPr>
            <w:tcW w:w="5266" w:type="dxa"/>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GAAP gross profit</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1,069.8</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1,010.6</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349.4</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3,032.8</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1,464.8</w:t>
            </w:r>
          </w:p>
        </w:tc>
        <w:tc>
          <w:tcPr>
            <w:tcW w:w="353"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Special items - expenses (income):</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Stock-based compensation</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14.1</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13.4</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16.3</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38.7</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37.2</w:t>
            </w:r>
          </w:p>
        </w:tc>
        <w:tc>
          <w:tcPr>
            <w:tcW w:w="353"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Amortization of acquired intangible assets</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153.4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167.4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180.4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490.2</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552.2</w:t>
            </w:r>
          </w:p>
        </w:tc>
        <w:tc>
          <w:tcPr>
            <w:tcW w:w="353"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Restructuring related charges (a)</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0.5</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356.8</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0.5</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356.8</w:t>
            </w:r>
          </w:p>
        </w:tc>
        <w:tc>
          <w:tcPr>
            <w:tcW w:w="353"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Other cost of goods sold (b)</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0.3</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14.2</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0.8</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17.6</w:t>
            </w:r>
          </w:p>
        </w:tc>
        <w:tc>
          <w:tcPr>
            <w:tcW w:w="353"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Total special items</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168.3</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180.8</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567.7</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530.2</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963.8</w:t>
            </w:r>
          </w:p>
        </w:tc>
        <w:tc>
          <w:tcPr>
            <w:tcW w:w="353"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Non-GAAP gross profit</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1,238.1</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1,191.4</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917.1</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3,563.0</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2,428.6</w:t>
            </w:r>
          </w:p>
        </w:tc>
        <w:tc>
          <w:tcPr>
            <w:tcW w:w="353"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GAAP gross margin</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51.6</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50.4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23.0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50.8</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37.1</w:t>
            </w:r>
          </w:p>
        </w:tc>
        <w:tc>
          <w:tcPr>
            <w:tcW w:w="353"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Stock-based compensation</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0.7</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0.7</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0.6</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0.9</w:t>
            </w:r>
          </w:p>
        </w:tc>
        <w:tc>
          <w:tcPr>
            <w:tcW w:w="353"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Amortization of acquired intangible assets</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8.3</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11.9</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8.2</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14.0</w:t>
            </w:r>
          </w:p>
        </w:tc>
        <w:tc>
          <w:tcPr>
            <w:tcW w:w="353"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Restructuring related charges (a)</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23.5</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9.0</w:t>
            </w:r>
          </w:p>
        </w:tc>
        <w:tc>
          <w:tcPr>
            <w:tcW w:w="353"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Other cost of goods sold (b)</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0.5</w:t>
            </w:r>
          </w:p>
        </w:tc>
        <w:tc>
          <w:tcPr>
            <w:tcW w:w="353"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Non-GAAP gross margin</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59.7</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59.4</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60.5</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59.6</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61.5</w:t>
            </w:r>
          </w:p>
        </w:tc>
        <w:tc>
          <w:tcPr>
            <w:tcW w:w="353"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Total GAAP operating expenses</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712.0</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720.5</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1,052.2</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2,114.3</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2,420.3</w:t>
            </w:r>
          </w:p>
        </w:tc>
        <w:tc>
          <w:tcPr>
            <w:tcW w:w="353"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Special items - (expenses) income:</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Stock-based compensation</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(138.0</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(140.2</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(142.1</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(409.1</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(412.6</w:t>
            </w:r>
          </w:p>
        </w:tc>
        <w:tc>
          <w:tcPr>
            <w:tcW w:w="353"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Amortization of acquired intangible assets</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(75.6</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(76.3</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(84.5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(228.2</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(253.3</w:t>
            </w:r>
          </w:p>
        </w:tc>
        <w:tc>
          <w:tcPr>
            <w:tcW w:w="353"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Restructuring related charges (a)</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(9.6</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(8.7</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(358.3</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(6.0</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(366.4</w:t>
            </w:r>
          </w:p>
        </w:tc>
        <w:tc>
          <w:tcPr>
            <w:tcW w:w="353"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Other (c)</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(3.8</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(2.7</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(0.4</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(7.2</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(11.5</w:t>
            </w:r>
          </w:p>
        </w:tc>
        <w:tc>
          <w:tcPr>
            <w:tcW w:w="353"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Total special items</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(227.0</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(227.9</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(585.3</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(650.5</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(1,043.8</w:t>
            </w:r>
          </w:p>
        </w:tc>
        <w:tc>
          <w:tcPr>
            <w:tcW w:w="353"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Total non-GAAP operating expenses</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485.0</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492.6</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466.9</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1,463.8</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1,376.5</w:t>
            </w:r>
          </w:p>
        </w:tc>
        <w:tc>
          <w:tcPr>
            <w:tcW w:w="353"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GAAP operating margin</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17.2</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(46.4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(24.2</w:t>
            </w:r>
          </w:p>
        </w:tc>
        <w:tc>
          <w:tcPr>
            <w:tcW w:w="353"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Stock-based compensation</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7.3</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7.7</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10.5</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7.5</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11.4</w:t>
            </w:r>
          </w:p>
        </w:tc>
        <w:tc>
          <w:tcPr>
            <w:tcW w:w="353"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Amortization of acquired intangible assets</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12.1</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17.5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12.0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20.4</w:t>
            </w:r>
          </w:p>
        </w:tc>
        <w:tc>
          <w:tcPr>
            <w:tcW w:w="353"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Restructuring related charges (a)</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0.5</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0.4</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47.2</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0.1</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18.3</w:t>
            </w:r>
          </w:p>
        </w:tc>
        <w:tc>
          <w:tcPr>
            <w:tcW w:w="353"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Other cost of goods sold (b)</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0.9</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0.4</w:t>
            </w:r>
          </w:p>
        </w:tc>
        <w:tc>
          <w:tcPr>
            <w:tcW w:w="353"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Other (c)</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0.3</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0.1</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0.1</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0.3</w:t>
            </w:r>
          </w:p>
        </w:tc>
        <w:tc>
          <w:tcPr>
            <w:tcW w:w="353"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Non-GAAP operating margin</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36.3</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34.8</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29.7</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35.1</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26.6</w:t>
            </w:r>
          </w:p>
        </w:tc>
        <w:tc>
          <w:tcPr>
            <w:tcW w:w="353"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jc w:val="left"/>
              <w:rPr>
                <w:rFonts w:ascii="宋体" w:eastAsia="宋体" w:hAnsi="宋体" w:cs="宋体"/>
                <w:kern w:val="0"/>
                <w:szCs w:val="21"/>
              </w:rPr>
            </w:pPr>
          </w:p>
        </w:tc>
        <w:tc>
          <w:tcPr>
            <w:tcW w:w="351" w:type="dxa"/>
            <w:tcMar>
              <w:top w:w="0" w:type="dxa"/>
              <w:left w:w="0" w:type="dxa"/>
              <w:bottom w:w="0" w:type="dxa"/>
              <w:right w:w="0" w:type="dxa"/>
            </w:tcMar>
            <w:vAlign w:val="center"/>
            <w:hideMark/>
          </w:tcPr>
          <w:p w:rsidR="00505BCC" w:rsidRPr="00505BCC" w:rsidRDefault="00505BCC" w:rsidP="00505BCC">
            <w:pPr>
              <w:widowControl/>
              <w:jc w:val="left"/>
              <w:rPr>
                <w:rFonts w:ascii="Times New Roman" w:eastAsia="Times New Roman" w:hAnsi="Times New Roman" w:cs="Times New Roman"/>
                <w:kern w:val="0"/>
                <w:sz w:val="20"/>
                <w:szCs w:val="20"/>
              </w:rPr>
            </w:pPr>
          </w:p>
        </w:tc>
        <w:tc>
          <w:tcPr>
            <w:tcW w:w="0" w:type="auto"/>
            <w:gridSpan w:val="4"/>
            <w:tcMar>
              <w:top w:w="0" w:type="dxa"/>
              <w:left w:w="0" w:type="dxa"/>
              <w:bottom w:w="0" w:type="dxa"/>
              <w:right w:w="0" w:type="dxa"/>
            </w:tcMar>
            <w:vAlign w:val="center"/>
            <w:hideMark/>
          </w:tcPr>
          <w:p w:rsidR="00505BCC" w:rsidRPr="00505BCC" w:rsidRDefault="00505BCC" w:rsidP="00505BCC">
            <w:pPr>
              <w:widowControl/>
              <w:jc w:val="left"/>
              <w:rPr>
                <w:rFonts w:ascii="Times New Roman" w:eastAsia="Times New Roman" w:hAnsi="Times New Roman" w:cs="Times New Roman"/>
                <w:kern w:val="0"/>
                <w:sz w:val="20"/>
                <w:szCs w:val="20"/>
              </w:rPr>
            </w:pPr>
          </w:p>
        </w:tc>
        <w:tc>
          <w:tcPr>
            <w:tcW w:w="351" w:type="dxa"/>
            <w:gridSpan w:val="2"/>
            <w:tcMar>
              <w:top w:w="0" w:type="dxa"/>
              <w:left w:w="0" w:type="dxa"/>
              <w:bottom w:w="0" w:type="dxa"/>
              <w:right w:w="0" w:type="dxa"/>
            </w:tcMar>
            <w:vAlign w:val="center"/>
            <w:hideMark/>
          </w:tcPr>
          <w:p w:rsidR="00505BCC" w:rsidRPr="00505BCC" w:rsidRDefault="00505BCC" w:rsidP="00505BCC">
            <w:pPr>
              <w:widowControl/>
              <w:jc w:val="left"/>
              <w:rPr>
                <w:rFonts w:ascii="Times New Roman" w:eastAsia="Times New Roman" w:hAnsi="Times New Roman" w:cs="Times New Roman"/>
                <w:kern w:val="0"/>
                <w:sz w:val="20"/>
                <w:szCs w:val="20"/>
              </w:rPr>
            </w:pPr>
          </w:p>
        </w:tc>
        <w:tc>
          <w:tcPr>
            <w:tcW w:w="0" w:type="auto"/>
            <w:gridSpan w:val="6"/>
            <w:tcMar>
              <w:top w:w="0" w:type="dxa"/>
              <w:left w:w="0" w:type="dxa"/>
              <w:bottom w:w="0" w:type="dxa"/>
              <w:right w:w="0" w:type="dxa"/>
            </w:tcMar>
            <w:vAlign w:val="center"/>
            <w:hideMark/>
          </w:tcPr>
          <w:p w:rsidR="00505BCC" w:rsidRPr="00505BCC" w:rsidRDefault="00505BCC" w:rsidP="00505BCC">
            <w:pPr>
              <w:widowControl/>
              <w:jc w:val="left"/>
              <w:rPr>
                <w:rFonts w:ascii="Times New Roman" w:eastAsia="Times New Roman" w:hAnsi="Times New Roman" w:cs="Times New Roman"/>
                <w:kern w:val="0"/>
                <w:sz w:val="20"/>
                <w:szCs w:val="20"/>
              </w:rPr>
            </w:pPr>
          </w:p>
        </w:tc>
        <w:tc>
          <w:tcPr>
            <w:tcW w:w="351" w:type="dxa"/>
            <w:gridSpan w:val="2"/>
            <w:tcMar>
              <w:top w:w="0" w:type="dxa"/>
              <w:left w:w="0" w:type="dxa"/>
              <w:bottom w:w="0" w:type="dxa"/>
              <w:right w:w="0" w:type="dxa"/>
            </w:tcMar>
            <w:vAlign w:val="center"/>
            <w:hideMark/>
          </w:tcPr>
          <w:p w:rsidR="00505BCC" w:rsidRPr="00505BCC" w:rsidRDefault="00505BCC" w:rsidP="00505BCC">
            <w:pPr>
              <w:widowControl/>
              <w:jc w:val="left"/>
              <w:rPr>
                <w:rFonts w:ascii="Times New Roman" w:eastAsia="Times New Roman" w:hAnsi="Times New Roman" w:cs="Times New Roman"/>
                <w:kern w:val="0"/>
                <w:sz w:val="20"/>
                <w:szCs w:val="20"/>
              </w:rPr>
            </w:pPr>
          </w:p>
        </w:tc>
        <w:tc>
          <w:tcPr>
            <w:tcW w:w="0" w:type="auto"/>
            <w:gridSpan w:val="6"/>
            <w:tcMar>
              <w:top w:w="0" w:type="dxa"/>
              <w:left w:w="0" w:type="dxa"/>
              <w:bottom w:w="0" w:type="dxa"/>
              <w:right w:w="0" w:type="dxa"/>
            </w:tcMar>
            <w:vAlign w:val="center"/>
            <w:hideMark/>
          </w:tcPr>
          <w:p w:rsidR="00505BCC" w:rsidRPr="00505BCC" w:rsidRDefault="00505BCC" w:rsidP="00505BCC">
            <w:pPr>
              <w:widowControl/>
              <w:jc w:val="left"/>
              <w:rPr>
                <w:rFonts w:ascii="Times New Roman" w:eastAsia="Times New Roman" w:hAnsi="Times New Roman" w:cs="Times New Roman"/>
                <w:kern w:val="0"/>
                <w:sz w:val="20"/>
                <w:szCs w:val="20"/>
              </w:rPr>
            </w:pPr>
          </w:p>
        </w:tc>
        <w:tc>
          <w:tcPr>
            <w:tcW w:w="351" w:type="dxa"/>
            <w:gridSpan w:val="2"/>
            <w:tcMar>
              <w:top w:w="0" w:type="dxa"/>
              <w:left w:w="0" w:type="dxa"/>
              <w:bottom w:w="0" w:type="dxa"/>
              <w:right w:w="0" w:type="dxa"/>
            </w:tcMar>
            <w:vAlign w:val="center"/>
            <w:hideMark/>
          </w:tcPr>
          <w:p w:rsidR="00505BCC" w:rsidRPr="00505BCC" w:rsidRDefault="00505BCC" w:rsidP="00505BCC">
            <w:pPr>
              <w:widowControl/>
              <w:jc w:val="left"/>
              <w:rPr>
                <w:rFonts w:ascii="Times New Roman" w:eastAsia="Times New Roman" w:hAnsi="Times New Roman" w:cs="Times New Roman"/>
                <w:kern w:val="0"/>
                <w:sz w:val="20"/>
                <w:szCs w:val="20"/>
              </w:rPr>
            </w:pPr>
          </w:p>
        </w:tc>
        <w:tc>
          <w:tcPr>
            <w:tcW w:w="0" w:type="auto"/>
            <w:gridSpan w:val="6"/>
            <w:tcMar>
              <w:top w:w="0" w:type="dxa"/>
              <w:left w:w="0" w:type="dxa"/>
              <w:bottom w:w="0" w:type="dxa"/>
              <w:right w:w="0" w:type="dxa"/>
            </w:tcMar>
            <w:vAlign w:val="center"/>
            <w:hideMark/>
          </w:tcPr>
          <w:p w:rsidR="00505BCC" w:rsidRPr="00505BCC" w:rsidRDefault="00505BCC" w:rsidP="00505BCC">
            <w:pPr>
              <w:widowControl/>
              <w:jc w:val="left"/>
              <w:rPr>
                <w:rFonts w:ascii="Times New Roman" w:eastAsia="Times New Roman" w:hAnsi="Times New Roman" w:cs="Times New Roman"/>
                <w:kern w:val="0"/>
                <w:sz w:val="20"/>
                <w:szCs w:val="20"/>
              </w:rPr>
            </w:pPr>
          </w:p>
        </w:tc>
        <w:tc>
          <w:tcPr>
            <w:tcW w:w="351" w:type="dxa"/>
            <w:gridSpan w:val="2"/>
            <w:tcMar>
              <w:top w:w="0" w:type="dxa"/>
              <w:left w:w="0" w:type="dxa"/>
              <w:bottom w:w="0" w:type="dxa"/>
              <w:right w:w="0" w:type="dxa"/>
            </w:tcMar>
            <w:vAlign w:val="center"/>
            <w:hideMark/>
          </w:tcPr>
          <w:p w:rsidR="00505BCC" w:rsidRPr="00505BCC" w:rsidRDefault="00505BCC" w:rsidP="00505BCC">
            <w:pPr>
              <w:widowControl/>
              <w:jc w:val="left"/>
              <w:rPr>
                <w:rFonts w:ascii="Times New Roman" w:eastAsia="Times New Roman" w:hAnsi="Times New Roman" w:cs="Times New Roman"/>
                <w:kern w:val="0"/>
                <w:sz w:val="20"/>
                <w:szCs w:val="20"/>
              </w:rPr>
            </w:pPr>
          </w:p>
        </w:tc>
        <w:tc>
          <w:tcPr>
            <w:tcW w:w="0" w:type="auto"/>
            <w:gridSpan w:val="5"/>
            <w:tcMar>
              <w:top w:w="0" w:type="dxa"/>
              <w:left w:w="0" w:type="dxa"/>
              <w:bottom w:w="0" w:type="dxa"/>
              <w:right w:w="0" w:type="dxa"/>
            </w:tcMar>
            <w:vAlign w:val="center"/>
            <w:hideMark/>
          </w:tcPr>
          <w:p w:rsidR="00505BCC" w:rsidRPr="00505BCC" w:rsidRDefault="00505BCC" w:rsidP="00505BCC">
            <w:pPr>
              <w:widowControl/>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0" w:type="auto"/>
            <w:gridSpan w:val="37"/>
            <w:tcMar>
              <w:top w:w="0" w:type="dxa"/>
              <w:left w:w="0" w:type="dxa"/>
              <w:bottom w:w="0" w:type="dxa"/>
              <w:right w:w="0" w:type="dxa"/>
            </w:tcMar>
            <w:vAlign w:val="center"/>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Marvell Technology, Inc.</w:t>
            </w:r>
            <w:r w:rsidRPr="00505BCC">
              <w:rPr>
                <w:rFonts w:ascii="宋体" w:eastAsia="宋体" w:hAnsi="宋体" w:cs="宋体"/>
                <w:b/>
                <w:bCs/>
                <w:kern w:val="0"/>
                <w:szCs w:val="21"/>
              </w:rPr>
              <w:br/>
              <w:t>Reconciliations from GAAP to Non-GAAP (Unaudited)</w:t>
            </w:r>
            <w:r w:rsidRPr="00505BCC">
              <w:rPr>
                <w:rFonts w:ascii="宋体" w:eastAsia="宋体" w:hAnsi="宋体" w:cs="宋体"/>
                <w:b/>
                <w:bCs/>
                <w:kern w:val="0"/>
                <w:szCs w:val="21"/>
              </w:rPr>
              <w:br/>
              <w:t>(In millions, except per share amounts)</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jc w:val="left"/>
              <w:rPr>
                <w:rFonts w:ascii="宋体" w:eastAsia="宋体" w:hAnsi="宋体" w:cs="宋体"/>
                <w:kern w:val="0"/>
                <w:szCs w:val="21"/>
              </w:rPr>
            </w:pPr>
          </w:p>
        </w:tc>
        <w:tc>
          <w:tcPr>
            <w:tcW w:w="351" w:type="dxa"/>
            <w:tcMar>
              <w:top w:w="0" w:type="dxa"/>
              <w:left w:w="0" w:type="dxa"/>
              <w:bottom w:w="0" w:type="dxa"/>
              <w:right w:w="0" w:type="dxa"/>
            </w:tcMar>
            <w:vAlign w:val="center"/>
            <w:hideMark/>
          </w:tcPr>
          <w:p w:rsidR="00505BCC" w:rsidRPr="00505BCC" w:rsidRDefault="00505BCC" w:rsidP="00505BCC">
            <w:pPr>
              <w:widowControl/>
              <w:jc w:val="left"/>
              <w:rPr>
                <w:rFonts w:ascii="Times New Roman" w:eastAsia="Times New Roman" w:hAnsi="Times New Roman" w:cs="Times New Roman"/>
                <w:kern w:val="0"/>
                <w:sz w:val="20"/>
                <w:szCs w:val="20"/>
              </w:rPr>
            </w:pPr>
          </w:p>
        </w:tc>
        <w:tc>
          <w:tcPr>
            <w:tcW w:w="0" w:type="auto"/>
            <w:gridSpan w:val="20"/>
            <w:tcMar>
              <w:top w:w="0" w:type="dxa"/>
              <w:left w:w="0" w:type="dxa"/>
              <w:bottom w:w="0" w:type="dxa"/>
              <w:right w:w="0" w:type="dxa"/>
            </w:tcMar>
            <w:vAlign w:val="center"/>
            <w:hideMark/>
          </w:tcPr>
          <w:p w:rsidR="00505BCC" w:rsidRPr="00505BCC" w:rsidRDefault="00505BCC" w:rsidP="00505BCC">
            <w:pPr>
              <w:widowControl/>
              <w:jc w:val="left"/>
              <w:rPr>
                <w:rFonts w:ascii="Times New Roman" w:eastAsia="Times New Roman" w:hAnsi="Times New Roman" w:cs="Times New Roman"/>
                <w:kern w:val="0"/>
                <w:sz w:val="20"/>
                <w:szCs w:val="20"/>
              </w:rPr>
            </w:pPr>
          </w:p>
        </w:tc>
        <w:tc>
          <w:tcPr>
            <w:tcW w:w="351" w:type="dxa"/>
            <w:gridSpan w:val="2"/>
            <w:tcMar>
              <w:top w:w="0" w:type="dxa"/>
              <w:left w:w="0" w:type="dxa"/>
              <w:bottom w:w="0" w:type="dxa"/>
              <w:right w:w="0" w:type="dxa"/>
            </w:tcMar>
            <w:vAlign w:val="center"/>
            <w:hideMark/>
          </w:tcPr>
          <w:p w:rsidR="00505BCC" w:rsidRPr="00505BCC" w:rsidRDefault="00505BCC" w:rsidP="00505BCC">
            <w:pPr>
              <w:widowControl/>
              <w:jc w:val="left"/>
              <w:rPr>
                <w:rFonts w:ascii="Times New Roman" w:eastAsia="Times New Roman" w:hAnsi="Times New Roman" w:cs="Times New Roman"/>
                <w:kern w:val="0"/>
                <w:sz w:val="20"/>
                <w:szCs w:val="20"/>
              </w:rPr>
            </w:pPr>
          </w:p>
        </w:tc>
        <w:tc>
          <w:tcPr>
            <w:tcW w:w="0" w:type="auto"/>
            <w:gridSpan w:val="13"/>
            <w:tcMar>
              <w:top w:w="0" w:type="dxa"/>
              <w:left w:w="0" w:type="dxa"/>
              <w:bottom w:w="0" w:type="dxa"/>
              <w:right w:w="0" w:type="dxa"/>
            </w:tcMar>
            <w:vAlign w:val="center"/>
            <w:hideMark/>
          </w:tcPr>
          <w:p w:rsidR="00505BCC" w:rsidRPr="00505BCC" w:rsidRDefault="00505BCC" w:rsidP="00505BCC">
            <w:pPr>
              <w:widowControl/>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20"/>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Three Months Ended</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13"/>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Nine Months Ended</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jc w:val="left"/>
              <w:rPr>
                <w:rFonts w:ascii="宋体" w:eastAsia="宋体" w:hAnsi="宋体" w:cs="宋体"/>
                <w:kern w:val="0"/>
                <w:szCs w:val="21"/>
              </w:rPr>
            </w:pPr>
          </w:p>
        </w:tc>
        <w:tc>
          <w:tcPr>
            <w:tcW w:w="351" w:type="dxa"/>
            <w:tcMar>
              <w:top w:w="0" w:type="dxa"/>
              <w:left w:w="0" w:type="dxa"/>
              <w:bottom w:w="0" w:type="dxa"/>
              <w:right w:w="0" w:type="dxa"/>
            </w:tcMar>
            <w:vAlign w:val="center"/>
            <w:hideMark/>
          </w:tcPr>
          <w:p w:rsidR="00505BCC" w:rsidRPr="00505BCC" w:rsidRDefault="00505BCC" w:rsidP="00505BCC">
            <w:pPr>
              <w:widowControl/>
              <w:jc w:val="left"/>
              <w:rPr>
                <w:rFonts w:ascii="Times New Roman" w:eastAsia="Times New Roman" w:hAnsi="Times New Roman" w:cs="Times New Roman"/>
                <w:kern w:val="0"/>
                <w:sz w:val="20"/>
                <w:szCs w:val="20"/>
              </w:rPr>
            </w:pPr>
          </w:p>
        </w:tc>
        <w:tc>
          <w:tcPr>
            <w:tcW w:w="0" w:type="auto"/>
            <w:gridSpan w:val="4"/>
            <w:tcBorders>
              <w:bottom w:val="single" w:sz="8" w:space="0" w:color="000000"/>
            </w:tcBorders>
            <w:tcMar>
              <w:top w:w="0" w:type="dxa"/>
              <w:left w:w="0" w:type="dxa"/>
              <w:bottom w:w="0" w:type="dxa"/>
              <w:right w:w="0" w:type="dxa"/>
            </w:tcMar>
            <w:vAlign w:val="center"/>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1,</w:t>
            </w:r>
            <w:r w:rsidRPr="00505BCC">
              <w:rPr>
                <w:rFonts w:ascii="宋体" w:eastAsia="宋体" w:hAnsi="宋体" w:cs="宋体"/>
                <w:b/>
                <w:bCs/>
                <w:kern w:val="0"/>
                <w:szCs w:val="21"/>
              </w:rPr>
              <w:br/>
              <w:t>2025</w:t>
            </w:r>
          </w:p>
        </w:tc>
        <w:tc>
          <w:tcPr>
            <w:tcW w:w="351" w:type="dxa"/>
            <w:gridSpan w:val="2"/>
            <w:tcMar>
              <w:top w:w="0" w:type="dxa"/>
              <w:left w:w="0" w:type="dxa"/>
              <w:bottom w:w="0" w:type="dxa"/>
              <w:right w:w="0" w:type="dxa"/>
            </w:tcMar>
            <w:vAlign w:val="center"/>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 </w:t>
            </w:r>
          </w:p>
        </w:tc>
        <w:tc>
          <w:tcPr>
            <w:tcW w:w="0" w:type="auto"/>
            <w:gridSpan w:val="6"/>
            <w:tcBorders>
              <w:bottom w:val="single" w:sz="8" w:space="0" w:color="000000"/>
            </w:tcBorders>
            <w:tcMar>
              <w:top w:w="0" w:type="dxa"/>
              <w:left w:w="0" w:type="dxa"/>
              <w:bottom w:w="0" w:type="dxa"/>
              <w:right w:w="0" w:type="dxa"/>
            </w:tcMar>
            <w:vAlign w:val="center"/>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August 2,</w:t>
            </w:r>
            <w:r w:rsidRPr="00505BCC">
              <w:rPr>
                <w:rFonts w:ascii="宋体" w:eastAsia="宋体" w:hAnsi="宋体" w:cs="宋体"/>
                <w:b/>
                <w:bCs/>
                <w:kern w:val="0"/>
                <w:szCs w:val="21"/>
              </w:rPr>
              <w:br/>
              <w:t>2025</w:t>
            </w:r>
          </w:p>
        </w:tc>
        <w:tc>
          <w:tcPr>
            <w:tcW w:w="351" w:type="dxa"/>
            <w:gridSpan w:val="2"/>
            <w:tcMar>
              <w:top w:w="0" w:type="dxa"/>
              <w:left w:w="0" w:type="dxa"/>
              <w:bottom w:w="0" w:type="dxa"/>
              <w:right w:w="0" w:type="dxa"/>
            </w:tcMar>
            <w:vAlign w:val="center"/>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 </w:t>
            </w:r>
          </w:p>
        </w:tc>
        <w:tc>
          <w:tcPr>
            <w:tcW w:w="0" w:type="auto"/>
            <w:gridSpan w:val="6"/>
            <w:tcBorders>
              <w:bottom w:val="single" w:sz="8" w:space="0" w:color="000000"/>
            </w:tcBorders>
            <w:tcMar>
              <w:top w:w="0" w:type="dxa"/>
              <w:left w:w="0" w:type="dxa"/>
              <w:bottom w:w="0" w:type="dxa"/>
              <w:right w:w="0" w:type="dxa"/>
            </w:tcMar>
            <w:vAlign w:val="center"/>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2,</w:t>
            </w:r>
            <w:r w:rsidRPr="00505BCC">
              <w:rPr>
                <w:rFonts w:ascii="宋体" w:eastAsia="宋体" w:hAnsi="宋体" w:cs="宋体"/>
                <w:b/>
                <w:bCs/>
                <w:kern w:val="0"/>
                <w:szCs w:val="21"/>
              </w:rPr>
              <w:br/>
              <w:t>2024</w:t>
            </w:r>
          </w:p>
        </w:tc>
        <w:tc>
          <w:tcPr>
            <w:tcW w:w="351" w:type="dxa"/>
            <w:gridSpan w:val="2"/>
            <w:tcMar>
              <w:top w:w="0" w:type="dxa"/>
              <w:left w:w="0" w:type="dxa"/>
              <w:bottom w:w="0" w:type="dxa"/>
              <w:right w:w="0" w:type="dxa"/>
            </w:tcMar>
            <w:vAlign w:val="center"/>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 </w:t>
            </w:r>
          </w:p>
        </w:tc>
        <w:tc>
          <w:tcPr>
            <w:tcW w:w="0" w:type="auto"/>
            <w:gridSpan w:val="6"/>
            <w:tcBorders>
              <w:bottom w:val="single" w:sz="8" w:space="0" w:color="000000"/>
            </w:tcBorders>
            <w:tcMar>
              <w:top w:w="0" w:type="dxa"/>
              <w:left w:w="0" w:type="dxa"/>
              <w:bottom w:w="0" w:type="dxa"/>
              <w:right w:w="0" w:type="dxa"/>
            </w:tcMar>
            <w:vAlign w:val="center"/>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1,</w:t>
            </w:r>
            <w:r w:rsidRPr="00505BCC">
              <w:rPr>
                <w:rFonts w:ascii="宋体" w:eastAsia="宋体" w:hAnsi="宋体" w:cs="宋体"/>
                <w:b/>
                <w:bCs/>
                <w:kern w:val="0"/>
                <w:szCs w:val="21"/>
              </w:rPr>
              <w:br/>
              <w:t>2025</w:t>
            </w:r>
          </w:p>
        </w:tc>
        <w:tc>
          <w:tcPr>
            <w:tcW w:w="351" w:type="dxa"/>
            <w:gridSpan w:val="2"/>
            <w:tcMar>
              <w:top w:w="0" w:type="dxa"/>
              <w:left w:w="0" w:type="dxa"/>
              <w:bottom w:w="0" w:type="dxa"/>
              <w:right w:w="0" w:type="dxa"/>
            </w:tcMar>
            <w:vAlign w:val="center"/>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 </w:t>
            </w:r>
          </w:p>
        </w:tc>
        <w:tc>
          <w:tcPr>
            <w:tcW w:w="0" w:type="auto"/>
            <w:gridSpan w:val="5"/>
            <w:tcBorders>
              <w:bottom w:val="single" w:sz="8" w:space="0" w:color="000000"/>
            </w:tcBorders>
            <w:tcMar>
              <w:top w:w="0" w:type="dxa"/>
              <w:left w:w="0" w:type="dxa"/>
              <w:bottom w:w="0" w:type="dxa"/>
              <w:right w:w="0" w:type="dxa"/>
            </w:tcMar>
            <w:vAlign w:val="center"/>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2,</w:t>
            </w:r>
            <w:r w:rsidRPr="00505BCC">
              <w:rPr>
                <w:rFonts w:ascii="宋体" w:eastAsia="宋体" w:hAnsi="宋体" w:cs="宋体"/>
                <w:b/>
                <w:bCs/>
                <w:kern w:val="0"/>
                <w:szCs w:val="21"/>
              </w:rPr>
              <w:br/>
              <w:t>2024</w:t>
            </w:r>
          </w:p>
        </w:tc>
      </w:tr>
      <w:tr w:rsidR="00505BCC" w:rsidRPr="00505BCC" w:rsidTr="00505BCC">
        <w:tc>
          <w:tcPr>
            <w:tcW w:w="5266" w:type="dxa"/>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GAAP interest and other income (loss), net</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1,857.6</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(56.4</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(47.7</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1,746.5</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(139.0</w:t>
            </w:r>
          </w:p>
        </w:tc>
        <w:tc>
          <w:tcPr>
            <w:tcW w:w="353"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Special items - expenses (income):</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Gain on sale of business</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(1,830.4</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(1,830.4</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3"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Other (c)</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(52.5</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8.2</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(36.9</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(3.5</w:t>
            </w:r>
          </w:p>
        </w:tc>
        <w:tc>
          <w:tcPr>
            <w:tcW w:w="353"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Total special items</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(1,882.9</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8.2</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(1,867.3</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(3.5</w:t>
            </w:r>
          </w:p>
        </w:tc>
        <w:tc>
          <w:tcPr>
            <w:tcW w:w="353"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Non-GAAP interest and other loss, net</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(25.3</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(48.2</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(49.1</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(120.8</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(142.5</w:t>
            </w:r>
          </w:p>
        </w:tc>
        <w:tc>
          <w:tcPr>
            <w:tcW w:w="353"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GAAP net income (loss)</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1,901.3</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194.8</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(676.3</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2,274.0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(1,085.2</w:t>
            </w:r>
          </w:p>
        </w:tc>
        <w:tc>
          <w:tcPr>
            <w:tcW w:w="353"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Special items - expenses (income):</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Stock-based compensation</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152.1</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153.6</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158.4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447.8</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449.8</w:t>
            </w:r>
          </w:p>
        </w:tc>
        <w:tc>
          <w:tcPr>
            <w:tcW w:w="353"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Amortization of acquired intangible assets</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229.0</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243.7</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264.9</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718.4</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805.5</w:t>
            </w:r>
          </w:p>
        </w:tc>
        <w:tc>
          <w:tcPr>
            <w:tcW w:w="353"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Restructuring related charges (a)</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10.1</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8.7</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715.1</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723.2</w:t>
            </w:r>
          </w:p>
        </w:tc>
        <w:tc>
          <w:tcPr>
            <w:tcW w:w="353"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Other cost of goods sold (b)</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0.3</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14.2</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0.8</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17.6</w:t>
            </w:r>
          </w:p>
        </w:tc>
        <w:tc>
          <w:tcPr>
            <w:tcW w:w="353"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Gain on sale of business</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(1,830.4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(1,830.4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353"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Other (c)</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(48.7</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10.9</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(29.7</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8.0</w:t>
            </w:r>
          </w:p>
        </w:tc>
        <w:tc>
          <w:tcPr>
            <w:tcW w:w="353"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Pre-tax total special items</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(1,487.6</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416.9</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1,151.6</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(686.6</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2,004.1</w:t>
            </w:r>
          </w:p>
        </w:tc>
        <w:tc>
          <w:tcPr>
            <w:tcW w:w="353"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15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Other income tax effects and adjustments (d)</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241.3</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(26.2</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(102.3</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193.1</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(73.0</w:t>
            </w:r>
          </w:p>
        </w:tc>
        <w:tc>
          <w:tcPr>
            <w:tcW w:w="353"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Non-GAAP net income</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655.0</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585.5</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373.0</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1,780.5</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845.9</w:t>
            </w:r>
          </w:p>
        </w:tc>
        <w:tc>
          <w:tcPr>
            <w:tcW w:w="353"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GAAP weighted-average shares — basic</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855.8</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862.6</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865.7</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861.1</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865.5</w:t>
            </w:r>
          </w:p>
        </w:tc>
        <w:tc>
          <w:tcPr>
            <w:tcW w:w="353"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GAAP weighted-average shares — diluted</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863.7</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870.4</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865.7</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869.9</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865.5</w:t>
            </w:r>
          </w:p>
        </w:tc>
        <w:tc>
          <w:tcPr>
            <w:tcW w:w="353"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Non-GAAP weighted-average shares — diluted (e)</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863.7</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870.4</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875.5</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869.9</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875.8</w:t>
            </w:r>
          </w:p>
        </w:tc>
        <w:tc>
          <w:tcPr>
            <w:tcW w:w="353"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6"/>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5"/>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5266" w:type="dxa"/>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GAAP diluted net income (loss) per share</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2.20</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0.22</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(0.78</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2.61</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(1.25</w:t>
            </w:r>
          </w:p>
        </w:tc>
        <w:tc>
          <w:tcPr>
            <w:tcW w:w="353"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6" w:type="dxa"/>
            <w:shd w:val="clear" w:color="auto" w:fill="CCEEFF"/>
            <w:tcMar>
              <w:top w:w="0" w:type="dxa"/>
              <w:left w:w="0" w:type="dxa"/>
              <w:bottom w:w="0" w:type="dxa"/>
              <w:right w:w="0" w:type="dxa"/>
            </w:tcMar>
            <w:vAlign w:val="cente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Non-GAAP diluted net income per share</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0.76</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0.67</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0.43</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2.05</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404"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0.97</w:t>
            </w:r>
          </w:p>
        </w:tc>
        <w:tc>
          <w:tcPr>
            <w:tcW w:w="353"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r>
    </w:tbl>
    <w:p w:rsidR="00505BCC" w:rsidRPr="00505BCC" w:rsidRDefault="00505BCC" w:rsidP="00505BCC">
      <w:pPr>
        <w:widowControl/>
        <w:shd w:val="clear" w:color="auto" w:fill="FFFFFF"/>
        <w:jc w:val="left"/>
        <w:rPr>
          <w:rFonts w:ascii="Arial" w:eastAsia="宋体" w:hAnsi="Arial" w:cs="Arial"/>
          <w:vanish/>
          <w:color w:val="63666A"/>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315"/>
        <w:gridCol w:w="210"/>
        <w:gridCol w:w="7723"/>
        <w:gridCol w:w="58"/>
        <w:gridCol w:w="9244"/>
      </w:tblGrid>
      <w:tr w:rsidR="00505BCC" w:rsidRPr="00505BCC" w:rsidTr="00505BCC">
        <w:trPr>
          <w:gridAfter w:val="1"/>
          <w:wAfter w:w="9244" w:type="dxa"/>
        </w:trPr>
        <w:tc>
          <w:tcPr>
            <w:tcW w:w="0" w:type="auto"/>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i/>
                <w:iCs/>
                <w:kern w:val="0"/>
                <w:szCs w:val="21"/>
              </w:rPr>
              <w:t>(a)</w:t>
            </w:r>
          </w:p>
        </w:tc>
        <w:tc>
          <w:tcPr>
            <w:tcW w:w="0" w:type="auto"/>
            <w:tcMar>
              <w:top w:w="0" w:type="dxa"/>
              <w:left w:w="0" w:type="dxa"/>
              <w:bottom w:w="0" w:type="dxa"/>
              <w:right w:w="0" w:type="dxa"/>
            </w:tcMar>
            <w:vAlign w:val="center"/>
            <w:hideMark/>
          </w:tcPr>
          <w:p w:rsidR="00505BCC" w:rsidRPr="00505BCC" w:rsidRDefault="00505BCC" w:rsidP="00505BCC">
            <w:pPr>
              <w:widowControl/>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2"/>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Restructuring and other related items include asset impairment charges, gain on sale of property, recognition of contractual obligations, employee severance costs, facility exit related charges, and other.</w:t>
            </w:r>
          </w:p>
        </w:tc>
      </w:tr>
      <w:tr w:rsidR="00505BCC" w:rsidRPr="00505BCC" w:rsidTr="00505BCC">
        <w:trPr>
          <w:gridAfter w:val="1"/>
          <w:wAfter w:w="9244" w:type="dxa"/>
        </w:trPr>
        <w:tc>
          <w:tcPr>
            <w:tcW w:w="0" w:type="auto"/>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i/>
                <w:iCs/>
                <w:kern w:val="0"/>
                <w:szCs w:val="21"/>
              </w:rPr>
              <w:t>(b)</w:t>
            </w:r>
          </w:p>
        </w:tc>
        <w:tc>
          <w:tcPr>
            <w:tcW w:w="0" w:type="auto"/>
            <w:tcMar>
              <w:top w:w="0" w:type="dxa"/>
              <w:left w:w="0" w:type="dxa"/>
              <w:bottom w:w="0" w:type="dxa"/>
              <w:right w:w="0" w:type="dxa"/>
            </w:tcMar>
            <w:vAlign w:val="center"/>
            <w:hideMark/>
          </w:tcPr>
          <w:p w:rsidR="00505BCC" w:rsidRPr="00505BCC" w:rsidRDefault="00505BCC" w:rsidP="00505BCC">
            <w:pPr>
              <w:widowControl/>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2"/>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Other cost of goods sold include an intellectual property licensing claim and product claim related matter.</w:t>
            </w:r>
          </w:p>
        </w:tc>
      </w:tr>
      <w:tr w:rsidR="00505BCC" w:rsidRPr="00505BCC" w:rsidTr="00505BCC">
        <w:trPr>
          <w:gridAfter w:val="1"/>
          <w:wAfter w:w="9244" w:type="dxa"/>
        </w:trPr>
        <w:tc>
          <w:tcPr>
            <w:tcW w:w="0" w:type="auto"/>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i/>
                <w:iCs/>
                <w:kern w:val="0"/>
                <w:szCs w:val="21"/>
              </w:rPr>
              <w:t>(c)</w:t>
            </w:r>
          </w:p>
        </w:tc>
        <w:tc>
          <w:tcPr>
            <w:tcW w:w="0" w:type="auto"/>
            <w:tcMar>
              <w:top w:w="0" w:type="dxa"/>
              <w:left w:w="0" w:type="dxa"/>
              <w:bottom w:w="0" w:type="dxa"/>
              <w:right w:w="0" w:type="dxa"/>
            </w:tcMar>
            <w:vAlign w:val="center"/>
            <w:hideMark/>
          </w:tcPr>
          <w:p w:rsidR="00505BCC" w:rsidRPr="00505BCC" w:rsidRDefault="00505BCC" w:rsidP="00505BCC">
            <w:pPr>
              <w:widowControl/>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2"/>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Other costs in operating expenses and interest and other income (loss), net include gain or loss on investments, and asset acquisition and divestiture related costs.</w:t>
            </w:r>
          </w:p>
        </w:tc>
      </w:tr>
      <w:tr w:rsidR="00505BCC" w:rsidRPr="00505BCC" w:rsidTr="00505BCC">
        <w:trPr>
          <w:gridAfter w:val="1"/>
          <w:wAfter w:w="9244" w:type="dxa"/>
        </w:trPr>
        <w:tc>
          <w:tcPr>
            <w:tcW w:w="0" w:type="auto"/>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i/>
                <w:iCs/>
                <w:kern w:val="0"/>
                <w:szCs w:val="21"/>
              </w:rPr>
              <w:t>(d)</w:t>
            </w:r>
          </w:p>
        </w:tc>
        <w:tc>
          <w:tcPr>
            <w:tcW w:w="0" w:type="auto"/>
            <w:tcMar>
              <w:top w:w="0" w:type="dxa"/>
              <w:left w:w="0" w:type="dxa"/>
              <w:bottom w:w="0" w:type="dxa"/>
              <w:right w:w="0" w:type="dxa"/>
            </w:tcMar>
            <w:vAlign w:val="center"/>
            <w:hideMark/>
          </w:tcPr>
          <w:p w:rsidR="00505BCC" w:rsidRPr="00505BCC" w:rsidRDefault="00505BCC" w:rsidP="00505BCC">
            <w:pPr>
              <w:widowControl/>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2"/>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Other income tax effects and adjustments relate to tax provision based on a non-GAAP income tax rate of 10.0% for the three and nine months ended November 1, 2025 and three months ended August 2, 2025. Other income tax effects and adjustments relate to tax provision based on a non-GAAP income tax rate of 7.0% for the three and nine months ended November 2, 2024.</w:t>
            </w:r>
          </w:p>
        </w:tc>
      </w:tr>
      <w:tr w:rsidR="00505BCC" w:rsidRPr="00505BCC" w:rsidTr="00505BCC">
        <w:trPr>
          <w:gridAfter w:val="1"/>
          <w:wAfter w:w="9244" w:type="dxa"/>
        </w:trPr>
        <w:tc>
          <w:tcPr>
            <w:tcW w:w="0" w:type="auto"/>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i/>
                <w:iCs/>
                <w:kern w:val="0"/>
                <w:szCs w:val="21"/>
              </w:rPr>
              <w:t>(e)</w:t>
            </w:r>
          </w:p>
        </w:tc>
        <w:tc>
          <w:tcPr>
            <w:tcW w:w="0" w:type="auto"/>
            <w:tcMar>
              <w:top w:w="0" w:type="dxa"/>
              <w:left w:w="0" w:type="dxa"/>
              <w:bottom w:w="0" w:type="dxa"/>
              <w:right w:w="0" w:type="dxa"/>
            </w:tcMar>
            <w:vAlign w:val="center"/>
            <w:hideMark/>
          </w:tcPr>
          <w:p w:rsidR="00505BCC" w:rsidRPr="00505BCC" w:rsidRDefault="00505BCC" w:rsidP="00505BCC">
            <w:pPr>
              <w:widowControl/>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2"/>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In periods of GAAP net loss, non-GAAP diluted weighted-average shares differs from GAAP diluted weighted-average shares due to the non-GAAP net income reported.</w:t>
            </w:r>
          </w:p>
        </w:tc>
      </w:tr>
      <w:tr w:rsidR="00505BCC" w:rsidRPr="00505BCC" w:rsidTr="00505BCC">
        <w:tc>
          <w:tcPr>
            <w:tcW w:w="0" w:type="auto"/>
            <w:gridSpan w:val="5"/>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Marvell Technology, Inc.</w:t>
            </w:r>
            <w:r w:rsidRPr="00505BCC">
              <w:rPr>
                <w:rFonts w:ascii="宋体" w:eastAsia="宋体" w:hAnsi="宋体" w:cs="宋体"/>
                <w:kern w:val="0"/>
                <w:szCs w:val="21"/>
              </w:rPr>
              <w:br/>
            </w:r>
            <w:r w:rsidRPr="00505BCC">
              <w:rPr>
                <w:rFonts w:ascii="宋体" w:eastAsia="宋体" w:hAnsi="宋体" w:cs="宋体"/>
                <w:b/>
                <w:bCs/>
                <w:kern w:val="0"/>
                <w:szCs w:val="21"/>
              </w:rPr>
              <w:t>Outlook for the Fourth Quarter of Fiscal Year 2026</w:t>
            </w:r>
            <w:r w:rsidRPr="00505BCC">
              <w:rPr>
                <w:rFonts w:ascii="宋体" w:eastAsia="宋体" w:hAnsi="宋体" w:cs="宋体"/>
                <w:kern w:val="0"/>
                <w:szCs w:val="21"/>
              </w:rPr>
              <w:br/>
            </w:r>
            <w:r w:rsidRPr="00505BCC">
              <w:rPr>
                <w:rFonts w:ascii="宋体" w:eastAsia="宋体" w:hAnsi="宋体" w:cs="宋体"/>
                <w:b/>
                <w:bCs/>
                <w:kern w:val="0"/>
                <w:szCs w:val="21"/>
              </w:rPr>
              <w:t>Reconciliations from GAAP to Non-GAAP (Unaudited)</w:t>
            </w:r>
            <w:r w:rsidRPr="00505BCC">
              <w:rPr>
                <w:rFonts w:ascii="宋体" w:eastAsia="宋体" w:hAnsi="宋体" w:cs="宋体"/>
                <w:kern w:val="0"/>
                <w:szCs w:val="21"/>
              </w:rPr>
              <w:br/>
            </w:r>
            <w:r w:rsidRPr="00505BCC">
              <w:rPr>
                <w:rFonts w:ascii="宋体" w:eastAsia="宋体" w:hAnsi="宋体" w:cs="宋体"/>
                <w:b/>
                <w:bCs/>
                <w:kern w:val="0"/>
                <w:szCs w:val="21"/>
              </w:rPr>
              <w:t>(In millions, except per share amounts)</w:t>
            </w:r>
          </w:p>
        </w:tc>
      </w:tr>
      <w:tr w:rsidR="00505BCC" w:rsidRPr="00505BCC" w:rsidTr="00505BCC">
        <w:tc>
          <w:tcPr>
            <w:tcW w:w="8248" w:type="dxa"/>
            <w:gridSpan w:val="3"/>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9302" w:type="dxa"/>
            <w:gridSpan w:val="2"/>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8248" w:type="dxa"/>
            <w:gridSpan w:val="3"/>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9302" w:type="dxa"/>
            <w:gridSpan w:val="2"/>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Outlook for Three Months Ended</w:t>
            </w:r>
            <w:r w:rsidRPr="00505BCC">
              <w:rPr>
                <w:rFonts w:ascii="宋体" w:eastAsia="宋体" w:hAnsi="宋体" w:cs="宋体"/>
                <w:b/>
                <w:bCs/>
                <w:kern w:val="0"/>
                <w:szCs w:val="21"/>
              </w:rPr>
              <w:br/>
              <w:t>January 31, 2026</w:t>
            </w:r>
          </w:p>
        </w:tc>
      </w:tr>
      <w:tr w:rsidR="00505BCC" w:rsidRPr="00505BCC" w:rsidTr="00505BCC">
        <w:tc>
          <w:tcPr>
            <w:tcW w:w="8248"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GAAP net revenue</w:t>
            </w:r>
          </w:p>
        </w:tc>
        <w:tc>
          <w:tcPr>
            <w:tcW w:w="9302"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$2,200 +/- 5%</w:t>
            </w:r>
          </w:p>
        </w:tc>
      </w:tr>
      <w:tr w:rsidR="00505BCC" w:rsidRPr="00505BCC" w:rsidTr="00505BCC">
        <w:tc>
          <w:tcPr>
            <w:tcW w:w="8248" w:type="dxa"/>
            <w:gridSpan w:val="3"/>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Special items:</w:t>
            </w:r>
          </w:p>
        </w:tc>
        <w:tc>
          <w:tcPr>
            <w:tcW w:w="9302"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8248"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Non-GAAP net revenue</w:t>
            </w:r>
          </w:p>
        </w:tc>
        <w:tc>
          <w:tcPr>
            <w:tcW w:w="9302"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$2,200 +/- 5%</w:t>
            </w:r>
          </w:p>
        </w:tc>
      </w:tr>
      <w:tr w:rsidR="00505BCC" w:rsidRPr="00505BCC" w:rsidTr="00505BCC">
        <w:tc>
          <w:tcPr>
            <w:tcW w:w="8248" w:type="dxa"/>
            <w:gridSpan w:val="3"/>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9302" w:type="dxa"/>
            <w:gridSpan w:val="2"/>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8248"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GAAP gross margin</w:t>
            </w:r>
          </w:p>
        </w:tc>
        <w:tc>
          <w:tcPr>
            <w:tcW w:w="9302"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51.1% - 52.1%</w:t>
            </w:r>
          </w:p>
        </w:tc>
      </w:tr>
      <w:tr w:rsidR="00505BCC" w:rsidRPr="00505BCC" w:rsidTr="00505BCC">
        <w:tc>
          <w:tcPr>
            <w:tcW w:w="8248" w:type="dxa"/>
            <w:gridSpan w:val="3"/>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Special items:</w:t>
            </w:r>
          </w:p>
        </w:tc>
        <w:tc>
          <w:tcPr>
            <w:tcW w:w="9302" w:type="dxa"/>
            <w:gridSpan w:val="2"/>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8248" w:type="dxa"/>
            <w:gridSpan w:val="3"/>
            <w:shd w:val="clear" w:color="auto" w:fill="CCEEFF"/>
            <w:tcMar>
              <w:top w:w="0" w:type="dxa"/>
              <w:left w:w="15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Stock-based compensation</w:t>
            </w:r>
          </w:p>
        </w:tc>
        <w:tc>
          <w:tcPr>
            <w:tcW w:w="9302"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0.6%</w:t>
            </w:r>
          </w:p>
        </w:tc>
      </w:tr>
      <w:tr w:rsidR="00505BCC" w:rsidRPr="00505BCC" w:rsidTr="00505BCC">
        <w:tc>
          <w:tcPr>
            <w:tcW w:w="8248" w:type="dxa"/>
            <w:gridSpan w:val="3"/>
            <w:tcMar>
              <w:top w:w="0" w:type="dxa"/>
              <w:left w:w="15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Amortization of acquired intangible assets</w:t>
            </w:r>
          </w:p>
        </w:tc>
        <w:tc>
          <w:tcPr>
            <w:tcW w:w="9302"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6.8%</w:t>
            </w:r>
          </w:p>
        </w:tc>
      </w:tr>
      <w:tr w:rsidR="00505BCC" w:rsidRPr="00505BCC" w:rsidTr="00505BCC">
        <w:tc>
          <w:tcPr>
            <w:tcW w:w="8248"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Non-GAAP gross margin</w:t>
            </w:r>
          </w:p>
        </w:tc>
        <w:tc>
          <w:tcPr>
            <w:tcW w:w="9302"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58.5% - 59.5%</w:t>
            </w:r>
          </w:p>
        </w:tc>
      </w:tr>
      <w:tr w:rsidR="00505BCC" w:rsidRPr="00505BCC" w:rsidTr="00505BCC">
        <w:tc>
          <w:tcPr>
            <w:tcW w:w="8248" w:type="dxa"/>
            <w:gridSpan w:val="3"/>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9302" w:type="dxa"/>
            <w:gridSpan w:val="2"/>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8248"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Total GAAP operating expenses</w:t>
            </w:r>
          </w:p>
        </w:tc>
        <w:tc>
          <w:tcPr>
            <w:tcW w:w="9302"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~$741</w:t>
            </w:r>
          </w:p>
        </w:tc>
      </w:tr>
      <w:tr w:rsidR="00505BCC" w:rsidRPr="00505BCC" w:rsidTr="00505BCC">
        <w:tc>
          <w:tcPr>
            <w:tcW w:w="8248" w:type="dxa"/>
            <w:gridSpan w:val="3"/>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Special items:</w:t>
            </w:r>
          </w:p>
        </w:tc>
        <w:tc>
          <w:tcPr>
            <w:tcW w:w="9302" w:type="dxa"/>
            <w:gridSpan w:val="2"/>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8248" w:type="dxa"/>
            <w:gridSpan w:val="3"/>
            <w:shd w:val="clear" w:color="auto" w:fill="CCEEFF"/>
            <w:tcMar>
              <w:top w:w="0" w:type="dxa"/>
              <w:left w:w="15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Stock-based compensation</w:t>
            </w:r>
          </w:p>
        </w:tc>
        <w:tc>
          <w:tcPr>
            <w:tcW w:w="9302"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140</w:t>
            </w:r>
          </w:p>
        </w:tc>
      </w:tr>
      <w:tr w:rsidR="00505BCC" w:rsidRPr="00505BCC" w:rsidTr="00505BCC">
        <w:tc>
          <w:tcPr>
            <w:tcW w:w="8248" w:type="dxa"/>
            <w:gridSpan w:val="3"/>
            <w:tcMar>
              <w:top w:w="0" w:type="dxa"/>
              <w:left w:w="15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Amortization of acquired intangible assets</w:t>
            </w:r>
          </w:p>
        </w:tc>
        <w:tc>
          <w:tcPr>
            <w:tcW w:w="9302" w:type="dxa"/>
            <w:gridSpan w:val="2"/>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75</w:t>
            </w:r>
          </w:p>
        </w:tc>
      </w:tr>
      <w:tr w:rsidR="00505BCC" w:rsidRPr="00505BCC" w:rsidTr="00505BCC">
        <w:tc>
          <w:tcPr>
            <w:tcW w:w="8248" w:type="dxa"/>
            <w:gridSpan w:val="3"/>
            <w:shd w:val="clear" w:color="auto" w:fill="CCEEFF"/>
            <w:tcMar>
              <w:top w:w="0" w:type="dxa"/>
              <w:left w:w="15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Restructuring related charges and other</w:t>
            </w:r>
          </w:p>
        </w:tc>
        <w:tc>
          <w:tcPr>
            <w:tcW w:w="9302"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11</w:t>
            </w:r>
          </w:p>
        </w:tc>
      </w:tr>
      <w:tr w:rsidR="00505BCC" w:rsidRPr="00505BCC" w:rsidTr="00505BCC">
        <w:tc>
          <w:tcPr>
            <w:tcW w:w="8248" w:type="dxa"/>
            <w:gridSpan w:val="3"/>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Total non-GAAP operating expenses</w:t>
            </w:r>
          </w:p>
        </w:tc>
        <w:tc>
          <w:tcPr>
            <w:tcW w:w="9302" w:type="dxa"/>
            <w:gridSpan w:val="2"/>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~$515</w:t>
            </w:r>
          </w:p>
        </w:tc>
      </w:tr>
      <w:tr w:rsidR="00505BCC" w:rsidRPr="00505BCC" w:rsidTr="00505BCC">
        <w:tc>
          <w:tcPr>
            <w:tcW w:w="8248"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9302"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8248" w:type="dxa"/>
            <w:gridSpan w:val="3"/>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9302" w:type="dxa"/>
            <w:gridSpan w:val="2"/>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8248"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GAAP diluted net income per share</w:t>
            </w:r>
          </w:p>
        </w:tc>
        <w:tc>
          <w:tcPr>
            <w:tcW w:w="9302"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$0.36 +/- $0.05</w:t>
            </w:r>
          </w:p>
        </w:tc>
      </w:tr>
      <w:tr w:rsidR="00505BCC" w:rsidRPr="00505BCC" w:rsidTr="00505BCC">
        <w:tc>
          <w:tcPr>
            <w:tcW w:w="8248" w:type="dxa"/>
            <w:gridSpan w:val="3"/>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Special items:</w:t>
            </w:r>
          </w:p>
        </w:tc>
        <w:tc>
          <w:tcPr>
            <w:tcW w:w="9302" w:type="dxa"/>
            <w:gridSpan w:val="2"/>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 </w:t>
            </w:r>
          </w:p>
        </w:tc>
      </w:tr>
      <w:tr w:rsidR="00505BCC" w:rsidRPr="00505BCC" w:rsidTr="00505BCC">
        <w:tc>
          <w:tcPr>
            <w:tcW w:w="8248" w:type="dxa"/>
            <w:gridSpan w:val="3"/>
            <w:shd w:val="clear" w:color="auto" w:fill="CCEEFF"/>
            <w:tcMar>
              <w:top w:w="0" w:type="dxa"/>
              <w:left w:w="15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Stock-based compensation</w:t>
            </w:r>
          </w:p>
        </w:tc>
        <w:tc>
          <w:tcPr>
            <w:tcW w:w="9302"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0.18</w:t>
            </w:r>
          </w:p>
        </w:tc>
      </w:tr>
      <w:tr w:rsidR="00505BCC" w:rsidRPr="00505BCC" w:rsidTr="00505BCC">
        <w:tc>
          <w:tcPr>
            <w:tcW w:w="8248" w:type="dxa"/>
            <w:gridSpan w:val="3"/>
            <w:tcMar>
              <w:top w:w="0" w:type="dxa"/>
              <w:left w:w="15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Amortization of acquired intangible assets</w:t>
            </w:r>
          </w:p>
        </w:tc>
        <w:tc>
          <w:tcPr>
            <w:tcW w:w="9302" w:type="dxa"/>
            <w:gridSpan w:val="2"/>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0.26</w:t>
            </w:r>
          </w:p>
        </w:tc>
      </w:tr>
      <w:tr w:rsidR="00505BCC" w:rsidRPr="00505BCC" w:rsidTr="00505BCC">
        <w:tc>
          <w:tcPr>
            <w:tcW w:w="8248" w:type="dxa"/>
            <w:gridSpan w:val="3"/>
            <w:shd w:val="clear" w:color="auto" w:fill="CCEEFF"/>
            <w:tcMar>
              <w:top w:w="0" w:type="dxa"/>
              <w:left w:w="15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Restructuring related charges and other</w:t>
            </w:r>
          </w:p>
        </w:tc>
        <w:tc>
          <w:tcPr>
            <w:tcW w:w="9302"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0.01</w:t>
            </w:r>
          </w:p>
        </w:tc>
      </w:tr>
      <w:tr w:rsidR="00505BCC" w:rsidRPr="00505BCC" w:rsidTr="00505BCC">
        <w:tc>
          <w:tcPr>
            <w:tcW w:w="8248" w:type="dxa"/>
            <w:gridSpan w:val="3"/>
            <w:tcMar>
              <w:top w:w="0" w:type="dxa"/>
              <w:left w:w="15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Other income tax effects and adjustments</w:t>
            </w:r>
          </w:p>
        </w:tc>
        <w:tc>
          <w:tcPr>
            <w:tcW w:w="9302"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(0.02)</w:t>
            </w:r>
          </w:p>
        </w:tc>
      </w:tr>
      <w:tr w:rsidR="00505BCC" w:rsidRPr="00505BCC" w:rsidTr="00505BCC">
        <w:tc>
          <w:tcPr>
            <w:tcW w:w="8248" w:type="dxa"/>
            <w:gridSpan w:val="3"/>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Non-GAAP diluted net income per share</w:t>
            </w:r>
          </w:p>
        </w:tc>
        <w:tc>
          <w:tcPr>
            <w:tcW w:w="9302"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kern w:val="0"/>
                <w:szCs w:val="21"/>
              </w:rPr>
              <w:t>$0.79 +/- $0.05</w:t>
            </w:r>
          </w:p>
        </w:tc>
      </w:tr>
    </w:tbl>
    <w:p w:rsidR="00505BCC" w:rsidRPr="00505BCC" w:rsidRDefault="00505BCC" w:rsidP="00505BCC">
      <w:pPr>
        <w:widowControl/>
        <w:shd w:val="clear" w:color="auto" w:fill="FFFFFF"/>
        <w:spacing w:after="300"/>
        <w:jc w:val="center"/>
        <w:rPr>
          <w:rFonts w:ascii="Arial" w:eastAsia="宋体" w:hAnsi="Arial" w:cs="Arial"/>
          <w:color w:val="63666A"/>
          <w:kern w:val="0"/>
          <w:sz w:val="24"/>
          <w:szCs w:val="24"/>
        </w:rPr>
      </w:pPr>
      <w:r w:rsidRPr="00505BCC">
        <w:rPr>
          <w:rFonts w:ascii="Arial" w:eastAsia="宋体" w:hAnsi="Arial" w:cs="Arial"/>
          <w:b/>
          <w:bCs/>
          <w:color w:val="63666A"/>
          <w:kern w:val="0"/>
          <w:sz w:val="24"/>
          <w:szCs w:val="24"/>
        </w:rPr>
        <w:t>Quarterly Revenue Trend (Unaudited)</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Our product solutions serve five large end markets where our technology is essential: (</w:t>
      </w:r>
      <w:proofErr w:type="spellStart"/>
      <w:r w:rsidRPr="00505BCC">
        <w:rPr>
          <w:rFonts w:ascii="Arial" w:eastAsia="宋体" w:hAnsi="Arial" w:cs="Arial"/>
          <w:color w:val="63666A"/>
          <w:kern w:val="0"/>
          <w:sz w:val="24"/>
          <w:szCs w:val="24"/>
        </w:rPr>
        <w:t>i</w:t>
      </w:r>
      <w:proofErr w:type="spellEnd"/>
      <w:r w:rsidRPr="00505BCC">
        <w:rPr>
          <w:rFonts w:ascii="Arial" w:eastAsia="宋体" w:hAnsi="Arial" w:cs="Arial"/>
          <w:color w:val="63666A"/>
          <w:kern w:val="0"/>
          <w:sz w:val="24"/>
          <w:szCs w:val="24"/>
        </w:rPr>
        <w:t xml:space="preserve">) data center, (ii) enterprise networking, (iii) carrier infrastructure, </w:t>
      </w:r>
      <w:proofErr w:type="gramStart"/>
      <w:r w:rsidRPr="00505BCC">
        <w:rPr>
          <w:rFonts w:ascii="Arial" w:eastAsia="宋体" w:hAnsi="Arial" w:cs="Arial"/>
          <w:color w:val="63666A"/>
          <w:kern w:val="0"/>
          <w:sz w:val="24"/>
          <w:szCs w:val="24"/>
        </w:rPr>
        <w:t>(iv) consumer</w:t>
      </w:r>
      <w:proofErr w:type="gramEnd"/>
      <w:r w:rsidRPr="00505BCC">
        <w:rPr>
          <w:rFonts w:ascii="Arial" w:eastAsia="宋体" w:hAnsi="Arial" w:cs="Arial"/>
          <w:color w:val="63666A"/>
          <w:kern w:val="0"/>
          <w:sz w:val="24"/>
          <w:szCs w:val="24"/>
        </w:rPr>
        <w:t>, and (v) automotive/industrial. These markets and their corresponding customer products and applications are noted in the table below:</w:t>
      </w:r>
    </w:p>
    <w:tbl>
      <w:tblPr>
        <w:tblW w:w="17550" w:type="dxa"/>
        <w:tblCellMar>
          <w:top w:w="15" w:type="dxa"/>
          <w:left w:w="15" w:type="dxa"/>
          <w:bottom w:w="15" w:type="dxa"/>
          <w:right w:w="15" w:type="dxa"/>
        </w:tblCellMar>
        <w:tblLook w:val="04A0" w:firstRow="1" w:lastRow="0" w:firstColumn="1" w:lastColumn="0" w:noHBand="0" w:noVBand="1"/>
      </w:tblPr>
      <w:tblGrid>
        <w:gridCol w:w="10"/>
        <w:gridCol w:w="95"/>
        <w:gridCol w:w="210"/>
        <w:gridCol w:w="4083"/>
        <w:gridCol w:w="3908"/>
        <w:gridCol w:w="9254"/>
      </w:tblGrid>
      <w:tr w:rsidR="00505BCC" w:rsidRPr="00505BCC" w:rsidTr="00505BCC">
        <w:trPr>
          <w:gridBefore w:val="1"/>
        </w:trPr>
        <w:tc>
          <w:tcPr>
            <w:tcW w:w="4384" w:type="dxa"/>
            <w:gridSpan w:val="3"/>
            <w:tcBorders>
              <w:top w:val="single" w:sz="8" w:space="0" w:color="000000"/>
              <w:left w:val="single" w:sz="8" w:space="0" w:color="000000"/>
              <w:bottom w:val="single" w:sz="8" w:space="0" w:color="000000"/>
            </w:tcBorders>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End market</w:t>
            </w:r>
          </w:p>
        </w:tc>
        <w:tc>
          <w:tcPr>
            <w:tcW w:w="13151" w:type="dxa"/>
            <w:gridSpan w:val="2"/>
            <w:tcBorders>
              <w:top w:val="single" w:sz="8" w:space="0" w:color="000000"/>
              <w:left w:val="single" w:sz="8" w:space="0" w:color="000000"/>
              <w:bottom w:val="single" w:sz="8" w:space="0" w:color="000000"/>
              <w:right w:val="single" w:sz="8" w:space="0" w:color="000000"/>
            </w:tcBorders>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Customer products and applications</w:t>
            </w:r>
          </w:p>
        </w:tc>
      </w:tr>
      <w:tr w:rsidR="00505BCC" w:rsidRPr="00505BCC" w:rsidTr="00505BCC">
        <w:trPr>
          <w:gridBefore w:val="1"/>
        </w:trPr>
        <w:tc>
          <w:tcPr>
            <w:tcW w:w="4384" w:type="dxa"/>
            <w:gridSpan w:val="3"/>
            <w:tcBorders>
              <w:left w:val="single" w:sz="8" w:space="0" w:color="000000"/>
              <w:bottom w:val="single" w:sz="8" w:space="0" w:color="000000"/>
            </w:tcBorders>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Data center</w:t>
            </w:r>
          </w:p>
        </w:tc>
        <w:tc>
          <w:tcPr>
            <w:tcW w:w="13151" w:type="dxa"/>
            <w:gridSpan w:val="2"/>
            <w:tcBorders>
              <w:left w:val="single" w:sz="8" w:space="0" w:color="000000"/>
              <w:bottom w:val="single" w:sz="8" w:space="0" w:color="000000"/>
              <w:right w:val="single" w:sz="8" w:space="0" w:color="000000"/>
            </w:tcBorders>
            <w:tcMar>
              <w:top w:w="0" w:type="dxa"/>
              <w:left w:w="0" w:type="dxa"/>
              <w:bottom w:w="0" w:type="dxa"/>
              <w:right w:w="0" w:type="dxa"/>
            </w:tcMar>
            <w:hideMark/>
          </w:tcPr>
          <w:p w:rsidR="00505BCC" w:rsidRPr="00505BCC" w:rsidRDefault="00505BCC" w:rsidP="00505BCC">
            <w:pPr>
              <w:widowControl/>
              <w:numPr>
                <w:ilvl w:val="0"/>
                <w:numId w:val="4"/>
              </w:numPr>
              <w:spacing w:after="270"/>
              <w:ind w:left="0"/>
              <w:jc w:val="left"/>
              <w:rPr>
                <w:rFonts w:ascii="宋体" w:eastAsia="宋体" w:hAnsi="宋体" w:cs="宋体"/>
                <w:kern w:val="0"/>
                <w:szCs w:val="21"/>
              </w:rPr>
            </w:pPr>
            <w:r w:rsidRPr="00505BCC">
              <w:rPr>
                <w:rFonts w:ascii="宋体" w:eastAsia="宋体" w:hAnsi="宋体" w:cs="宋体"/>
                <w:kern w:val="0"/>
                <w:szCs w:val="21"/>
              </w:rPr>
              <w:t>Cloud and on-premise Artificial intelligence (AI) systems</w:t>
            </w:r>
          </w:p>
          <w:p w:rsidR="00505BCC" w:rsidRPr="00505BCC" w:rsidRDefault="00505BCC" w:rsidP="00505BCC">
            <w:pPr>
              <w:widowControl/>
              <w:numPr>
                <w:ilvl w:val="0"/>
                <w:numId w:val="4"/>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 xml:space="preserve">Cloud and on-premise </w:t>
            </w:r>
            <w:proofErr w:type="spellStart"/>
            <w:r w:rsidRPr="00505BCC">
              <w:rPr>
                <w:rFonts w:ascii="宋体" w:eastAsia="宋体" w:hAnsi="宋体" w:cs="宋体"/>
                <w:kern w:val="0"/>
                <w:szCs w:val="21"/>
              </w:rPr>
              <w:t>ethernet</w:t>
            </w:r>
            <w:proofErr w:type="spellEnd"/>
            <w:r w:rsidRPr="00505BCC">
              <w:rPr>
                <w:rFonts w:ascii="宋体" w:eastAsia="宋体" w:hAnsi="宋体" w:cs="宋体"/>
                <w:kern w:val="0"/>
                <w:szCs w:val="21"/>
              </w:rPr>
              <w:t xml:space="preserve"> switching</w:t>
            </w:r>
          </w:p>
          <w:p w:rsidR="00505BCC" w:rsidRPr="00505BCC" w:rsidRDefault="00505BCC" w:rsidP="00505BCC">
            <w:pPr>
              <w:widowControl/>
              <w:numPr>
                <w:ilvl w:val="0"/>
                <w:numId w:val="4"/>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Cloud and on-premise network-attached storage (NAS)</w:t>
            </w:r>
          </w:p>
          <w:p w:rsidR="00505BCC" w:rsidRPr="00505BCC" w:rsidRDefault="00505BCC" w:rsidP="00505BCC">
            <w:pPr>
              <w:widowControl/>
              <w:numPr>
                <w:ilvl w:val="0"/>
                <w:numId w:val="4"/>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Cloud and on-premise AI servers</w:t>
            </w:r>
          </w:p>
          <w:p w:rsidR="00505BCC" w:rsidRPr="00505BCC" w:rsidRDefault="00505BCC" w:rsidP="00505BCC">
            <w:pPr>
              <w:widowControl/>
              <w:numPr>
                <w:ilvl w:val="0"/>
                <w:numId w:val="4"/>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Cloud and on-premise general-purpose servers</w:t>
            </w:r>
          </w:p>
          <w:p w:rsidR="00505BCC" w:rsidRPr="00505BCC" w:rsidRDefault="00505BCC" w:rsidP="00505BCC">
            <w:pPr>
              <w:widowControl/>
              <w:numPr>
                <w:ilvl w:val="0"/>
                <w:numId w:val="4"/>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Cloud and on-premise storage area networks</w:t>
            </w:r>
          </w:p>
          <w:p w:rsidR="00505BCC" w:rsidRPr="00505BCC" w:rsidRDefault="00505BCC" w:rsidP="00505BCC">
            <w:pPr>
              <w:widowControl/>
              <w:numPr>
                <w:ilvl w:val="0"/>
                <w:numId w:val="4"/>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Cloud and on-premise storage systems</w:t>
            </w:r>
          </w:p>
          <w:p w:rsidR="00505BCC" w:rsidRPr="00505BCC" w:rsidRDefault="00505BCC" w:rsidP="00505BCC">
            <w:pPr>
              <w:widowControl/>
              <w:numPr>
                <w:ilvl w:val="0"/>
                <w:numId w:val="4"/>
              </w:numPr>
              <w:spacing w:before="270"/>
              <w:ind w:left="0"/>
              <w:jc w:val="left"/>
              <w:rPr>
                <w:rFonts w:ascii="宋体" w:eastAsia="宋体" w:hAnsi="宋体" w:cs="宋体"/>
                <w:kern w:val="0"/>
                <w:szCs w:val="21"/>
              </w:rPr>
            </w:pPr>
            <w:r w:rsidRPr="00505BCC">
              <w:rPr>
                <w:rFonts w:ascii="宋体" w:eastAsia="宋体" w:hAnsi="宋体" w:cs="宋体"/>
                <w:kern w:val="0"/>
                <w:szCs w:val="21"/>
              </w:rPr>
              <w:t>Data center interconnect (DCI)</w:t>
            </w:r>
          </w:p>
        </w:tc>
      </w:tr>
      <w:tr w:rsidR="00505BCC" w:rsidRPr="00505BCC" w:rsidTr="00505BCC">
        <w:trPr>
          <w:gridBefore w:val="1"/>
        </w:trPr>
        <w:tc>
          <w:tcPr>
            <w:tcW w:w="4384" w:type="dxa"/>
            <w:gridSpan w:val="3"/>
            <w:tcBorders>
              <w:left w:val="single" w:sz="8" w:space="0" w:color="000000"/>
              <w:bottom w:val="single" w:sz="8" w:space="0" w:color="000000"/>
            </w:tcBorders>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Enterprise networking</w:t>
            </w:r>
          </w:p>
        </w:tc>
        <w:tc>
          <w:tcPr>
            <w:tcW w:w="13151" w:type="dxa"/>
            <w:gridSpan w:val="2"/>
            <w:tcBorders>
              <w:left w:val="single" w:sz="8" w:space="0" w:color="000000"/>
              <w:bottom w:val="single" w:sz="8" w:space="0" w:color="000000"/>
              <w:right w:val="single" w:sz="8" w:space="0" w:color="000000"/>
            </w:tcBorders>
            <w:tcMar>
              <w:top w:w="0" w:type="dxa"/>
              <w:left w:w="0" w:type="dxa"/>
              <w:bottom w:w="0" w:type="dxa"/>
              <w:right w:w="0" w:type="dxa"/>
            </w:tcMar>
            <w:hideMark/>
          </w:tcPr>
          <w:p w:rsidR="00505BCC" w:rsidRPr="00505BCC" w:rsidRDefault="00505BCC" w:rsidP="00505BCC">
            <w:pPr>
              <w:widowControl/>
              <w:numPr>
                <w:ilvl w:val="0"/>
                <w:numId w:val="5"/>
              </w:numPr>
              <w:spacing w:after="270"/>
              <w:ind w:left="0"/>
              <w:jc w:val="left"/>
              <w:rPr>
                <w:rFonts w:ascii="宋体" w:eastAsia="宋体" w:hAnsi="宋体" w:cs="宋体"/>
                <w:kern w:val="0"/>
                <w:szCs w:val="21"/>
              </w:rPr>
            </w:pPr>
            <w:r w:rsidRPr="00505BCC">
              <w:rPr>
                <w:rFonts w:ascii="宋体" w:eastAsia="宋体" w:hAnsi="宋体" w:cs="宋体"/>
                <w:kern w:val="0"/>
                <w:szCs w:val="21"/>
              </w:rPr>
              <w:t>Campus and small medium enterprise routers</w:t>
            </w:r>
          </w:p>
          <w:p w:rsidR="00505BCC" w:rsidRPr="00505BCC" w:rsidRDefault="00505BCC" w:rsidP="00505BCC">
            <w:pPr>
              <w:widowControl/>
              <w:numPr>
                <w:ilvl w:val="0"/>
                <w:numId w:val="5"/>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 xml:space="preserve">Campus and small medium enterprise </w:t>
            </w:r>
            <w:proofErr w:type="spellStart"/>
            <w:r w:rsidRPr="00505BCC">
              <w:rPr>
                <w:rFonts w:ascii="宋体" w:eastAsia="宋体" w:hAnsi="宋体" w:cs="宋体"/>
                <w:kern w:val="0"/>
                <w:szCs w:val="21"/>
              </w:rPr>
              <w:t>ethernet</w:t>
            </w:r>
            <w:proofErr w:type="spellEnd"/>
            <w:r w:rsidRPr="00505BCC">
              <w:rPr>
                <w:rFonts w:ascii="宋体" w:eastAsia="宋体" w:hAnsi="宋体" w:cs="宋体"/>
                <w:kern w:val="0"/>
                <w:szCs w:val="21"/>
              </w:rPr>
              <w:t xml:space="preserve"> switches</w:t>
            </w:r>
          </w:p>
          <w:p w:rsidR="00505BCC" w:rsidRPr="00505BCC" w:rsidRDefault="00505BCC" w:rsidP="00505BCC">
            <w:pPr>
              <w:widowControl/>
              <w:numPr>
                <w:ilvl w:val="0"/>
                <w:numId w:val="5"/>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Campus and small medium enterprise wireless access points (WAPs)</w:t>
            </w:r>
          </w:p>
          <w:p w:rsidR="00505BCC" w:rsidRPr="00505BCC" w:rsidRDefault="00505BCC" w:rsidP="00505BCC">
            <w:pPr>
              <w:widowControl/>
              <w:numPr>
                <w:ilvl w:val="0"/>
                <w:numId w:val="5"/>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Network appliances (firewalls, and load balancers)</w:t>
            </w:r>
          </w:p>
          <w:p w:rsidR="00505BCC" w:rsidRPr="00505BCC" w:rsidRDefault="00505BCC" w:rsidP="00505BCC">
            <w:pPr>
              <w:widowControl/>
              <w:numPr>
                <w:ilvl w:val="0"/>
                <w:numId w:val="5"/>
              </w:numPr>
              <w:spacing w:before="270"/>
              <w:ind w:left="0"/>
              <w:jc w:val="left"/>
              <w:rPr>
                <w:rFonts w:ascii="宋体" w:eastAsia="宋体" w:hAnsi="宋体" w:cs="宋体"/>
                <w:kern w:val="0"/>
                <w:szCs w:val="21"/>
              </w:rPr>
            </w:pPr>
            <w:r w:rsidRPr="00505BCC">
              <w:rPr>
                <w:rFonts w:ascii="宋体" w:eastAsia="宋体" w:hAnsi="宋体" w:cs="宋体"/>
                <w:kern w:val="0"/>
                <w:szCs w:val="21"/>
              </w:rPr>
              <w:t>Workstations</w:t>
            </w:r>
          </w:p>
        </w:tc>
      </w:tr>
      <w:tr w:rsidR="00505BCC" w:rsidRPr="00505BCC" w:rsidTr="00505BCC">
        <w:trPr>
          <w:gridBefore w:val="1"/>
        </w:trPr>
        <w:tc>
          <w:tcPr>
            <w:tcW w:w="4384" w:type="dxa"/>
            <w:gridSpan w:val="3"/>
            <w:tcBorders>
              <w:left w:val="single" w:sz="8" w:space="0" w:color="000000"/>
              <w:bottom w:val="single" w:sz="8" w:space="0" w:color="000000"/>
            </w:tcBorders>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Carrier infrastructure</w:t>
            </w:r>
          </w:p>
        </w:tc>
        <w:tc>
          <w:tcPr>
            <w:tcW w:w="13151" w:type="dxa"/>
            <w:gridSpan w:val="2"/>
            <w:tcBorders>
              <w:left w:val="single" w:sz="8" w:space="0" w:color="000000"/>
              <w:bottom w:val="single" w:sz="8" w:space="0" w:color="000000"/>
              <w:right w:val="single" w:sz="8" w:space="0" w:color="000000"/>
            </w:tcBorders>
            <w:tcMar>
              <w:top w:w="0" w:type="dxa"/>
              <w:left w:w="0" w:type="dxa"/>
              <w:bottom w:w="0" w:type="dxa"/>
              <w:right w:w="0" w:type="dxa"/>
            </w:tcMar>
            <w:hideMark/>
          </w:tcPr>
          <w:p w:rsidR="00505BCC" w:rsidRPr="00505BCC" w:rsidRDefault="00505BCC" w:rsidP="00505BCC">
            <w:pPr>
              <w:widowControl/>
              <w:numPr>
                <w:ilvl w:val="0"/>
                <w:numId w:val="6"/>
              </w:numPr>
              <w:spacing w:after="270"/>
              <w:ind w:left="0"/>
              <w:jc w:val="left"/>
              <w:rPr>
                <w:rFonts w:ascii="宋体" w:eastAsia="宋体" w:hAnsi="宋体" w:cs="宋体"/>
                <w:kern w:val="0"/>
                <w:szCs w:val="21"/>
              </w:rPr>
            </w:pPr>
            <w:r w:rsidRPr="00505BCC">
              <w:rPr>
                <w:rFonts w:ascii="宋体" w:eastAsia="宋体" w:hAnsi="宋体" w:cs="宋体"/>
                <w:kern w:val="0"/>
                <w:szCs w:val="21"/>
              </w:rPr>
              <w:t>Broadband access systems</w:t>
            </w:r>
          </w:p>
          <w:p w:rsidR="00505BCC" w:rsidRPr="00505BCC" w:rsidRDefault="00505BCC" w:rsidP="00505BCC">
            <w:pPr>
              <w:widowControl/>
              <w:numPr>
                <w:ilvl w:val="0"/>
                <w:numId w:val="6"/>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Ethernet switches</w:t>
            </w:r>
          </w:p>
          <w:p w:rsidR="00505BCC" w:rsidRPr="00505BCC" w:rsidRDefault="00505BCC" w:rsidP="00505BCC">
            <w:pPr>
              <w:widowControl/>
              <w:numPr>
                <w:ilvl w:val="0"/>
                <w:numId w:val="6"/>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Optical transport systems</w:t>
            </w:r>
          </w:p>
          <w:p w:rsidR="00505BCC" w:rsidRPr="00505BCC" w:rsidRDefault="00505BCC" w:rsidP="00505BCC">
            <w:pPr>
              <w:widowControl/>
              <w:numPr>
                <w:ilvl w:val="0"/>
                <w:numId w:val="6"/>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Routers</w:t>
            </w:r>
          </w:p>
          <w:p w:rsidR="00505BCC" w:rsidRPr="00505BCC" w:rsidRDefault="00505BCC" w:rsidP="00505BCC">
            <w:pPr>
              <w:widowControl/>
              <w:numPr>
                <w:ilvl w:val="0"/>
                <w:numId w:val="6"/>
              </w:numPr>
              <w:spacing w:before="270"/>
              <w:ind w:left="0"/>
              <w:jc w:val="left"/>
              <w:rPr>
                <w:rFonts w:ascii="宋体" w:eastAsia="宋体" w:hAnsi="宋体" w:cs="宋体"/>
                <w:kern w:val="0"/>
                <w:szCs w:val="21"/>
              </w:rPr>
            </w:pPr>
            <w:r w:rsidRPr="00505BCC">
              <w:rPr>
                <w:rFonts w:ascii="宋体" w:eastAsia="宋体" w:hAnsi="宋体" w:cs="宋体"/>
                <w:kern w:val="0"/>
                <w:szCs w:val="21"/>
              </w:rPr>
              <w:t>Wireless radio access network (RAN) systems</w:t>
            </w:r>
          </w:p>
        </w:tc>
      </w:tr>
      <w:tr w:rsidR="00505BCC" w:rsidRPr="00505BCC" w:rsidTr="00505BCC">
        <w:trPr>
          <w:gridBefore w:val="1"/>
        </w:trPr>
        <w:tc>
          <w:tcPr>
            <w:tcW w:w="4384" w:type="dxa"/>
            <w:gridSpan w:val="3"/>
            <w:tcBorders>
              <w:left w:val="single" w:sz="8" w:space="0" w:color="000000"/>
              <w:bottom w:val="single" w:sz="8" w:space="0" w:color="000000"/>
            </w:tcBorders>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Consumer</w:t>
            </w:r>
          </w:p>
        </w:tc>
        <w:tc>
          <w:tcPr>
            <w:tcW w:w="13151" w:type="dxa"/>
            <w:gridSpan w:val="2"/>
            <w:tcBorders>
              <w:left w:val="single" w:sz="8" w:space="0" w:color="000000"/>
              <w:bottom w:val="single" w:sz="8" w:space="0" w:color="000000"/>
              <w:right w:val="single" w:sz="8" w:space="0" w:color="000000"/>
            </w:tcBorders>
            <w:tcMar>
              <w:top w:w="0" w:type="dxa"/>
              <w:left w:w="0" w:type="dxa"/>
              <w:bottom w:w="0" w:type="dxa"/>
              <w:right w:w="0" w:type="dxa"/>
            </w:tcMar>
            <w:hideMark/>
          </w:tcPr>
          <w:p w:rsidR="00505BCC" w:rsidRPr="00505BCC" w:rsidRDefault="00505BCC" w:rsidP="00505BCC">
            <w:pPr>
              <w:widowControl/>
              <w:numPr>
                <w:ilvl w:val="0"/>
                <w:numId w:val="7"/>
              </w:numPr>
              <w:spacing w:after="270"/>
              <w:ind w:left="0"/>
              <w:jc w:val="left"/>
              <w:rPr>
                <w:rFonts w:ascii="宋体" w:eastAsia="宋体" w:hAnsi="宋体" w:cs="宋体"/>
                <w:kern w:val="0"/>
                <w:szCs w:val="21"/>
              </w:rPr>
            </w:pPr>
            <w:r w:rsidRPr="00505BCC">
              <w:rPr>
                <w:rFonts w:ascii="宋体" w:eastAsia="宋体" w:hAnsi="宋体" w:cs="宋体"/>
                <w:kern w:val="0"/>
                <w:szCs w:val="21"/>
              </w:rPr>
              <w:t>Broadband gateways and routers</w:t>
            </w:r>
          </w:p>
          <w:p w:rsidR="00505BCC" w:rsidRPr="00505BCC" w:rsidRDefault="00505BCC" w:rsidP="00505BCC">
            <w:pPr>
              <w:widowControl/>
              <w:numPr>
                <w:ilvl w:val="0"/>
                <w:numId w:val="7"/>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Gaming consoles</w:t>
            </w:r>
          </w:p>
          <w:p w:rsidR="00505BCC" w:rsidRPr="00505BCC" w:rsidRDefault="00505BCC" w:rsidP="00505BCC">
            <w:pPr>
              <w:widowControl/>
              <w:numPr>
                <w:ilvl w:val="0"/>
                <w:numId w:val="7"/>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Home data storage</w:t>
            </w:r>
          </w:p>
          <w:p w:rsidR="00505BCC" w:rsidRPr="00505BCC" w:rsidRDefault="00505BCC" w:rsidP="00505BCC">
            <w:pPr>
              <w:widowControl/>
              <w:numPr>
                <w:ilvl w:val="0"/>
                <w:numId w:val="7"/>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Home wireless access points (WAPs)</w:t>
            </w:r>
          </w:p>
          <w:p w:rsidR="00505BCC" w:rsidRPr="00505BCC" w:rsidRDefault="00505BCC" w:rsidP="00505BCC">
            <w:pPr>
              <w:widowControl/>
              <w:numPr>
                <w:ilvl w:val="0"/>
                <w:numId w:val="7"/>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Personal Computers (PCs)</w:t>
            </w:r>
          </w:p>
          <w:p w:rsidR="00505BCC" w:rsidRPr="00505BCC" w:rsidRDefault="00505BCC" w:rsidP="00505BCC">
            <w:pPr>
              <w:widowControl/>
              <w:numPr>
                <w:ilvl w:val="0"/>
                <w:numId w:val="7"/>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Printers</w:t>
            </w:r>
          </w:p>
          <w:p w:rsidR="00505BCC" w:rsidRPr="00505BCC" w:rsidRDefault="00505BCC" w:rsidP="00505BCC">
            <w:pPr>
              <w:widowControl/>
              <w:numPr>
                <w:ilvl w:val="0"/>
                <w:numId w:val="7"/>
              </w:numPr>
              <w:spacing w:before="270"/>
              <w:ind w:left="0"/>
              <w:jc w:val="left"/>
              <w:rPr>
                <w:rFonts w:ascii="宋体" w:eastAsia="宋体" w:hAnsi="宋体" w:cs="宋体"/>
                <w:kern w:val="0"/>
                <w:szCs w:val="21"/>
              </w:rPr>
            </w:pPr>
            <w:r w:rsidRPr="00505BCC">
              <w:rPr>
                <w:rFonts w:ascii="宋体" w:eastAsia="宋体" w:hAnsi="宋体" w:cs="宋体"/>
                <w:kern w:val="0"/>
                <w:szCs w:val="21"/>
              </w:rPr>
              <w:t>Set-top boxes</w:t>
            </w:r>
          </w:p>
        </w:tc>
      </w:tr>
      <w:tr w:rsidR="00505BCC" w:rsidRPr="00505BCC" w:rsidTr="00505BCC">
        <w:trPr>
          <w:gridBefore w:val="1"/>
        </w:trPr>
        <w:tc>
          <w:tcPr>
            <w:tcW w:w="4384" w:type="dxa"/>
            <w:gridSpan w:val="3"/>
            <w:tcBorders>
              <w:left w:val="single" w:sz="8" w:space="0" w:color="000000"/>
              <w:bottom w:val="single" w:sz="8" w:space="0" w:color="000000"/>
            </w:tcBorders>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Automotive/industrial</w:t>
            </w:r>
          </w:p>
        </w:tc>
        <w:tc>
          <w:tcPr>
            <w:tcW w:w="13151" w:type="dxa"/>
            <w:gridSpan w:val="2"/>
            <w:tcBorders>
              <w:left w:val="single" w:sz="8" w:space="0" w:color="000000"/>
              <w:bottom w:val="single" w:sz="8" w:space="0" w:color="000000"/>
              <w:right w:val="single" w:sz="8" w:space="0" w:color="000000"/>
            </w:tcBorders>
            <w:tcMar>
              <w:top w:w="0" w:type="dxa"/>
              <w:left w:w="0" w:type="dxa"/>
              <w:bottom w:w="0" w:type="dxa"/>
              <w:right w:w="0" w:type="dxa"/>
            </w:tcMar>
            <w:hideMark/>
          </w:tcPr>
          <w:p w:rsidR="00505BCC" w:rsidRPr="00505BCC" w:rsidRDefault="00505BCC" w:rsidP="00505BCC">
            <w:pPr>
              <w:widowControl/>
              <w:numPr>
                <w:ilvl w:val="0"/>
                <w:numId w:val="8"/>
              </w:numPr>
              <w:spacing w:after="270"/>
              <w:ind w:left="0"/>
              <w:jc w:val="left"/>
              <w:rPr>
                <w:rFonts w:ascii="宋体" w:eastAsia="宋体" w:hAnsi="宋体" w:cs="宋体"/>
                <w:kern w:val="0"/>
                <w:szCs w:val="21"/>
              </w:rPr>
            </w:pPr>
            <w:r w:rsidRPr="00505BCC">
              <w:rPr>
                <w:rFonts w:ascii="宋体" w:eastAsia="宋体" w:hAnsi="宋体" w:cs="宋体"/>
                <w:kern w:val="0"/>
                <w:szCs w:val="21"/>
              </w:rPr>
              <w:t>Advanced driver-assistance systems (ADAS)*</w:t>
            </w:r>
          </w:p>
          <w:p w:rsidR="00505BCC" w:rsidRPr="00505BCC" w:rsidRDefault="00505BCC" w:rsidP="00505BCC">
            <w:pPr>
              <w:widowControl/>
              <w:numPr>
                <w:ilvl w:val="0"/>
                <w:numId w:val="8"/>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Autonomous vehicles (AV)*</w:t>
            </w:r>
          </w:p>
          <w:p w:rsidR="00505BCC" w:rsidRPr="00505BCC" w:rsidRDefault="00505BCC" w:rsidP="00505BCC">
            <w:pPr>
              <w:widowControl/>
              <w:numPr>
                <w:ilvl w:val="0"/>
                <w:numId w:val="8"/>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In-vehicle networking*</w:t>
            </w:r>
          </w:p>
          <w:p w:rsidR="00505BCC" w:rsidRPr="00505BCC" w:rsidRDefault="00505BCC" w:rsidP="00505BCC">
            <w:pPr>
              <w:widowControl/>
              <w:numPr>
                <w:ilvl w:val="0"/>
                <w:numId w:val="8"/>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 xml:space="preserve">Industrial </w:t>
            </w:r>
            <w:proofErr w:type="spellStart"/>
            <w:r w:rsidRPr="00505BCC">
              <w:rPr>
                <w:rFonts w:ascii="宋体" w:eastAsia="宋体" w:hAnsi="宋体" w:cs="宋体"/>
                <w:kern w:val="0"/>
                <w:szCs w:val="21"/>
              </w:rPr>
              <w:t>ethernet</w:t>
            </w:r>
            <w:proofErr w:type="spellEnd"/>
            <w:r w:rsidRPr="00505BCC">
              <w:rPr>
                <w:rFonts w:ascii="宋体" w:eastAsia="宋体" w:hAnsi="宋体" w:cs="宋体"/>
                <w:kern w:val="0"/>
                <w:szCs w:val="21"/>
              </w:rPr>
              <w:t xml:space="preserve"> switches</w:t>
            </w:r>
          </w:p>
          <w:p w:rsidR="00505BCC" w:rsidRPr="00505BCC" w:rsidRDefault="00505BCC" w:rsidP="00505BCC">
            <w:pPr>
              <w:widowControl/>
              <w:numPr>
                <w:ilvl w:val="0"/>
                <w:numId w:val="8"/>
              </w:numPr>
              <w:spacing w:before="270" w:after="270"/>
              <w:ind w:left="0"/>
              <w:jc w:val="left"/>
              <w:rPr>
                <w:rFonts w:ascii="宋体" w:eastAsia="宋体" w:hAnsi="宋体" w:cs="宋体"/>
                <w:kern w:val="0"/>
                <w:szCs w:val="21"/>
              </w:rPr>
            </w:pPr>
            <w:r w:rsidRPr="00505BCC">
              <w:rPr>
                <w:rFonts w:ascii="宋体" w:eastAsia="宋体" w:hAnsi="宋体" w:cs="宋体"/>
                <w:kern w:val="0"/>
                <w:szCs w:val="21"/>
              </w:rPr>
              <w:t>United States military and government solutions</w:t>
            </w:r>
          </w:p>
          <w:p w:rsidR="00505BCC" w:rsidRPr="00505BCC" w:rsidRDefault="00505BCC" w:rsidP="00505BCC">
            <w:pPr>
              <w:widowControl/>
              <w:numPr>
                <w:ilvl w:val="0"/>
                <w:numId w:val="8"/>
              </w:numPr>
              <w:spacing w:before="270"/>
              <w:ind w:left="0"/>
              <w:jc w:val="left"/>
              <w:rPr>
                <w:rFonts w:ascii="宋体" w:eastAsia="宋体" w:hAnsi="宋体" w:cs="宋体"/>
                <w:kern w:val="0"/>
                <w:szCs w:val="21"/>
              </w:rPr>
            </w:pPr>
            <w:r w:rsidRPr="00505BCC">
              <w:rPr>
                <w:rFonts w:ascii="宋体" w:eastAsia="宋体" w:hAnsi="宋体" w:cs="宋体"/>
                <w:kern w:val="0"/>
                <w:szCs w:val="21"/>
              </w:rPr>
              <w:t>Video surveillance</w:t>
            </w:r>
          </w:p>
        </w:tc>
      </w:tr>
      <w:tr w:rsidR="00505BCC" w:rsidRPr="00505BCC" w:rsidTr="00505BCC">
        <w:trPr>
          <w:gridAfter w:val="1"/>
          <w:wAfter w:w="9254" w:type="dxa"/>
        </w:trPr>
        <w:tc>
          <w:tcPr>
            <w:tcW w:w="0" w:type="auto"/>
            <w:gridSpan w:val="2"/>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0" w:type="auto"/>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2"/>
            <w:tcMar>
              <w:top w:w="0" w:type="dxa"/>
              <w:left w:w="0" w:type="dxa"/>
              <w:bottom w:w="0" w:type="dxa"/>
              <w:right w:w="0" w:type="dxa"/>
            </w:tcMar>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xml:space="preserve">These customer products and applications were divested as part of the automotive </w:t>
            </w:r>
            <w:proofErr w:type="spellStart"/>
            <w:r w:rsidRPr="00505BCC">
              <w:rPr>
                <w:rFonts w:ascii="宋体" w:eastAsia="宋体" w:hAnsi="宋体" w:cs="宋体"/>
                <w:kern w:val="0"/>
                <w:szCs w:val="21"/>
              </w:rPr>
              <w:t>ethernet</w:t>
            </w:r>
            <w:proofErr w:type="spellEnd"/>
            <w:r w:rsidRPr="00505BCC">
              <w:rPr>
                <w:rFonts w:ascii="宋体" w:eastAsia="宋体" w:hAnsi="宋体" w:cs="宋体"/>
                <w:kern w:val="0"/>
                <w:szCs w:val="21"/>
              </w:rPr>
              <w:t xml:space="preserve"> business sale on August 14, 2025.</w:t>
            </w:r>
          </w:p>
        </w:tc>
      </w:tr>
    </w:tbl>
    <w:p w:rsidR="00505BCC" w:rsidRPr="00505BCC" w:rsidRDefault="00505BCC" w:rsidP="00505BCC">
      <w:pPr>
        <w:widowControl/>
        <w:shd w:val="clear" w:color="auto" w:fill="FFFFFF"/>
        <w:spacing w:after="300"/>
        <w:jc w:val="center"/>
        <w:rPr>
          <w:rFonts w:ascii="Arial" w:eastAsia="宋体" w:hAnsi="Arial" w:cs="Arial"/>
          <w:color w:val="63666A"/>
          <w:kern w:val="0"/>
          <w:sz w:val="24"/>
          <w:szCs w:val="24"/>
        </w:rPr>
      </w:pPr>
      <w:r w:rsidRPr="00505BCC">
        <w:rPr>
          <w:rFonts w:ascii="Arial" w:eastAsia="宋体" w:hAnsi="Arial" w:cs="Arial"/>
          <w:b/>
          <w:bCs/>
          <w:color w:val="63666A"/>
          <w:kern w:val="0"/>
          <w:sz w:val="24"/>
          <w:szCs w:val="24"/>
        </w:rPr>
        <w:t>Quarterly Revenue Trend (Unaudited) (Continued)</w:t>
      </w:r>
    </w:p>
    <w:tbl>
      <w:tblPr>
        <w:tblW w:w="17550" w:type="dxa"/>
        <w:tblCellMar>
          <w:top w:w="15" w:type="dxa"/>
          <w:left w:w="15" w:type="dxa"/>
          <w:bottom w:w="15" w:type="dxa"/>
          <w:right w:w="15" w:type="dxa"/>
        </w:tblCellMar>
        <w:tblLook w:val="04A0" w:firstRow="1" w:lastRow="0" w:firstColumn="1" w:lastColumn="0" w:noHBand="0" w:noVBand="1"/>
      </w:tblPr>
      <w:tblGrid>
        <w:gridCol w:w="5264"/>
        <w:gridCol w:w="351"/>
        <w:gridCol w:w="351"/>
        <w:gridCol w:w="1755"/>
        <w:gridCol w:w="351"/>
        <w:gridCol w:w="351"/>
        <w:gridCol w:w="1755"/>
        <w:gridCol w:w="1"/>
        <w:gridCol w:w="350"/>
        <w:gridCol w:w="1"/>
        <w:gridCol w:w="350"/>
        <w:gridCol w:w="1405"/>
        <w:gridCol w:w="350"/>
        <w:gridCol w:w="1"/>
        <w:gridCol w:w="350"/>
        <w:gridCol w:w="1"/>
        <w:gridCol w:w="1754"/>
        <w:gridCol w:w="1"/>
        <w:gridCol w:w="350"/>
        <w:gridCol w:w="1"/>
        <w:gridCol w:w="350"/>
        <w:gridCol w:w="1"/>
        <w:gridCol w:w="1754"/>
        <w:gridCol w:w="1"/>
        <w:gridCol w:w="351"/>
      </w:tblGrid>
      <w:tr w:rsidR="00505BCC" w:rsidRPr="00505BCC" w:rsidTr="00505BCC">
        <w:tc>
          <w:tcPr>
            <w:tcW w:w="5265"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center"/>
            <w:hideMark/>
          </w:tcPr>
          <w:p w:rsidR="00505BCC" w:rsidRPr="00505BCC" w:rsidRDefault="00505BCC" w:rsidP="00505BCC">
            <w:pPr>
              <w:widowControl/>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11"/>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Three Months Ended</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10"/>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 Change</w:t>
            </w:r>
          </w:p>
        </w:tc>
      </w:tr>
      <w:tr w:rsidR="00505BCC" w:rsidRPr="00505BCC" w:rsidTr="00505BCC">
        <w:tc>
          <w:tcPr>
            <w:tcW w:w="5265"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Revenue by End Market</w:t>
            </w:r>
          </w:p>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(In millions)</w:t>
            </w:r>
          </w:p>
        </w:tc>
        <w:tc>
          <w:tcPr>
            <w:tcW w:w="351" w:type="dxa"/>
            <w:tcMar>
              <w:top w:w="0" w:type="dxa"/>
              <w:left w:w="0" w:type="dxa"/>
              <w:bottom w:w="0" w:type="dxa"/>
              <w:right w:w="0" w:type="dxa"/>
            </w:tcMar>
            <w:vAlign w:val="center"/>
            <w:hideMark/>
          </w:tcPr>
          <w:p w:rsidR="00505BCC" w:rsidRPr="00505BCC" w:rsidRDefault="00505BCC" w:rsidP="00505BCC">
            <w:pPr>
              <w:widowControl/>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2"/>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1,</w:t>
            </w:r>
            <w:r w:rsidRPr="00505BCC">
              <w:rPr>
                <w:rFonts w:ascii="宋体" w:eastAsia="宋体" w:hAnsi="宋体" w:cs="宋体"/>
                <w:kern w:val="0"/>
                <w:szCs w:val="21"/>
              </w:rPr>
              <w:br/>
            </w:r>
            <w:r w:rsidRPr="00505BCC">
              <w:rPr>
                <w:rFonts w:ascii="宋体" w:eastAsia="宋体" w:hAnsi="宋体" w:cs="宋体"/>
                <w:b/>
                <w:bCs/>
                <w:kern w:val="0"/>
                <w:szCs w:val="21"/>
              </w:rPr>
              <w:t>2025</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2"/>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August 2,</w:t>
            </w:r>
            <w:r w:rsidRPr="00505BCC">
              <w:rPr>
                <w:rFonts w:ascii="宋体" w:eastAsia="宋体" w:hAnsi="宋体" w:cs="宋体"/>
                <w:kern w:val="0"/>
                <w:szCs w:val="21"/>
              </w:rPr>
              <w:br/>
            </w:r>
            <w:r w:rsidRPr="00505BCC">
              <w:rPr>
                <w:rFonts w:ascii="宋体" w:eastAsia="宋体" w:hAnsi="宋体" w:cs="宋体"/>
                <w:b/>
                <w:bCs/>
                <w:kern w:val="0"/>
                <w:szCs w:val="21"/>
              </w:rPr>
              <w:t>2025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2,</w:t>
            </w:r>
            <w:r w:rsidRPr="00505BCC">
              <w:rPr>
                <w:rFonts w:ascii="宋体" w:eastAsia="宋体" w:hAnsi="宋体" w:cs="宋体"/>
                <w:kern w:val="0"/>
                <w:szCs w:val="21"/>
              </w:rPr>
              <w:br/>
            </w:r>
            <w:r w:rsidRPr="00505BCC">
              <w:rPr>
                <w:rFonts w:ascii="宋体" w:eastAsia="宋体" w:hAnsi="宋体" w:cs="宋体"/>
                <w:b/>
                <w:bCs/>
                <w:kern w:val="0"/>
                <w:szCs w:val="21"/>
              </w:rPr>
              <w:t>2024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proofErr w:type="spellStart"/>
            <w:r w:rsidRPr="00505BCC">
              <w:rPr>
                <w:rFonts w:ascii="宋体" w:eastAsia="宋体" w:hAnsi="宋体" w:cs="宋体"/>
                <w:b/>
                <w:bCs/>
                <w:kern w:val="0"/>
                <w:szCs w:val="21"/>
              </w:rPr>
              <w:t>YoY</w:t>
            </w:r>
            <w:proofErr w:type="spellEnd"/>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proofErr w:type="spellStart"/>
            <w:r w:rsidRPr="00505BCC">
              <w:rPr>
                <w:rFonts w:ascii="宋体" w:eastAsia="宋体" w:hAnsi="宋体" w:cs="宋体"/>
                <w:b/>
                <w:bCs/>
                <w:kern w:val="0"/>
                <w:szCs w:val="21"/>
              </w:rPr>
              <w:t>QoQ</w:t>
            </w:r>
            <w:proofErr w:type="spellEnd"/>
          </w:p>
        </w:tc>
      </w:tr>
      <w:tr w:rsidR="00505BCC" w:rsidRPr="00505BCC" w:rsidTr="00505BCC">
        <w:tc>
          <w:tcPr>
            <w:tcW w:w="5265"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Data center</w:t>
            </w:r>
          </w:p>
        </w:tc>
        <w:tc>
          <w:tcPr>
            <w:tcW w:w="351" w:type="dxa"/>
            <w:shd w:val="clear" w:color="auto" w:fill="CCEEFF"/>
            <w:tcMar>
              <w:top w:w="0" w:type="dxa"/>
              <w:left w:w="0" w:type="dxa"/>
              <w:bottom w:w="0" w:type="dxa"/>
              <w:right w:w="0" w:type="dxa"/>
            </w:tcMar>
            <w:vAlign w:val="center"/>
            <w:hideMark/>
          </w:tcPr>
          <w:p w:rsidR="00505BCC" w:rsidRPr="00505BCC" w:rsidRDefault="00505BCC" w:rsidP="00505BCC">
            <w:pPr>
              <w:widowControl/>
              <w:spacing w:after="15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1,517.9</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1,490.5</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1,101.1</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38</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w:t>
            </w:r>
          </w:p>
        </w:tc>
        <w:tc>
          <w:tcPr>
            <w:tcW w:w="352"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5"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Enterprise networking</w:t>
            </w:r>
          </w:p>
        </w:tc>
        <w:tc>
          <w:tcPr>
            <w:tcW w:w="351" w:type="dxa"/>
            <w:tcMar>
              <w:top w:w="0" w:type="dxa"/>
              <w:left w:w="0" w:type="dxa"/>
              <w:bottom w:w="0" w:type="dxa"/>
              <w:right w:w="0" w:type="dxa"/>
            </w:tcMar>
            <w:vAlign w:val="center"/>
            <w:hideMark/>
          </w:tcPr>
          <w:p w:rsidR="00505BCC" w:rsidRPr="00505BCC" w:rsidRDefault="00505BCC" w:rsidP="00505BCC">
            <w:pPr>
              <w:widowControl/>
              <w:spacing w:after="15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237.2</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193.6</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150.9</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57</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23</w:t>
            </w:r>
          </w:p>
        </w:tc>
        <w:tc>
          <w:tcPr>
            <w:tcW w:w="352"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5"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Carrier infrastructure</w:t>
            </w:r>
          </w:p>
        </w:tc>
        <w:tc>
          <w:tcPr>
            <w:tcW w:w="351" w:type="dxa"/>
            <w:shd w:val="clear" w:color="auto" w:fill="CCEEFF"/>
            <w:tcMar>
              <w:top w:w="0" w:type="dxa"/>
              <w:left w:w="0" w:type="dxa"/>
              <w:bottom w:w="0" w:type="dxa"/>
              <w:right w:w="0" w:type="dxa"/>
            </w:tcMar>
            <w:vAlign w:val="center"/>
            <w:hideMark/>
          </w:tcPr>
          <w:p w:rsidR="00505BCC" w:rsidRPr="00505BCC" w:rsidRDefault="00505BCC" w:rsidP="00505BCC">
            <w:pPr>
              <w:widowControl/>
              <w:spacing w:after="15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167.8</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130.1</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84.7</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98</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29</w:t>
            </w:r>
          </w:p>
        </w:tc>
        <w:tc>
          <w:tcPr>
            <w:tcW w:w="352"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5"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Consumer</w:t>
            </w:r>
          </w:p>
        </w:tc>
        <w:tc>
          <w:tcPr>
            <w:tcW w:w="351" w:type="dxa"/>
            <w:tcMar>
              <w:top w:w="0" w:type="dxa"/>
              <w:left w:w="0" w:type="dxa"/>
              <w:bottom w:w="0" w:type="dxa"/>
              <w:right w:w="0" w:type="dxa"/>
            </w:tcMar>
            <w:vAlign w:val="center"/>
            <w:hideMark/>
          </w:tcPr>
          <w:p w:rsidR="00505BCC" w:rsidRPr="00505BCC" w:rsidRDefault="00505BCC" w:rsidP="00505BCC">
            <w:pPr>
              <w:widowControl/>
              <w:spacing w:after="15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116.6</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115.9</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96.5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21</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w:t>
            </w:r>
          </w:p>
        </w:tc>
        <w:tc>
          <w:tcPr>
            <w:tcW w:w="352"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5"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Automotive/industrial</w:t>
            </w:r>
          </w:p>
        </w:tc>
        <w:tc>
          <w:tcPr>
            <w:tcW w:w="351" w:type="dxa"/>
            <w:shd w:val="clear" w:color="auto" w:fill="CCEEFF"/>
            <w:tcMar>
              <w:top w:w="0" w:type="dxa"/>
              <w:left w:w="0" w:type="dxa"/>
              <w:bottom w:w="0" w:type="dxa"/>
              <w:right w:w="0" w:type="dxa"/>
            </w:tcMar>
            <w:vAlign w:val="center"/>
            <w:hideMark/>
          </w:tcPr>
          <w:p w:rsidR="00505BCC" w:rsidRPr="00505BCC" w:rsidRDefault="00505BCC" w:rsidP="00505BCC">
            <w:pPr>
              <w:widowControl/>
              <w:spacing w:after="15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35.0</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76.0</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82.9</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(58</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(54</w:t>
            </w:r>
          </w:p>
        </w:tc>
        <w:tc>
          <w:tcPr>
            <w:tcW w:w="352"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5"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Total Net Revenue</w:t>
            </w:r>
          </w:p>
        </w:tc>
        <w:tc>
          <w:tcPr>
            <w:tcW w:w="351" w:type="dxa"/>
            <w:tcMar>
              <w:top w:w="0" w:type="dxa"/>
              <w:left w:w="0" w:type="dxa"/>
              <w:bottom w:w="0" w:type="dxa"/>
              <w:right w:w="0" w:type="dxa"/>
            </w:tcMar>
            <w:vAlign w:val="center"/>
            <w:hideMark/>
          </w:tcPr>
          <w:p w:rsidR="00505BCC" w:rsidRPr="00505BCC" w:rsidRDefault="00505BCC" w:rsidP="00505BCC">
            <w:pPr>
              <w:widowControl/>
              <w:spacing w:after="15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2,074.5</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2,006.1</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1,516.1</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37</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w:t>
            </w:r>
          </w:p>
        </w:tc>
        <w:tc>
          <w:tcPr>
            <w:tcW w:w="352"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10179" w:type="dxa"/>
            <w:gridSpan w:val="8"/>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15"/>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Three Months Ended</w:t>
            </w:r>
          </w:p>
        </w:tc>
      </w:tr>
      <w:tr w:rsidR="00505BCC" w:rsidRPr="00505BCC" w:rsidTr="00505BCC">
        <w:tc>
          <w:tcPr>
            <w:tcW w:w="10179" w:type="dxa"/>
            <w:gridSpan w:val="8"/>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Revenue by End Market</w:t>
            </w:r>
          </w:p>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 of Total</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1,</w:t>
            </w:r>
            <w:r w:rsidRPr="00505BCC">
              <w:rPr>
                <w:rFonts w:ascii="宋体" w:eastAsia="宋体" w:hAnsi="宋体" w:cs="宋体"/>
                <w:kern w:val="0"/>
                <w:szCs w:val="21"/>
              </w:rPr>
              <w:br/>
            </w:r>
            <w:r w:rsidRPr="00505BCC">
              <w:rPr>
                <w:rFonts w:ascii="宋体" w:eastAsia="宋体" w:hAnsi="宋体" w:cs="宋体"/>
                <w:b/>
                <w:bCs/>
                <w:kern w:val="0"/>
                <w:szCs w:val="21"/>
              </w:rPr>
              <w:t>2025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August 2,</w:t>
            </w:r>
            <w:r w:rsidRPr="00505BCC">
              <w:rPr>
                <w:rFonts w:ascii="宋体" w:eastAsia="宋体" w:hAnsi="宋体" w:cs="宋体"/>
                <w:kern w:val="0"/>
                <w:szCs w:val="21"/>
              </w:rPr>
              <w:br/>
            </w:r>
            <w:r w:rsidRPr="00505BCC">
              <w:rPr>
                <w:rFonts w:ascii="宋体" w:eastAsia="宋体" w:hAnsi="宋体" w:cs="宋体"/>
                <w:b/>
                <w:bCs/>
                <w:kern w:val="0"/>
                <w:szCs w:val="21"/>
              </w:rPr>
              <w:t>2025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3"/>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2,</w:t>
            </w:r>
            <w:r w:rsidRPr="00505BCC">
              <w:rPr>
                <w:rFonts w:ascii="宋体" w:eastAsia="宋体" w:hAnsi="宋体" w:cs="宋体"/>
                <w:kern w:val="0"/>
                <w:szCs w:val="21"/>
              </w:rPr>
              <w:br/>
            </w:r>
            <w:r w:rsidRPr="00505BCC">
              <w:rPr>
                <w:rFonts w:ascii="宋体" w:eastAsia="宋体" w:hAnsi="宋体" w:cs="宋体"/>
                <w:b/>
                <w:bCs/>
                <w:kern w:val="0"/>
                <w:szCs w:val="21"/>
              </w:rPr>
              <w:t>2024</w:t>
            </w:r>
          </w:p>
        </w:tc>
      </w:tr>
      <w:tr w:rsidR="00505BCC" w:rsidRPr="00505BCC" w:rsidTr="00505BCC">
        <w:tc>
          <w:tcPr>
            <w:tcW w:w="10179" w:type="dxa"/>
            <w:gridSpan w:val="8"/>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Data center</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73</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74</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73</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10179" w:type="dxa"/>
            <w:gridSpan w:val="8"/>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Enterprise networking</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10179" w:type="dxa"/>
            <w:gridSpan w:val="8"/>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Carrier infrastructure</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10179" w:type="dxa"/>
            <w:gridSpan w:val="8"/>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Consumer</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6</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10179" w:type="dxa"/>
            <w:gridSpan w:val="8"/>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Automotive/industrial</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w:t>
            </w:r>
          </w:p>
        </w:tc>
        <w:tc>
          <w:tcPr>
            <w:tcW w:w="351"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w:t>
            </w:r>
          </w:p>
        </w:tc>
        <w:tc>
          <w:tcPr>
            <w:tcW w:w="351" w:type="dxa"/>
            <w:tcBorders>
              <w:bottom w:val="single" w:sz="8" w:space="0" w:color="000000"/>
            </w:tcBorders>
            <w:shd w:val="clear" w:color="auto" w:fill="CCEEFF"/>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10179" w:type="dxa"/>
            <w:gridSpan w:val="8"/>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Total Net Revenue</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100</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100</w:t>
            </w:r>
          </w:p>
        </w:tc>
        <w:tc>
          <w:tcPr>
            <w:tcW w:w="351"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100</w:t>
            </w:r>
          </w:p>
        </w:tc>
        <w:tc>
          <w:tcPr>
            <w:tcW w:w="351" w:type="dxa"/>
            <w:tcBorders>
              <w:bottom w:val="double" w:sz="6" w:space="0" w:color="000000"/>
            </w:tcBorders>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bl>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Beginning in the fourth quarter of fiscal 2026, the Company will consolidate revenue previously reported separately as enterprise networking, carrier infrastructure, consumer and automotive/industrial end markets into a new communications and other end market, as shown below. The composition of our data center end market remains unchanged.</w:t>
      </w:r>
    </w:p>
    <w:tbl>
      <w:tblPr>
        <w:tblW w:w="17550" w:type="dxa"/>
        <w:tblCellMar>
          <w:top w:w="15" w:type="dxa"/>
          <w:left w:w="15" w:type="dxa"/>
          <w:bottom w:w="15" w:type="dxa"/>
          <w:right w:w="15" w:type="dxa"/>
        </w:tblCellMar>
        <w:tblLook w:val="04A0" w:firstRow="1" w:lastRow="0" w:firstColumn="1" w:lastColumn="0" w:noHBand="0" w:noVBand="1"/>
      </w:tblPr>
      <w:tblGrid>
        <w:gridCol w:w="5264"/>
        <w:gridCol w:w="351"/>
        <w:gridCol w:w="351"/>
        <w:gridCol w:w="1755"/>
        <w:gridCol w:w="351"/>
        <w:gridCol w:w="351"/>
        <w:gridCol w:w="1755"/>
        <w:gridCol w:w="1"/>
        <w:gridCol w:w="350"/>
        <w:gridCol w:w="1"/>
        <w:gridCol w:w="350"/>
        <w:gridCol w:w="1405"/>
        <w:gridCol w:w="350"/>
        <w:gridCol w:w="1"/>
        <w:gridCol w:w="350"/>
        <w:gridCol w:w="1"/>
        <w:gridCol w:w="1754"/>
        <w:gridCol w:w="1"/>
        <w:gridCol w:w="350"/>
        <w:gridCol w:w="1"/>
        <w:gridCol w:w="350"/>
        <w:gridCol w:w="1"/>
        <w:gridCol w:w="1754"/>
        <w:gridCol w:w="1"/>
        <w:gridCol w:w="351"/>
      </w:tblGrid>
      <w:tr w:rsidR="00505BCC" w:rsidRPr="00505BCC" w:rsidTr="00505BCC">
        <w:tc>
          <w:tcPr>
            <w:tcW w:w="5265"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tcMar>
              <w:top w:w="0" w:type="dxa"/>
              <w:left w:w="0" w:type="dxa"/>
              <w:bottom w:w="0" w:type="dxa"/>
              <w:right w:w="0" w:type="dxa"/>
            </w:tcMar>
            <w:vAlign w:val="center"/>
            <w:hideMark/>
          </w:tcPr>
          <w:p w:rsidR="00505BCC" w:rsidRPr="00505BCC" w:rsidRDefault="00505BCC" w:rsidP="00505BCC">
            <w:pPr>
              <w:widowControl/>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11"/>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Three Months Ended</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10"/>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 Change</w:t>
            </w:r>
          </w:p>
        </w:tc>
      </w:tr>
      <w:tr w:rsidR="00505BCC" w:rsidRPr="00505BCC" w:rsidTr="00505BCC">
        <w:tc>
          <w:tcPr>
            <w:tcW w:w="5265"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Revenue by End Market</w:t>
            </w:r>
          </w:p>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(In millions)</w:t>
            </w:r>
          </w:p>
        </w:tc>
        <w:tc>
          <w:tcPr>
            <w:tcW w:w="351" w:type="dxa"/>
            <w:tcMar>
              <w:top w:w="0" w:type="dxa"/>
              <w:left w:w="0" w:type="dxa"/>
              <w:bottom w:w="0" w:type="dxa"/>
              <w:right w:w="0" w:type="dxa"/>
            </w:tcMar>
            <w:vAlign w:val="center"/>
            <w:hideMark/>
          </w:tcPr>
          <w:p w:rsidR="00505BCC" w:rsidRPr="00505BCC" w:rsidRDefault="00505BCC" w:rsidP="00505BCC">
            <w:pPr>
              <w:widowControl/>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2"/>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1,</w:t>
            </w:r>
            <w:r w:rsidRPr="00505BCC">
              <w:rPr>
                <w:rFonts w:ascii="宋体" w:eastAsia="宋体" w:hAnsi="宋体" w:cs="宋体"/>
                <w:kern w:val="0"/>
                <w:szCs w:val="21"/>
              </w:rPr>
              <w:br/>
            </w:r>
            <w:r w:rsidRPr="00505BCC">
              <w:rPr>
                <w:rFonts w:ascii="宋体" w:eastAsia="宋体" w:hAnsi="宋体" w:cs="宋体"/>
                <w:b/>
                <w:bCs/>
                <w:kern w:val="0"/>
                <w:szCs w:val="21"/>
              </w:rPr>
              <w:t>2025</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2"/>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August 2,</w:t>
            </w:r>
            <w:r w:rsidRPr="00505BCC">
              <w:rPr>
                <w:rFonts w:ascii="宋体" w:eastAsia="宋体" w:hAnsi="宋体" w:cs="宋体"/>
                <w:kern w:val="0"/>
                <w:szCs w:val="21"/>
              </w:rPr>
              <w:br/>
            </w:r>
            <w:r w:rsidRPr="00505BCC">
              <w:rPr>
                <w:rFonts w:ascii="宋体" w:eastAsia="宋体" w:hAnsi="宋体" w:cs="宋体"/>
                <w:b/>
                <w:bCs/>
                <w:kern w:val="0"/>
                <w:szCs w:val="21"/>
              </w:rPr>
              <w:t>2025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2,</w:t>
            </w:r>
            <w:r w:rsidRPr="00505BCC">
              <w:rPr>
                <w:rFonts w:ascii="宋体" w:eastAsia="宋体" w:hAnsi="宋体" w:cs="宋体"/>
                <w:kern w:val="0"/>
                <w:szCs w:val="21"/>
              </w:rPr>
              <w:br/>
            </w:r>
            <w:r w:rsidRPr="00505BCC">
              <w:rPr>
                <w:rFonts w:ascii="宋体" w:eastAsia="宋体" w:hAnsi="宋体" w:cs="宋体"/>
                <w:b/>
                <w:bCs/>
                <w:kern w:val="0"/>
                <w:szCs w:val="21"/>
              </w:rPr>
              <w:t>2024</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proofErr w:type="spellStart"/>
            <w:r w:rsidRPr="00505BCC">
              <w:rPr>
                <w:rFonts w:ascii="宋体" w:eastAsia="宋体" w:hAnsi="宋体" w:cs="宋体"/>
                <w:b/>
                <w:bCs/>
                <w:kern w:val="0"/>
                <w:szCs w:val="21"/>
              </w:rPr>
              <w:t>YoY</w:t>
            </w:r>
            <w:proofErr w:type="spellEnd"/>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proofErr w:type="spellStart"/>
            <w:r w:rsidRPr="00505BCC">
              <w:rPr>
                <w:rFonts w:ascii="宋体" w:eastAsia="宋体" w:hAnsi="宋体" w:cs="宋体"/>
                <w:b/>
                <w:bCs/>
                <w:kern w:val="0"/>
                <w:szCs w:val="21"/>
              </w:rPr>
              <w:t>QoQ</w:t>
            </w:r>
            <w:proofErr w:type="spellEnd"/>
          </w:p>
        </w:tc>
      </w:tr>
      <w:tr w:rsidR="00505BCC" w:rsidRPr="00505BCC" w:rsidTr="00505BCC">
        <w:tc>
          <w:tcPr>
            <w:tcW w:w="5265"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Data center</w:t>
            </w:r>
          </w:p>
        </w:tc>
        <w:tc>
          <w:tcPr>
            <w:tcW w:w="351" w:type="dxa"/>
            <w:shd w:val="clear" w:color="auto" w:fill="CCEEFF"/>
            <w:tcMar>
              <w:top w:w="0" w:type="dxa"/>
              <w:left w:w="0" w:type="dxa"/>
              <w:bottom w:w="0" w:type="dxa"/>
              <w:right w:w="0" w:type="dxa"/>
            </w:tcMar>
            <w:vAlign w:val="center"/>
            <w:hideMark/>
          </w:tcPr>
          <w:p w:rsidR="00505BCC" w:rsidRPr="00505BCC" w:rsidRDefault="00505BCC" w:rsidP="00505BCC">
            <w:pPr>
              <w:widowControl/>
              <w:spacing w:after="150"/>
              <w:jc w:val="lef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1,517.9</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1,490.5</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1,101.1</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38</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w:t>
            </w:r>
          </w:p>
        </w:tc>
        <w:tc>
          <w:tcPr>
            <w:tcW w:w="352"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5" w:type="dxa"/>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Communications and other</w:t>
            </w:r>
          </w:p>
        </w:tc>
        <w:tc>
          <w:tcPr>
            <w:tcW w:w="351" w:type="dxa"/>
            <w:tcMar>
              <w:top w:w="0" w:type="dxa"/>
              <w:left w:w="0" w:type="dxa"/>
              <w:bottom w:w="0" w:type="dxa"/>
              <w:right w:w="0" w:type="dxa"/>
            </w:tcMar>
            <w:vAlign w:val="center"/>
            <w:hideMark/>
          </w:tcPr>
          <w:p w:rsidR="00505BCC" w:rsidRPr="00505BCC" w:rsidRDefault="00505BCC" w:rsidP="00505BCC">
            <w:pPr>
              <w:widowControl/>
              <w:spacing w:after="15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556.6</w:t>
            </w:r>
          </w:p>
        </w:tc>
        <w:tc>
          <w:tcPr>
            <w:tcW w:w="351" w:type="dxa"/>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515.6</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415.0</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34</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8</w:t>
            </w:r>
          </w:p>
        </w:tc>
        <w:tc>
          <w:tcPr>
            <w:tcW w:w="352"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5265"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Total Net Revenue</w:t>
            </w:r>
          </w:p>
        </w:tc>
        <w:tc>
          <w:tcPr>
            <w:tcW w:w="351" w:type="dxa"/>
            <w:shd w:val="clear" w:color="auto" w:fill="CCEEFF"/>
            <w:tcMar>
              <w:top w:w="0" w:type="dxa"/>
              <w:left w:w="0" w:type="dxa"/>
              <w:bottom w:w="0" w:type="dxa"/>
              <w:right w:w="0" w:type="dxa"/>
            </w:tcMar>
            <w:vAlign w:val="center"/>
            <w:hideMark/>
          </w:tcPr>
          <w:p w:rsidR="00505BCC" w:rsidRPr="00505BCC" w:rsidRDefault="00505BCC" w:rsidP="00505BCC">
            <w:pPr>
              <w:widowControl/>
              <w:spacing w:after="150"/>
              <w:jc w:val="lef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2,074.5</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2,006.1</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w:t>
            </w:r>
          </w:p>
        </w:tc>
        <w:tc>
          <w:tcPr>
            <w:tcW w:w="1755"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1,516.1</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37</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3</w:t>
            </w:r>
          </w:p>
        </w:tc>
        <w:tc>
          <w:tcPr>
            <w:tcW w:w="352"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10179" w:type="dxa"/>
            <w:gridSpan w:val="8"/>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15"/>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Three Months Ended</w:t>
            </w:r>
          </w:p>
        </w:tc>
      </w:tr>
      <w:tr w:rsidR="00505BCC" w:rsidRPr="00505BCC" w:rsidTr="00505BCC">
        <w:tc>
          <w:tcPr>
            <w:tcW w:w="10179" w:type="dxa"/>
            <w:gridSpan w:val="8"/>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Revenue by End Market</w:t>
            </w:r>
          </w:p>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 of Total</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1,</w:t>
            </w:r>
            <w:r w:rsidRPr="00505BCC">
              <w:rPr>
                <w:rFonts w:ascii="宋体" w:eastAsia="宋体" w:hAnsi="宋体" w:cs="宋体"/>
                <w:kern w:val="0"/>
                <w:szCs w:val="21"/>
              </w:rPr>
              <w:br/>
            </w:r>
            <w:r w:rsidRPr="00505BCC">
              <w:rPr>
                <w:rFonts w:ascii="宋体" w:eastAsia="宋体" w:hAnsi="宋体" w:cs="宋体"/>
                <w:b/>
                <w:bCs/>
                <w:kern w:val="0"/>
                <w:szCs w:val="21"/>
              </w:rPr>
              <w:t>2025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4"/>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August 2,</w:t>
            </w:r>
            <w:r w:rsidRPr="00505BCC">
              <w:rPr>
                <w:rFonts w:ascii="宋体" w:eastAsia="宋体" w:hAnsi="宋体" w:cs="宋体"/>
                <w:kern w:val="0"/>
                <w:szCs w:val="21"/>
              </w:rPr>
              <w:br/>
            </w:r>
            <w:r w:rsidRPr="00505BCC">
              <w:rPr>
                <w:rFonts w:ascii="宋体" w:eastAsia="宋体" w:hAnsi="宋体" w:cs="宋体"/>
                <w:b/>
                <w:bCs/>
                <w:kern w:val="0"/>
                <w:szCs w:val="21"/>
              </w:rPr>
              <w:t>2025</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0" w:type="auto"/>
            <w:gridSpan w:val="3"/>
            <w:tcBorders>
              <w:bottom w:val="single" w:sz="8" w:space="0" w:color="000000"/>
            </w:tcBorders>
            <w:tcMar>
              <w:top w:w="0" w:type="dxa"/>
              <w:left w:w="0" w:type="dxa"/>
              <w:bottom w:w="0" w:type="dxa"/>
              <w:right w:w="0" w:type="dxa"/>
            </w:tcMar>
            <w:vAlign w:val="bottom"/>
            <w:hideMark/>
          </w:tcPr>
          <w:p w:rsidR="00505BCC" w:rsidRPr="00505BCC" w:rsidRDefault="00505BCC" w:rsidP="00505BCC">
            <w:pPr>
              <w:widowControl/>
              <w:spacing w:after="300"/>
              <w:jc w:val="center"/>
              <w:rPr>
                <w:rFonts w:ascii="宋体" w:eastAsia="宋体" w:hAnsi="宋体" w:cs="宋体"/>
                <w:kern w:val="0"/>
                <w:szCs w:val="21"/>
              </w:rPr>
            </w:pPr>
            <w:r w:rsidRPr="00505BCC">
              <w:rPr>
                <w:rFonts w:ascii="宋体" w:eastAsia="宋体" w:hAnsi="宋体" w:cs="宋体"/>
                <w:b/>
                <w:bCs/>
                <w:kern w:val="0"/>
                <w:szCs w:val="21"/>
              </w:rPr>
              <w:t>November 2,</w:t>
            </w:r>
            <w:r w:rsidRPr="00505BCC">
              <w:rPr>
                <w:rFonts w:ascii="宋体" w:eastAsia="宋体" w:hAnsi="宋体" w:cs="宋体"/>
                <w:kern w:val="0"/>
                <w:szCs w:val="21"/>
              </w:rPr>
              <w:br/>
            </w:r>
            <w:r w:rsidRPr="00505BCC">
              <w:rPr>
                <w:rFonts w:ascii="宋体" w:eastAsia="宋体" w:hAnsi="宋体" w:cs="宋体"/>
                <w:b/>
                <w:bCs/>
                <w:kern w:val="0"/>
                <w:szCs w:val="21"/>
              </w:rPr>
              <w:t>2024</w:t>
            </w:r>
          </w:p>
        </w:tc>
      </w:tr>
      <w:tr w:rsidR="00505BCC" w:rsidRPr="00505BCC" w:rsidTr="00505BCC">
        <w:tc>
          <w:tcPr>
            <w:tcW w:w="10179" w:type="dxa"/>
            <w:gridSpan w:val="8"/>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Data center</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73</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74</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73</w:t>
            </w:r>
          </w:p>
        </w:tc>
        <w:tc>
          <w:tcPr>
            <w:tcW w:w="351" w:type="dxa"/>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10179" w:type="dxa"/>
            <w:gridSpan w:val="8"/>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Communications and other</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27</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26</w:t>
            </w:r>
          </w:p>
        </w:tc>
        <w:tc>
          <w:tcPr>
            <w:tcW w:w="351"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27</w:t>
            </w:r>
          </w:p>
        </w:tc>
        <w:tc>
          <w:tcPr>
            <w:tcW w:w="351" w:type="dxa"/>
            <w:tcBorders>
              <w:bottom w:val="single" w:sz="8" w:space="0" w:color="000000"/>
            </w:tcBorders>
            <w:tcMar>
              <w:top w:w="0" w:type="dxa"/>
              <w:left w:w="0" w:type="dxa"/>
              <w:bottom w:w="6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r w:rsidR="00505BCC" w:rsidRPr="00505BCC" w:rsidTr="00505BCC">
        <w:tc>
          <w:tcPr>
            <w:tcW w:w="10179" w:type="dxa"/>
            <w:gridSpan w:val="8"/>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b/>
                <w:bCs/>
                <w:kern w:val="0"/>
                <w:szCs w:val="21"/>
              </w:rPr>
              <w:t>Total Net Revenue</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100</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100</w:t>
            </w:r>
          </w:p>
        </w:tc>
        <w:tc>
          <w:tcPr>
            <w:tcW w:w="351"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c>
          <w:tcPr>
            <w:tcW w:w="351" w:type="dxa"/>
            <w:gridSpan w:val="2"/>
            <w:shd w:val="clear" w:color="auto" w:fill="CCEEFF"/>
            <w:tcMar>
              <w:top w:w="0" w:type="dxa"/>
              <w:left w:w="0" w:type="dxa"/>
              <w:bottom w:w="0"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 </w:t>
            </w:r>
          </w:p>
        </w:tc>
        <w:tc>
          <w:tcPr>
            <w:tcW w:w="1755" w:type="dxa"/>
            <w:gridSpan w:val="2"/>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right"/>
              <w:rPr>
                <w:rFonts w:ascii="宋体" w:eastAsia="宋体" w:hAnsi="宋体" w:cs="宋体"/>
                <w:kern w:val="0"/>
                <w:szCs w:val="21"/>
              </w:rPr>
            </w:pPr>
            <w:r w:rsidRPr="00505BCC">
              <w:rPr>
                <w:rFonts w:ascii="宋体" w:eastAsia="宋体" w:hAnsi="宋体" w:cs="宋体"/>
                <w:kern w:val="0"/>
                <w:szCs w:val="21"/>
              </w:rPr>
              <w:t>100</w:t>
            </w:r>
          </w:p>
        </w:tc>
        <w:tc>
          <w:tcPr>
            <w:tcW w:w="351" w:type="dxa"/>
            <w:tcBorders>
              <w:bottom w:val="double" w:sz="6" w:space="0" w:color="000000"/>
            </w:tcBorders>
            <w:shd w:val="clear" w:color="auto" w:fill="CCEEFF"/>
            <w:tcMar>
              <w:top w:w="0" w:type="dxa"/>
              <w:left w:w="0" w:type="dxa"/>
              <w:bottom w:w="75" w:type="dxa"/>
              <w:right w:w="0" w:type="dxa"/>
            </w:tcMar>
            <w:vAlign w:val="bottom"/>
            <w:hideMark/>
          </w:tcPr>
          <w:p w:rsidR="00505BCC" w:rsidRPr="00505BCC" w:rsidRDefault="00505BCC" w:rsidP="00505BCC">
            <w:pPr>
              <w:widowControl/>
              <w:spacing w:after="300"/>
              <w:jc w:val="left"/>
              <w:rPr>
                <w:rFonts w:ascii="宋体" w:eastAsia="宋体" w:hAnsi="宋体" w:cs="宋体"/>
                <w:kern w:val="0"/>
                <w:szCs w:val="21"/>
              </w:rPr>
            </w:pPr>
            <w:r w:rsidRPr="00505BCC">
              <w:rPr>
                <w:rFonts w:ascii="宋体" w:eastAsia="宋体" w:hAnsi="宋体" w:cs="宋体"/>
                <w:kern w:val="0"/>
                <w:szCs w:val="21"/>
              </w:rPr>
              <w:t>%</w:t>
            </w:r>
          </w:p>
        </w:tc>
      </w:tr>
    </w:tbl>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 </w:t>
      </w:r>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View source version on businesswire.com: </w:t>
      </w:r>
      <w:hyperlink r:id="rId6" w:history="1">
        <w:r w:rsidRPr="00505BCC">
          <w:rPr>
            <w:rFonts w:ascii="Arial" w:eastAsia="宋体" w:hAnsi="Arial" w:cs="Arial"/>
            <w:color w:val="0072CE"/>
            <w:kern w:val="0"/>
            <w:sz w:val="24"/>
            <w:szCs w:val="24"/>
            <w:u w:val="single"/>
          </w:rPr>
          <w:t>https://www.businesswire.com/news/home/20251202276192/en/</w:t>
        </w:r>
      </w:hyperlink>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For further information, contact</w:t>
      </w:r>
      <w:proofErr w:type="gramStart"/>
      <w:r w:rsidRPr="00505BCC">
        <w:rPr>
          <w:rFonts w:ascii="Arial" w:eastAsia="宋体" w:hAnsi="Arial" w:cs="Arial"/>
          <w:color w:val="63666A"/>
          <w:kern w:val="0"/>
          <w:sz w:val="24"/>
          <w:szCs w:val="24"/>
        </w:rPr>
        <w:t>:</w:t>
      </w:r>
      <w:proofErr w:type="gramEnd"/>
      <w:r w:rsidRPr="00505BCC">
        <w:rPr>
          <w:rFonts w:ascii="Arial" w:eastAsia="宋体" w:hAnsi="Arial" w:cs="Arial"/>
          <w:color w:val="63666A"/>
          <w:kern w:val="0"/>
          <w:sz w:val="24"/>
          <w:szCs w:val="24"/>
        </w:rPr>
        <w:br/>
        <w:t>Ashish Saran</w:t>
      </w:r>
      <w:r w:rsidRPr="00505BCC">
        <w:rPr>
          <w:rFonts w:ascii="Arial" w:eastAsia="宋体" w:hAnsi="Arial" w:cs="Arial"/>
          <w:color w:val="63666A"/>
          <w:kern w:val="0"/>
          <w:sz w:val="24"/>
          <w:szCs w:val="24"/>
        </w:rPr>
        <w:br/>
        <w:t>Senior Vice President, Investor Relations</w:t>
      </w:r>
      <w:r w:rsidRPr="00505BCC">
        <w:rPr>
          <w:rFonts w:ascii="Arial" w:eastAsia="宋体" w:hAnsi="Arial" w:cs="Arial"/>
          <w:color w:val="63666A"/>
          <w:kern w:val="0"/>
          <w:sz w:val="24"/>
          <w:szCs w:val="24"/>
        </w:rPr>
        <w:br/>
        <w:t>408-222-0777</w:t>
      </w:r>
      <w:r w:rsidRPr="00505BCC">
        <w:rPr>
          <w:rFonts w:ascii="Arial" w:eastAsia="宋体" w:hAnsi="Arial" w:cs="Arial"/>
          <w:color w:val="63666A"/>
          <w:kern w:val="0"/>
          <w:sz w:val="24"/>
          <w:szCs w:val="24"/>
        </w:rPr>
        <w:br/>
      </w:r>
      <w:hyperlink r:id="rId7" w:history="1">
        <w:r w:rsidRPr="00505BCC">
          <w:rPr>
            <w:rFonts w:ascii="Arial" w:eastAsia="宋体" w:hAnsi="Arial" w:cs="Arial"/>
            <w:color w:val="0072CE"/>
            <w:kern w:val="0"/>
            <w:sz w:val="24"/>
            <w:szCs w:val="24"/>
            <w:u w:val="single"/>
          </w:rPr>
          <w:t>ir@marvell.com</w:t>
        </w:r>
      </w:hyperlink>
    </w:p>
    <w:p w:rsidR="00505BCC" w:rsidRPr="00505BCC" w:rsidRDefault="00505BCC" w:rsidP="00505BCC">
      <w:pPr>
        <w:widowControl/>
        <w:shd w:val="clear" w:color="auto" w:fill="FFFFFF"/>
        <w:spacing w:after="300"/>
        <w:jc w:val="left"/>
        <w:rPr>
          <w:rFonts w:ascii="Arial" w:eastAsia="宋体" w:hAnsi="Arial" w:cs="Arial"/>
          <w:color w:val="63666A"/>
          <w:kern w:val="0"/>
          <w:sz w:val="24"/>
          <w:szCs w:val="24"/>
        </w:rPr>
      </w:pPr>
      <w:r w:rsidRPr="00505BCC">
        <w:rPr>
          <w:rFonts w:ascii="Arial" w:eastAsia="宋体" w:hAnsi="Arial" w:cs="Arial"/>
          <w:color w:val="63666A"/>
          <w:kern w:val="0"/>
          <w:sz w:val="24"/>
          <w:szCs w:val="24"/>
        </w:rPr>
        <w:t>Source: Marvell Technology, Inc.</w:t>
      </w:r>
    </w:p>
    <w:p w:rsidR="00505BCC" w:rsidRPr="00505BCC" w:rsidRDefault="00505BCC" w:rsidP="00505BCC">
      <w:pPr>
        <w:widowControl/>
        <w:shd w:val="clear" w:color="auto" w:fill="FFFFFF"/>
        <w:spacing w:after="300"/>
        <w:jc w:val="left"/>
        <w:rPr>
          <w:rFonts w:ascii="Arial" w:eastAsia="宋体" w:hAnsi="Arial" w:cs="Arial"/>
          <w:i/>
          <w:iCs/>
          <w:color w:val="63666A"/>
          <w:kern w:val="0"/>
          <w:sz w:val="24"/>
          <w:szCs w:val="24"/>
        </w:rPr>
      </w:pPr>
      <w:r w:rsidRPr="00505BCC">
        <w:rPr>
          <w:rFonts w:ascii="Arial" w:eastAsia="宋体" w:hAnsi="Arial" w:cs="Arial"/>
          <w:i/>
          <w:iCs/>
          <w:color w:val="63666A"/>
          <w:kern w:val="0"/>
          <w:sz w:val="24"/>
          <w:szCs w:val="24"/>
        </w:rPr>
        <w:t>Released December 2, 2025</w:t>
      </w:r>
    </w:p>
    <w:p w:rsidR="009738A2" w:rsidRPr="00505BCC" w:rsidRDefault="009738A2"/>
    <w:sectPr w:rsidR="009738A2" w:rsidRPr="00505BC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1C27A06"/>
    <w:multiLevelType w:val="multilevel"/>
    <w:tmpl w:val="2BCEF5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4B8F0059"/>
    <w:multiLevelType w:val="multilevel"/>
    <w:tmpl w:val="FD344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4CEE16D0"/>
    <w:multiLevelType w:val="multilevel"/>
    <w:tmpl w:val="B7CA6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5CEE5767"/>
    <w:multiLevelType w:val="multilevel"/>
    <w:tmpl w:val="B57E3D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60A42E78"/>
    <w:multiLevelType w:val="multilevel"/>
    <w:tmpl w:val="C930B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83C25BB"/>
    <w:multiLevelType w:val="multilevel"/>
    <w:tmpl w:val="80663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76B26CD8"/>
    <w:multiLevelType w:val="multilevel"/>
    <w:tmpl w:val="E63AD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794D47E6"/>
    <w:multiLevelType w:val="multilevel"/>
    <w:tmpl w:val="11E6E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4"/>
  </w:num>
  <w:num w:numId="3">
    <w:abstractNumId w:val="5"/>
  </w:num>
  <w:num w:numId="4">
    <w:abstractNumId w:val="2"/>
  </w:num>
  <w:num w:numId="5">
    <w:abstractNumId w:val="1"/>
  </w:num>
  <w:num w:numId="6">
    <w:abstractNumId w:val="6"/>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73049"/>
    <w:rsid w:val="00505BCC"/>
    <w:rsid w:val="00673049"/>
    <w:rsid w:val="009738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D902D5-FA3F-4C5B-AD90-C234A4A918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505BCC"/>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505BCC"/>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505BCC"/>
    <w:rPr>
      <w:rFonts w:ascii="宋体" w:eastAsia="宋体" w:hAnsi="宋体" w:cs="宋体"/>
      <w:b/>
      <w:bCs/>
      <w:kern w:val="36"/>
      <w:sz w:val="48"/>
      <w:szCs w:val="48"/>
    </w:rPr>
  </w:style>
  <w:style w:type="character" w:customStyle="1" w:styleId="2Char">
    <w:name w:val="标题 2 Char"/>
    <w:basedOn w:val="a0"/>
    <w:link w:val="2"/>
    <w:uiPriority w:val="9"/>
    <w:rsid w:val="00505BCC"/>
    <w:rPr>
      <w:rFonts w:ascii="宋体" w:eastAsia="宋体" w:hAnsi="宋体" w:cs="宋体"/>
      <w:b/>
      <w:bCs/>
      <w:kern w:val="0"/>
      <w:sz w:val="36"/>
      <w:szCs w:val="36"/>
    </w:rPr>
  </w:style>
  <w:style w:type="character" w:styleId="a3">
    <w:name w:val="Hyperlink"/>
    <w:basedOn w:val="a0"/>
    <w:uiPriority w:val="99"/>
    <w:semiHidden/>
    <w:unhideWhenUsed/>
    <w:rsid w:val="00505BCC"/>
    <w:rPr>
      <w:color w:val="0000FF"/>
      <w:u w:val="single"/>
    </w:rPr>
  </w:style>
  <w:style w:type="character" w:styleId="a4">
    <w:name w:val="FollowedHyperlink"/>
    <w:basedOn w:val="a0"/>
    <w:uiPriority w:val="99"/>
    <w:semiHidden/>
    <w:unhideWhenUsed/>
    <w:rsid w:val="00505BCC"/>
    <w:rPr>
      <w:color w:val="800080"/>
      <w:u w:val="single"/>
    </w:rPr>
  </w:style>
  <w:style w:type="character" w:customStyle="1" w:styleId="headline">
    <w:name w:val="headline"/>
    <w:basedOn w:val="a0"/>
    <w:rsid w:val="00505BCC"/>
  </w:style>
  <w:style w:type="character" w:customStyle="1" w:styleId="result-link">
    <w:name w:val="result-link"/>
    <w:basedOn w:val="a0"/>
    <w:rsid w:val="00505BCC"/>
  </w:style>
  <w:style w:type="character" w:customStyle="1" w:styleId="eqicon-mp3">
    <w:name w:val="eqicon-mp3"/>
    <w:basedOn w:val="a0"/>
    <w:rsid w:val="00505BCC"/>
  </w:style>
  <w:style w:type="character" w:customStyle="1" w:styleId="eqicon-pdf">
    <w:name w:val="eqicon-pdf"/>
    <w:basedOn w:val="a0"/>
    <w:rsid w:val="00505BCC"/>
  </w:style>
  <w:style w:type="paragraph" w:styleId="a5">
    <w:name w:val="Normal (Web)"/>
    <w:basedOn w:val="a"/>
    <w:uiPriority w:val="99"/>
    <w:semiHidden/>
    <w:unhideWhenUsed/>
    <w:rsid w:val="00505BCC"/>
    <w:pPr>
      <w:widowControl/>
      <w:spacing w:before="100" w:beforeAutospacing="1" w:after="100" w:afterAutospacing="1"/>
      <w:jc w:val="left"/>
    </w:pPr>
    <w:rPr>
      <w:rFonts w:ascii="宋体" w:eastAsia="宋体" w:hAnsi="宋体" w:cs="宋体"/>
      <w:kern w:val="0"/>
      <w:sz w:val="24"/>
      <w:szCs w:val="24"/>
    </w:rPr>
  </w:style>
  <w:style w:type="paragraph" w:customStyle="1" w:styleId="bwcellpmargin">
    <w:name w:val="bwcellpmargin"/>
    <w:basedOn w:val="a"/>
    <w:rsid w:val="00505BCC"/>
    <w:pPr>
      <w:widowControl/>
      <w:spacing w:before="100" w:beforeAutospacing="1" w:after="100" w:afterAutospacing="1"/>
      <w:jc w:val="left"/>
    </w:pPr>
    <w:rPr>
      <w:rFonts w:ascii="宋体" w:eastAsia="宋体" w:hAnsi="宋体" w:cs="宋体"/>
      <w:kern w:val="0"/>
      <w:sz w:val="24"/>
      <w:szCs w:val="24"/>
    </w:rPr>
  </w:style>
  <w:style w:type="paragraph" w:customStyle="1" w:styleId="bwalignc">
    <w:name w:val="bwalignc"/>
    <w:basedOn w:val="a"/>
    <w:rsid w:val="00505BCC"/>
    <w:pPr>
      <w:widowControl/>
      <w:spacing w:before="100" w:beforeAutospacing="1" w:after="100" w:afterAutospacing="1"/>
      <w:jc w:val="left"/>
    </w:pPr>
    <w:rPr>
      <w:rFonts w:ascii="宋体" w:eastAsia="宋体" w:hAnsi="宋体" w:cs="宋体"/>
      <w:kern w:val="0"/>
      <w:sz w:val="24"/>
      <w:szCs w:val="24"/>
    </w:rPr>
  </w:style>
  <w:style w:type="paragraph" w:customStyle="1" w:styleId="bwalignr">
    <w:name w:val="bwalignr"/>
    <w:basedOn w:val="a"/>
    <w:rsid w:val="00505BCC"/>
    <w:pPr>
      <w:widowControl/>
      <w:spacing w:before="100" w:beforeAutospacing="1" w:after="100" w:afterAutospacing="1"/>
      <w:jc w:val="left"/>
    </w:pPr>
    <w:rPr>
      <w:rFonts w:ascii="宋体" w:eastAsia="宋体" w:hAnsi="宋体" w:cs="宋体"/>
      <w:kern w:val="0"/>
      <w:sz w:val="24"/>
      <w:szCs w:val="24"/>
    </w:rPr>
  </w:style>
  <w:style w:type="character" w:customStyle="1" w:styleId="bwct31415">
    <w:name w:val="bwct31415"/>
    <w:basedOn w:val="a0"/>
    <w:rsid w:val="00505BCC"/>
  </w:style>
  <w:style w:type="paragraph" w:customStyle="1" w:styleId="spr-ir-news-article-date">
    <w:name w:val="spr-ir-news-article-date"/>
    <w:basedOn w:val="a"/>
    <w:rsid w:val="00505BC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6670324">
      <w:bodyDiv w:val="1"/>
      <w:marLeft w:val="0"/>
      <w:marRight w:val="0"/>
      <w:marTop w:val="0"/>
      <w:marBottom w:val="0"/>
      <w:divBdr>
        <w:top w:val="none" w:sz="0" w:space="0" w:color="auto"/>
        <w:left w:val="none" w:sz="0" w:space="0" w:color="auto"/>
        <w:bottom w:val="none" w:sz="0" w:space="0" w:color="auto"/>
        <w:right w:val="none" w:sz="0" w:space="0" w:color="auto"/>
      </w:divBdr>
      <w:divsChild>
        <w:div w:id="790973318">
          <w:marLeft w:val="0"/>
          <w:marRight w:val="0"/>
          <w:marTop w:val="0"/>
          <w:marBottom w:val="300"/>
          <w:divBdr>
            <w:top w:val="dotted" w:sz="6" w:space="8" w:color="DCDCDC"/>
            <w:left w:val="none" w:sz="0" w:space="0" w:color="auto"/>
            <w:bottom w:val="dotted" w:sz="6" w:space="8" w:color="DCDCDC"/>
            <w:right w:val="none" w:sz="0" w:space="0" w:color="auto"/>
          </w:divBdr>
        </w:div>
        <w:div w:id="853689137">
          <w:marLeft w:val="375"/>
          <w:marRight w:val="0"/>
          <w:marTop w:val="375"/>
          <w:marBottom w:val="375"/>
          <w:divBdr>
            <w:top w:val="single" w:sz="6" w:space="0" w:color="DCDCDC"/>
            <w:left w:val="single" w:sz="6" w:space="0" w:color="DCDCDC"/>
            <w:bottom w:val="single" w:sz="6" w:space="0" w:color="DCDCDC"/>
            <w:right w:val="single" w:sz="6" w:space="0" w:color="DCDCDC"/>
          </w:divBdr>
          <w:divsChild>
            <w:div w:id="1826818330">
              <w:marLeft w:val="0"/>
              <w:marRight w:val="0"/>
              <w:marTop w:val="0"/>
              <w:marBottom w:val="0"/>
              <w:divBdr>
                <w:top w:val="none" w:sz="0" w:space="0" w:color="auto"/>
                <w:left w:val="none" w:sz="0" w:space="0" w:color="auto"/>
                <w:bottom w:val="none" w:sz="0" w:space="0" w:color="auto"/>
                <w:right w:val="none" w:sz="0" w:space="0" w:color="auto"/>
              </w:divBdr>
              <w:divsChild>
                <w:div w:id="527988280">
                  <w:marLeft w:val="0"/>
                  <w:marRight w:val="0"/>
                  <w:marTop w:val="0"/>
                  <w:marBottom w:val="0"/>
                  <w:divBdr>
                    <w:top w:val="none" w:sz="0" w:space="0" w:color="auto"/>
                    <w:left w:val="none" w:sz="0" w:space="0" w:color="auto"/>
                    <w:bottom w:val="none" w:sz="0" w:space="0" w:color="auto"/>
                    <w:right w:val="none" w:sz="0" w:space="0" w:color="auto"/>
                  </w:divBdr>
                  <w:divsChild>
                    <w:div w:id="1920598033">
                      <w:marLeft w:val="0"/>
                      <w:marRight w:val="0"/>
                      <w:marTop w:val="0"/>
                      <w:marBottom w:val="0"/>
                      <w:divBdr>
                        <w:top w:val="none" w:sz="0" w:space="0" w:color="auto"/>
                        <w:left w:val="none" w:sz="0" w:space="0" w:color="auto"/>
                        <w:bottom w:val="none" w:sz="0" w:space="0" w:color="auto"/>
                        <w:right w:val="none" w:sz="0" w:space="0" w:color="auto"/>
                      </w:divBdr>
                      <w:divsChild>
                        <w:div w:id="3174020">
                          <w:marLeft w:val="0"/>
                          <w:marRight w:val="0"/>
                          <w:marTop w:val="0"/>
                          <w:marBottom w:val="0"/>
                          <w:divBdr>
                            <w:top w:val="none" w:sz="0" w:space="0" w:color="auto"/>
                            <w:left w:val="none" w:sz="0" w:space="0" w:color="auto"/>
                            <w:bottom w:val="none" w:sz="0" w:space="0" w:color="auto"/>
                            <w:right w:val="none" w:sz="0" w:space="0" w:color="auto"/>
                          </w:divBdr>
                          <w:divsChild>
                            <w:div w:id="1777677748">
                              <w:marLeft w:val="0"/>
                              <w:marRight w:val="0"/>
                              <w:marTop w:val="0"/>
                              <w:marBottom w:val="0"/>
                              <w:divBdr>
                                <w:top w:val="none" w:sz="0" w:space="0" w:color="auto"/>
                                <w:left w:val="none" w:sz="0" w:space="0" w:color="auto"/>
                                <w:bottom w:val="none" w:sz="0" w:space="0" w:color="auto"/>
                                <w:right w:val="none" w:sz="0" w:space="0" w:color="auto"/>
                              </w:divBdr>
                            </w:div>
                            <w:div w:id="1166743099">
                              <w:marLeft w:val="0"/>
                              <w:marRight w:val="0"/>
                              <w:marTop w:val="0"/>
                              <w:marBottom w:val="0"/>
                              <w:divBdr>
                                <w:top w:val="single" w:sz="6" w:space="8" w:color="DCDCDC"/>
                                <w:left w:val="none" w:sz="0" w:space="0" w:color="auto"/>
                                <w:bottom w:val="none" w:sz="0" w:space="0" w:color="auto"/>
                                <w:right w:val="none" w:sz="0" w:space="0" w:color="auto"/>
                              </w:divBdr>
                            </w:div>
                            <w:div w:id="1766922889">
                              <w:marLeft w:val="0"/>
                              <w:marRight w:val="0"/>
                              <w:marTop w:val="0"/>
                              <w:marBottom w:val="0"/>
                              <w:divBdr>
                                <w:top w:val="single" w:sz="6" w:space="8" w:color="DCDCDC"/>
                                <w:left w:val="none" w:sz="0" w:space="0" w:color="auto"/>
                                <w:bottom w:val="none" w:sz="0" w:space="0" w:color="auto"/>
                                <w:right w:val="none" w:sz="0" w:space="0" w:color="auto"/>
                              </w:divBdr>
                            </w:div>
                          </w:divsChild>
                        </w:div>
                      </w:divsChild>
                    </w:div>
                  </w:divsChild>
                </w:div>
              </w:divsChild>
            </w:div>
          </w:divsChild>
        </w:div>
        <w:div w:id="1156921709">
          <w:marLeft w:val="0"/>
          <w:marRight w:val="0"/>
          <w:marTop w:val="0"/>
          <w:marBottom w:val="0"/>
          <w:divBdr>
            <w:top w:val="none" w:sz="0" w:space="0" w:color="auto"/>
            <w:left w:val="none" w:sz="0" w:space="0" w:color="auto"/>
            <w:bottom w:val="none" w:sz="0" w:space="0" w:color="auto"/>
            <w:right w:val="none" w:sz="0" w:space="0" w:color="auto"/>
          </w:divBdr>
        </w:div>
        <w:div w:id="421144877">
          <w:marLeft w:val="0"/>
          <w:marRight w:val="0"/>
          <w:marTop w:val="0"/>
          <w:marBottom w:val="0"/>
          <w:divBdr>
            <w:top w:val="none" w:sz="0" w:space="0" w:color="auto"/>
            <w:left w:val="none" w:sz="0" w:space="0" w:color="auto"/>
            <w:bottom w:val="none" w:sz="0" w:space="0" w:color="auto"/>
            <w:right w:val="none" w:sz="0" w:space="0" w:color="auto"/>
          </w:divBdr>
        </w:div>
        <w:div w:id="558974427">
          <w:marLeft w:val="0"/>
          <w:marRight w:val="0"/>
          <w:marTop w:val="0"/>
          <w:marBottom w:val="0"/>
          <w:divBdr>
            <w:top w:val="none" w:sz="0" w:space="0" w:color="auto"/>
            <w:left w:val="none" w:sz="0" w:space="0" w:color="auto"/>
            <w:bottom w:val="none" w:sz="0" w:space="0" w:color="auto"/>
            <w:right w:val="none" w:sz="0" w:space="0" w:color="auto"/>
          </w:divBdr>
        </w:div>
        <w:div w:id="1774939044">
          <w:marLeft w:val="0"/>
          <w:marRight w:val="0"/>
          <w:marTop w:val="0"/>
          <w:marBottom w:val="0"/>
          <w:divBdr>
            <w:top w:val="none" w:sz="0" w:space="0" w:color="auto"/>
            <w:left w:val="none" w:sz="0" w:space="0" w:color="auto"/>
            <w:bottom w:val="none" w:sz="0" w:space="0" w:color="auto"/>
            <w:right w:val="none" w:sz="0" w:space="0" w:color="auto"/>
          </w:divBdr>
        </w:div>
        <w:div w:id="227038333">
          <w:marLeft w:val="0"/>
          <w:marRight w:val="0"/>
          <w:marTop w:val="0"/>
          <w:marBottom w:val="0"/>
          <w:divBdr>
            <w:top w:val="none" w:sz="0" w:space="0" w:color="auto"/>
            <w:left w:val="none" w:sz="0" w:space="0" w:color="auto"/>
            <w:bottom w:val="none" w:sz="0" w:space="0" w:color="auto"/>
            <w:right w:val="none" w:sz="0" w:space="0" w:color="auto"/>
          </w:divBdr>
        </w:div>
        <w:div w:id="14804181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r@marvel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businesswire.com/news/home/20251202276192/en/" TargetMode="External"/><Relationship Id="rId5" Type="http://schemas.openxmlformats.org/officeDocument/2006/relationships/hyperlink" Target="http://investor.marvell.co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5151</Words>
  <Characters>29367</Characters>
  <Application>Microsoft Office Word</Application>
  <DocSecurity>0</DocSecurity>
  <Lines>244</Lines>
  <Paragraphs>68</Paragraphs>
  <ScaleCrop>false</ScaleCrop>
  <Company/>
  <LinksUpToDate>false</LinksUpToDate>
  <CharactersWithSpaces>34450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朱桂俊</dc:creator>
  <cp:keywords/>
  <dc:description/>
  <cp:lastModifiedBy>朱桂俊</cp:lastModifiedBy>
  <cp:revision>2</cp:revision>
  <dcterms:created xsi:type="dcterms:W3CDTF">2025-12-03T00:21:00Z</dcterms:created>
  <dcterms:modified xsi:type="dcterms:W3CDTF">2025-12-03T00:21:00Z</dcterms:modified>
</cp:coreProperties>
</file>