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C98" w:rsidRPr="00E03C98" w:rsidRDefault="00E03C98" w:rsidP="00E03C98">
      <w:pPr>
        <w:widowControl/>
        <w:spacing w:before="360" w:after="240"/>
        <w:jc w:val="left"/>
        <w:textAlignment w:val="baseline"/>
        <w:outlineLvl w:val="2"/>
        <w:rPr>
          <w:rFonts w:ascii="Times New Roman" w:eastAsia="宋体" w:hAnsi="Times New Roman" w:cs="Times New Roman"/>
          <w:b/>
          <w:bCs/>
          <w:color w:val="333333"/>
          <w:kern w:val="0"/>
          <w:sz w:val="27"/>
          <w:szCs w:val="27"/>
        </w:rPr>
      </w:pPr>
      <w:r w:rsidRPr="00E03C98">
        <w:rPr>
          <w:rFonts w:ascii="Times New Roman" w:eastAsia="宋体" w:hAnsi="Times New Roman" w:cs="Times New Roman"/>
          <w:b/>
          <w:bCs/>
          <w:color w:val="333333"/>
          <w:kern w:val="0"/>
          <w:sz w:val="27"/>
          <w:szCs w:val="27"/>
        </w:rPr>
        <w:t>Tractor Supply Company Reports Fourth Quarter and Fiscal Year 2025 Financial Results; Provides Fiscal Year 2026 Outlook</w:t>
      </w:r>
    </w:p>
    <w:p w:rsidR="00E03C98" w:rsidRPr="00E03C98" w:rsidRDefault="00E03C98" w:rsidP="00E03C98">
      <w:pPr>
        <w:widowControl/>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January 29, 2026</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BRENTWOOD, Tenn.--(BUSINESS WIRE</w:t>
      </w:r>
      <w:proofErr w:type="gramStart"/>
      <w:r w:rsidRPr="00E03C98">
        <w:rPr>
          <w:rFonts w:ascii="Arial" w:eastAsia="宋体" w:hAnsi="Arial" w:cs="Arial"/>
          <w:color w:val="333333"/>
          <w:kern w:val="0"/>
          <w:sz w:val="24"/>
          <w:szCs w:val="24"/>
        </w:rPr>
        <w:t>)--</w:t>
      </w:r>
      <w:proofErr w:type="gramEnd"/>
      <w:r w:rsidRPr="00E03C98">
        <w:rPr>
          <w:rFonts w:ascii="Arial" w:eastAsia="宋体" w:hAnsi="Arial" w:cs="Arial"/>
          <w:color w:val="333333"/>
          <w:kern w:val="0"/>
          <w:sz w:val="24"/>
          <w:szCs w:val="24"/>
        </w:rPr>
        <w:t> </w:t>
      </w:r>
      <w:r w:rsidRPr="00E03C98">
        <w:rPr>
          <w:rFonts w:ascii="Arial" w:eastAsia="宋体" w:hAnsi="Arial" w:cs="Arial"/>
          <w:b/>
          <w:bCs/>
          <w:color w:val="333333"/>
          <w:kern w:val="0"/>
          <w:sz w:val="24"/>
          <w:szCs w:val="24"/>
          <w:bdr w:val="none" w:sz="0" w:space="0" w:color="auto" w:frame="1"/>
        </w:rPr>
        <w:t>Tractor Supply Company (NASDAQ: TSCO)</w:t>
      </w:r>
      <w:r w:rsidRPr="00E03C98">
        <w:rPr>
          <w:rFonts w:ascii="Arial" w:eastAsia="宋体" w:hAnsi="Arial" w:cs="Arial"/>
          <w:color w:val="333333"/>
          <w:kern w:val="0"/>
          <w:sz w:val="24"/>
          <w:szCs w:val="24"/>
        </w:rPr>
        <w:t>, the largest rural lifestyle retailer in the United States (the “Company”), today reported financial results for its fourth quarter and fiscal year ended December 27, 2025.</w:t>
      </w:r>
    </w:p>
    <w:p w:rsidR="00E03C98" w:rsidRPr="00E03C98" w:rsidRDefault="00E03C98" w:rsidP="00E03C98">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Fourth Quarter Net Sales Increased 3.3% to $3.90 Billion with Comparable Store Sales Increase of 0.3%</w:t>
      </w:r>
    </w:p>
    <w:p w:rsidR="00E03C98" w:rsidRPr="00E03C98" w:rsidRDefault="00E03C98" w:rsidP="00E03C98">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Fiscal Year 2025 Net Sales Increased 4.3% to $15.52 Billion with Comparable Store Sales Increase of 1.2%</w:t>
      </w:r>
    </w:p>
    <w:p w:rsidR="00E03C98" w:rsidRPr="00E03C98" w:rsidRDefault="00E03C98" w:rsidP="00E03C98">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Fourth Quarter Diluted Earnings per Share (“EPS”) of $0.43 and Fiscal Year 2025 Diluted EPS of $2.06</w:t>
      </w:r>
    </w:p>
    <w:p w:rsidR="00E03C98" w:rsidRPr="00E03C98" w:rsidRDefault="00E03C98" w:rsidP="00E03C98">
      <w:pPr>
        <w:widowControl/>
        <w:numPr>
          <w:ilvl w:val="0"/>
          <w:numId w:val="1"/>
        </w:numPr>
        <w:spacing w:before="100" w:beforeAutospacing="1" w:after="100" w:afterAutospacing="1"/>
        <w:ind w:left="0"/>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Company Provides Fiscal Year 2026 Guidance with Net Sales Growth of 4% to 6% and Diluted EPS of $2.13 to $2.23</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“Our fourth quarter results came in below our expectations and reflected a shift in consumer spending, with essential categories remaining resilient while discretionary demand moderated. Against that backdrop, our team stayed focused on executing the fundamentals of the business, growing share in the farm and ranch channel and continuing to engage our customers. I want to thank our more than 52,000 Team Members for their continued dedication to the work they do every day across our stores, distribution centers and store support center,” said Hal Lawton, President and Chief Executive Officer of Tractor Supply.</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 xml:space="preserve">“Overall, 2025 was a year of meaningful progress. We continued to gain market share, opened productive new stores and advanced Project Fusion and localization. At the same time, we built the capabilities needed to support Direct Sales, Final Mile and pet and animal prescriptions. As we move into 2026, we are prepared to operate with discipline across a range of economic conditions. With much of our strategic foundation now in place, we remain focused on executing our Life </w:t>
      </w:r>
      <w:proofErr w:type="gramStart"/>
      <w:r w:rsidRPr="00E03C98">
        <w:rPr>
          <w:rFonts w:ascii="Arial" w:eastAsia="宋体" w:hAnsi="Arial" w:cs="Arial"/>
          <w:color w:val="333333"/>
          <w:kern w:val="0"/>
          <w:sz w:val="24"/>
          <w:szCs w:val="24"/>
        </w:rPr>
        <w:t>Out</w:t>
      </w:r>
      <w:proofErr w:type="gramEnd"/>
      <w:r w:rsidRPr="00E03C98">
        <w:rPr>
          <w:rFonts w:ascii="Arial" w:eastAsia="宋体" w:hAnsi="Arial" w:cs="Arial"/>
          <w:color w:val="333333"/>
          <w:kern w:val="0"/>
          <w:sz w:val="24"/>
          <w:szCs w:val="24"/>
        </w:rPr>
        <w:t xml:space="preserve"> Here 2030 strategic initiatives and delivering a more consistent performance profile over time,” said Lawton.</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b/>
          <w:bCs/>
          <w:color w:val="333333"/>
          <w:kern w:val="0"/>
          <w:sz w:val="24"/>
          <w:szCs w:val="24"/>
          <w:u w:val="single"/>
          <w:bdr w:val="none" w:sz="0" w:space="0" w:color="auto" w:frame="1"/>
        </w:rPr>
        <w:t>Fourth Quarter 2025 Results</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 xml:space="preserve">Net sales increased 3.3% to $3.90 billion from $3.77 billion in the fourth quarter of 2024. The increase in net sales was driven by new store openings, the growth in comparable store sales and the contribution from </w:t>
      </w:r>
      <w:proofErr w:type="spellStart"/>
      <w:r w:rsidRPr="00E03C98">
        <w:rPr>
          <w:rFonts w:ascii="Arial" w:eastAsia="宋体" w:hAnsi="Arial" w:cs="Arial"/>
          <w:color w:val="333333"/>
          <w:kern w:val="0"/>
          <w:sz w:val="24"/>
          <w:szCs w:val="24"/>
        </w:rPr>
        <w:t>Allivet</w:t>
      </w:r>
      <w:proofErr w:type="spellEnd"/>
      <w:r w:rsidRPr="00E03C98">
        <w:rPr>
          <w:rFonts w:ascii="Arial" w:eastAsia="宋体" w:hAnsi="Arial" w:cs="Arial"/>
          <w:color w:val="333333"/>
          <w:kern w:val="0"/>
          <w:sz w:val="24"/>
          <w:szCs w:val="24"/>
        </w:rPr>
        <w:t>. Comparable store sales increased 0.3%, as compared to an increase of 0.6% in the prior year’s fourth quarter, reflecting comparable average ticket growth of 0.3%. The continued strength in consumable, usable and edible products was partially offset by the lack of emergency-response-related demand and ongoing pressure in discretionary categories including big ticket products.</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Gross profit increased 3.0% to $1.37 billion from $1.33 billion in the prior year’s fourth quarter. Gross margin rate was 35.1% compared to 35.2% in the prior year’s fourth quarter, as ongoing cost management initiatives were offset by higher tariffs, incremental promotional activity and increased delivery-related transportation costs.</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Selling, general and administrative (“SG&amp;A”) expenses, including depreciation and amortization, increased 6.0% to $1.07 billion from $1.01 billion in the prior year’s fourth quarter. As a percent of net sales, SG&amp;A expenses increased to 27.5% from 26.8% in the fourth quarter of 2024. The increase in SG&amp;A as a percent of net sales was primarily attributable to planned investments and fixed cost deleverage given the level of comparable store sales growth. These factors were partially offset by a disciplined focus on productivity and ongoing cost control.</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Operating income decreased 6.5% to $297.7 million from $318.3 million in the fourth quarter of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The effective income tax rate was 19.0% compared to 21.5% in the fourth quarter of 2024, primarily reflecting the timing of certain tax planning initiatives.</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Net income decreased 3.8% to $227.4 million from $236.4 million. Diluted EPS decreased 2.7% to $0.43 compared to $0.44 in the fourth quarter of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The Company repurchased approximately 2.2 million shares of its common stock for $117.5 million and paid quarterly cash dividends totaling $121.4 million, returning a total of $238.9 million of capital to shareholders in the fourth quarter of 2025.</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 xml:space="preserve">The Company opened 31 new Tractor Supply stores and one new </w:t>
      </w:r>
      <w:proofErr w:type="spellStart"/>
      <w:r w:rsidRPr="00E03C98">
        <w:rPr>
          <w:rFonts w:ascii="Arial" w:eastAsia="宋体" w:hAnsi="Arial" w:cs="Arial"/>
          <w:color w:val="333333"/>
          <w:kern w:val="0"/>
          <w:sz w:val="24"/>
          <w:szCs w:val="24"/>
        </w:rPr>
        <w:t>Petsense</w:t>
      </w:r>
      <w:proofErr w:type="spellEnd"/>
      <w:r w:rsidRPr="00E03C98">
        <w:rPr>
          <w:rFonts w:ascii="Arial" w:eastAsia="宋体" w:hAnsi="Arial" w:cs="Arial"/>
          <w:color w:val="333333"/>
          <w:kern w:val="0"/>
          <w:sz w:val="24"/>
          <w:szCs w:val="24"/>
        </w:rPr>
        <w:t xml:space="preserve"> by Tractor Supply store in the fourth quarter of 2025.</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b/>
          <w:bCs/>
          <w:color w:val="333333"/>
          <w:kern w:val="0"/>
          <w:sz w:val="24"/>
          <w:szCs w:val="24"/>
          <w:u w:val="single"/>
          <w:bdr w:val="none" w:sz="0" w:space="0" w:color="auto" w:frame="1"/>
        </w:rPr>
        <w:t>Fiscal Year 2025 Results</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Net sales increased 4.3% to $15.52 billion from $14.88 billion in fiscal 2024. The increase in net sales was driven primarily by new store openings and growth in comparable store sales. Comparable store sales increased 1.2%, compared to fiscal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Gross profit increased 4.8% to $5.65 billion from $5.40 billion in fiscal 2024. Gross margin rate was 36.4% compared to 36.3% in fiscal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SG&amp;A expenses increased 6.6% to $4.19 billion from $3.93 billion in fiscal 2024. As a percent of net sales, SG&amp;A expenses increased to 27.0% from 26.4% in fiscal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Operating income was $1.47 billion, in line with prior year.</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The effective income tax rate was 21.6% compared to 22.1% in fiscal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Net income was essentially flat with the prior year at $1.10 billion. Diluted EPS increased 0.9% to $2.06 compared to $2.04 in fiscal 2024.</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The Company repurchased approximately 6.6 million shares of its common stock for $360.8 million and paid quarterly cash dividends totaling $487.7 million, returning a total of $848.5 million of capital to shareholders in fiscal 2025.</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 xml:space="preserve">During fiscal 2025, the Company opened 99 new Tractor Supply stores and five new </w:t>
      </w:r>
      <w:proofErr w:type="spellStart"/>
      <w:r w:rsidRPr="00E03C98">
        <w:rPr>
          <w:rFonts w:ascii="Arial" w:eastAsia="宋体" w:hAnsi="Arial" w:cs="Arial"/>
          <w:color w:val="333333"/>
          <w:kern w:val="0"/>
          <w:sz w:val="24"/>
          <w:szCs w:val="24"/>
        </w:rPr>
        <w:t>Petsense</w:t>
      </w:r>
      <w:proofErr w:type="spellEnd"/>
      <w:r w:rsidRPr="00E03C98">
        <w:rPr>
          <w:rFonts w:ascii="Arial" w:eastAsia="宋体" w:hAnsi="Arial" w:cs="Arial"/>
          <w:color w:val="333333"/>
          <w:kern w:val="0"/>
          <w:sz w:val="24"/>
          <w:szCs w:val="24"/>
        </w:rPr>
        <w:t xml:space="preserve"> by Tractor Supply stores and closed four </w:t>
      </w:r>
      <w:proofErr w:type="spellStart"/>
      <w:r w:rsidRPr="00E03C98">
        <w:rPr>
          <w:rFonts w:ascii="Arial" w:eastAsia="宋体" w:hAnsi="Arial" w:cs="Arial"/>
          <w:color w:val="333333"/>
          <w:kern w:val="0"/>
          <w:sz w:val="24"/>
          <w:szCs w:val="24"/>
        </w:rPr>
        <w:t>Petsense</w:t>
      </w:r>
      <w:proofErr w:type="spellEnd"/>
      <w:r w:rsidRPr="00E03C98">
        <w:rPr>
          <w:rFonts w:ascii="Arial" w:eastAsia="宋体" w:hAnsi="Arial" w:cs="Arial"/>
          <w:color w:val="333333"/>
          <w:kern w:val="0"/>
          <w:sz w:val="24"/>
          <w:szCs w:val="24"/>
        </w:rPr>
        <w:t xml:space="preserve"> by Tractor Supply stores.</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b/>
          <w:bCs/>
          <w:color w:val="333333"/>
          <w:kern w:val="0"/>
          <w:sz w:val="24"/>
          <w:szCs w:val="24"/>
          <w:u w:val="single"/>
          <w:bdr w:val="none" w:sz="0" w:space="0" w:color="auto" w:frame="1"/>
        </w:rPr>
        <w:t>Fiscal Year 2026 Financial Outlook</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The Company is providing its financial guidance for fiscal 2026. This outlook is based on what the Company can reasonably predict at this time.</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For fiscal 2026, the Company expects the following:</w:t>
      </w:r>
    </w:p>
    <w:tbl>
      <w:tblPr>
        <w:tblW w:w="11520" w:type="dxa"/>
        <w:tblCellMar>
          <w:left w:w="0" w:type="dxa"/>
          <w:right w:w="0" w:type="dxa"/>
        </w:tblCellMar>
        <w:tblLook w:val="04A0" w:firstRow="1" w:lastRow="0" w:firstColumn="1" w:lastColumn="0" w:noHBand="0" w:noVBand="1"/>
      </w:tblPr>
      <w:tblGrid>
        <w:gridCol w:w="7257"/>
        <w:gridCol w:w="4263"/>
      </w:tblGrid>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Sales</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+4% to +6%</w:t>
            </w:r>
          </w:p>
        </w:tc>
      </w:tr>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Comparable Store Sales</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+1% to +3%</w:t>
            </w:r>
          </w:p>
        </w:tc>
      </w:tr>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Operating Margin Rate</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9.3% to 9.6%</w:t>
            </w:r>
          </w:p>
        </w:tc>
      </w:tr>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Income</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$1.11 billion to $1.17 billion</w:t>
            </w:r>
          </w:p>
        </w:tc>
      </w:tr>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Earnings per Diluted Share</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$2.13 to $2.23</w:t>
            </w:r>
          </w:p>
        </w:tc>
      </w:tr>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Capital Expenditures, Net of Sale Leaseback Proceeds</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$675 million to $725 million</w:t>
            </w:r>
          </w:p>
        </w:tc>
      </w:tr>
      <w:tr w:rsidR="00E03C98" w:rsidRPr="00E03C98" w:rsidTr="00E03C98">
        <w:tc>
          <w:tcPr>
            <w:tcW w:w="7257"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Share Repurchases</w:t>
            </w:r>
          </w:p>
        </w:tc>
        <w:tc>
          <w:tcPr>
            <w:tcW w:w="4263" w:type="dxa"/>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$375 million to $450 million</w:t>
            </w:r>
          </w:p>
        </w:tc>
      </w:tr>
    </w:tbl>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The Company’s capital plans for 2026 include opening approximately 100 Tractor Supply stores, continuing Project Fusion remodels and garden center transformations, completion of its 11</w:t>
      </w:r>
      <w:r w:rsidRPr="00E03C98">
        <w:rPr>
          <w:rFonts w:ascii="inherit" w:eastAsia="宋体" w:hAnsi="inherit" w:cs="Arial"/>
          <w:color w:val="333333"/>
          <w:kern w:val="0"/>
          <w:sz w:val="20"/>
          <w:szCs w:val="20"/>
          <w:bdr w:val="none" w:sz="0" w:space="0" w:color="auto" w:frame="1"/>
          <w:vertAlign w:val="superscript"/>
        </w:rPr>
        <w:t>th</w:t>
      </w:r>
      <w:r w:rsidRPr="00E03C98">
        <w:rPr>
          <w:rFonts w:ascii="Arial" w:eastAsia="宋体" w:hAnsi="Arial" w:cs="Arial"/>
          <w:color w:val="333333"/>
          <w:kern w:val="0"/>
          <w:sz w:val="24"/>
          <w:szCs w:val="24"/>
        </w:rPr>
        <w:t> distribution center and continued investment in store and digital technology.</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b/>
          <w:bCs/>
          <w:color w:val="333333"/>
          <w:kern w:val="0"/>
          <w:sz w:val="24"/>
          <w:szCs w:val="24"/>
          <w:u w:val="single"/>
          <w:bdr w:val="none" w:sz="0" w:space="0" w:color="auto" w:frame="1"/>
        </w:rPr>
        <w:t>Conference Call Information</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Tractor Supply Company will hold a conference call today, Thursday, January 29, 2026 at 10 a.m. ET. The call will be webcast live at </w:t>
      </w:r>
      <w:hyperlink r:id="rId5" w:history="1">
        <w:r w:rsidRPr="00E03C98">
          <w:rPr>
            <w:rFonts w:ascii="Arial" w:eastAsia="宋体" w:hAnsi="Arial" w:cs="Arial"/>
            <w:color w:val="C8102E"/>
            <w:kern w:val="0"/>
            <w:sz w:val="24"/>
            <w:szCs w:val="24"/>
          </w:rPr>
          <w:t>IR.TractorSupply.com</w:t>
        </w:r>
      </w:hyperlink>
      <w:r w:rsidRPr="00E03C98">
        <w:rPr>
          <w:rFonts w:ascii="Arial" w:eastAsia="宋体" w:hAnsi="Arial" w:cs="Arial"/>
          <w:color w:val="333333"/>
          <w:kern w:val="0"/>
          <w:sz w:val="24"/>
          <w:szCs w:val="24"/>
        </w:rPr>
        <w:t>. An investor presentation will be available on the investor relations section of the Company’s website at least 15 minutes prior to the conference call.</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Please allow extra time prior to the call to visit the site and download the streaming media software required to listen to the webcast.</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A replay of the webcast will also be available at </w:t>
      </w:r>
      <w:hyperlink r:id="rId6" w:history="1">
        <w:r w:rsidRPr="00E03C98">
          <w:rPr>
            <w:rFonts w:ascii="Arial" w:eastAsia="宋体" w:hAnsi="Arial" w:cs="Arial"/>
            <w:color w:val="C8102E"/>
            <w:kern w:val="0"/>
            <w:sz w:val="24"/>
            <w:szCs w:val="24"/>
          </w:rPr>
          <w:t>IR.TractorSupply.com</w:t>
        </w:r>
      </w:hyperlink>
      <w:r w:rsidRPr="00E03C98">
        <w:rPr>
          <w:rFonts w:ascii="Arial" w:eastAsia="宋体" w:hAnsi="Arial" w:cs="Arial"/>
          <w:color w:val="333333"/>
          <w:kern w:val="0"/>
          <w:sz w:val="24"/>
          <w:szCs w:val="24"/>
        </w:rPr>
        <w:t> shortly after the conference call concludes.</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b/>
          <w:bCs/>
          <w:color w:val="333333"/>
          <w:kern w:val="0"/>
          <w:sz w:val="24"/>
          <w:szCs w:val="24"/>
          <w:u w:val="single"/>
          <w:bdr w:val="none" w:sz="0" w:space="0" w:color="auto" w:frame="1"/>
        </w:rPr>
        <w:t>About Tractor Supply Company</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For more than 85 years, Tractor Supply Company (NASDAQ: </w:t>
      </w:r>
      <w:hyperlink r:id="rId7" w:history="1">
        <w:r w:rsidRPr="00E03C98">
          <w:rPr>
            <w:rFonts w:ascii="Arial" w:eastAsia="宋体" w:hAnsi="Arial" w:cs="Arial"/>
            <w:color w:val="C8102E"/>
            <w:kern w:val="0"/>
            <w:sz w:val="24"/>
            <w:szCs w:val="24"/>
          </w:rPr>
          <w:t>TSCO</w:t>
        </w:r>
      </w:hyperlink>
      <w:r w:rsidRPr="00E03C98">
        <w:rPr>
          <w:rFonts w:ascii="Arial" w:eastAsia="宋体" w:hAnsi="Arial" w:cs="Arial"/>
          <w:color w:val="333333"/>
          <w:kern w:val="0"/>
          <w:sz w:val="24"/>
          <w:szCs w:val="24"/>
        </w:rPr>
        <w:t xml:space="preserve">) has been passionate about serving the needs of recreational farmers, ranchers, homeowners, gardeners, pet enthusiasts and all those who enjoy living Life Out </w:t>
      </w:r>
      <w:proofErr w:type="spellStart"/>
      <w:r w:rsidRPr="00E03C98">
        <w:rPr>
          <w:rFonts w:ascii="Arial" w:eastAsia="宋体" w:hAnsi="Arial" w:cs="Arial"/>
          <w:color w:val="333333"/>
          <w:kern w:val="0"/>
          <w:sz w:val="24"/>
          <w:szCs w:val="24"/>
        </w:rPr>
        <w:t>Here.</w:t>
      </w:r>
      <w:proofErr w:type="spellEnd"/>
      <w:r w:rsidRPr="00E03C98">
        <w:rPr>
          <w:rFonts w:ascii="Arial" w:eastAsia="宋体" w:hAnsi="Arial" w:cs="Arial"/>
          <w:color w:val="333333"/>
          <w:kern w:val="0"/>
          <w:sz w:val="24"/>
          <w:szCs w:val="24"/>
        </w:rPr>
        <w:t xml:space="preserve"> Tractor Supply is the largest rural lifestyle retailer in the U.S., ranking 296 on the Fortune 500. The Company’s more than 52,000 Team Members are known for delivering legendary service and helping customers pursue their passions, whether that means being closer to the land, taking care of animals or living a hands-on, DIY lifestyle. In store and online, Tractor Supply provides what customers need – anytime, anywhere, any way they choose at the low prices they deserve.</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As part of the Company’s commitment to caring for animals of all kinds, Tractor Supply is proud to include </w:t>
      </w:r>
      <w:proofErr w:type="spellStart"/>
      <w:r w:rsidRPr="00E03C98">
        <w:rPr>
          <w:rFonts w:ascii="Arial" w:eastAsia="宋体" w:hAnsi="Arial" w:cs="Arial"/>
          <w:color w:val="333333"/>
          <w:kern w:val="0"/>
          <w:sz w:val="24"/>
          <w:szCs w:val="24"/>
        </w:rPr>
        <w:fldChar w:fldCharType="begin"/>
      </w:r>
      <w:r w:rsidRPr="00E03C98">
        <w:rPr>
          <w:rFonts w:ascii="Arial" w:eastAsia="宋体" w:hAnsi="Arial" w:cs="Arial"/>
          <w:color w:val="333333"/>
          <w:kern w:val="0"/>
          <w:sz w:val="24"/>
          <w:szCs w:val="24"/>
        </w:rPr>
        <w:instrText xml:space="preserve"> HYPERLINK "https://cts.businesswire.com/ct/CT?id=smartlink&amp;url=https%3A%2F%2Fwww.petsense.com%2F%3Fsrsltid%3DAfmBOorsSKWd_8GRE8eqQuSGeHaoN0917MSgsIlVo-5QOQU-kBXO8_d-&amp;esheet=54407069&amp;newsitemid=20260129461617&amp;lan=en-US&amp;anchor=Petsense+by+Tractor+Supply&amp;index=4&amp;md5=370b4b97e24514420c62ab5785d29875" </w:instrText>
      </w:r>
      <w:r w:rsidRPr="00E03C98">
        <w:rPr>
          <w:rFonts w:ascii="Arial" w:eastAsia="宋体" w:hAnsi="Arial" w:cs="Arial"/>
          <w:color w:val="333333"/>
          <w:kern w:val="0"/>
          <w:sz w:val="24"/>
          <w:szCs w:val="24"/>
        </w:rPr>
        <w:fldChar w:fldCharType="separate"/>
      </w:r>
      <w:r w:rsidRPr="00E03C98">
        <w:rPr>
          <w:rFonts w:ascii="Arial" w:eastAsia="宋体" w:hAnsi="Arial" w:cs="Arial"/>
          <w:color w:val="C8102E"/>
          <w:kern w:val="0"/>
          <w:sz w:val="24"/>
          <w:szCs w:val="24"/>
        </w:rPr>
        <w:t>Petsense</w:t>
      </w:r>
      <w:proofErr w:type="spellEnd"/>
      <w:r w:rsidRPr="00E03C98">
        <w:rPr>
          <w:rFonts w:ascii="Arial" w:eastAsia="宋体" w:hAnsi="Arial" w:cs="Arial"/>
          <w:color w:val="C8102E"/>
          <w:kern w:val="0"/>
          <w:sz w:val="24"/>
          <w:szCs w:val="24"/>
        </w:rPr>
        <w:t xml:space="preserve"> by Tractor Supply</w:t>
      </w:r>
      <w:r w:rsidRPr="00E03C98">
        <w:rPr>
          <w:rFonts w:ascii="Arial" w:eastAsia="宋体" w:hAnsi="Arial" w:cs="Arial"/>
          <w:color w:val="333333"/>
          <w:kern w:val="0"/>
          <w:sz w:val="24"/>
          <w:szCs w:val="24"/>
        </w:rPr>
        <w:fldChar w:fldCharType="end"/>
      </w:r>
      <w:r w:rsidRPr="00E03C98">
        <w:rPr>
          <w:rFonts w:ascii="Arial" w:eastAsia="宋体" w:hAnsi="Arial" w:cs="Arial"/>
          <w:color w:val="333333"/>
          <w:kern w:val="0"/>
          <w:sz w:val="24"/>
          <w:szCs w:val="24"/>
        </w:rPr>
        <w:t>, a pet specialty retailer, and </w:t>
      </w:r>
      <w:proofErr w:type="spellStart"/>
      <w:r w:rsidRPr="00E03C98">
        <w:rPr>
          <w:rFonts w:ascii="Arial" w:eastAsia="宋体" w:hAnsi="Arial" w:cs="Arial"/>
          <w:color w:val="333333"/>
          <w:kern w:val="0"/>
          <w:sz w:val="24"/>
          <w:szCs w:val="24"/>
        </w:rPr>
        <w:fldChar w:fldCharType="begin"/>
      </w:r>
      <w:r w:rsidRPr="00E03C98">
        <w:rPr>
          <w:rFonts w:ascii="Arial" w:eastAsia="宋体" w:hAnsi="Arial" w:cs="Arial"/>
          <w:color w:val="333333"/>
          <w:kern w:val="0"/>
          <w:sz w:val="24"/>
          <w:szCs w:val="24"/>
        </w:rPr>
        <w:instrText xml:space="preserve"> HYPERLINK "https://cts.businesswire.com/ct/CT?id=smartlink&amp;url=https%3A%2F%2Fwww.allivet.com%2F&amp;esheet=54407069&amp;newsitemid=20260129461617&amp;lan=en-US&amp;anchor=Allivet&amp;index=5&amp;md5=82d69876861b0b085f1d98d5c427925f" </w:instrText>
      </w:r>
      <w:r w:rsidRPr="00E03C98">
        <w:rPr>
          <w:rFonts w:ascii="Arial" w:eastAsia="宋体" w:hAnsi="Arial" w:cs="Arial"/>
          <w:color w:val="333333"/>
          <w:kern w:val="0"/>
          <w:sz w:val="24"/>
          <w:szCs w:val="24"/>
        </w:rPr>
        <w:fldChar w:fldCharType="separate"/>
      </w:r>
      <w:r w:rsidRPr="00E03C98">
        <w:rPr>
          <w:rFonts w:ascii="Arial" w:eastAsia="宋体" w:hAnsi="Arial" w:cs="Arial"/>
          <w:color w:val="C8102E"/>
          <w:kern w:val="0"/>
          <w:sz w:val="24"/>
          <w:szCs w:val="24"/>
        </w:rPr>
        <w:t>Allivet</w:t>
      </w:r>
      <w:proofErr w:type="spellEnd"/>
      <w:r w:rsidRPr="00E03C98">
        <w:rPr>
          <w:rFonts w:ascii="Arial" w:eastAsia="宋体" w:hAnsi="Arial" w:cs="Arial"/>
          <w:color w:val="333333"/>
          <w:kern w:val="0"/>
          <w:sz w:val="24"/>
          <w:szCs w:val="24"/>
        </w:rPr>
        <w:fldChar w:fldCharType="end"/>
      </w:r>
      <w:r w:rsidRPr="00E03C98">
        <w:rPr>
          <w:rFonts w:ascii="Arial" w:eastAsia="宋体" w:hAnsi="Arial" w:cs="Arial"/>
          <w:color w:val="333333"/>
          <w:kern w:val="0"/>
          <w:sz w:val="24"/>
          <w:szCs w:val="24"/>
        </w:rPr>
        <w:t xml:space="preserve">, a leading online pet and animal pharmacy, in its family of brands. Together, Tractor Supply is able to provide comprehensive solutions for pet care, livestock wellness and rural living, ensuring customers and their animals thrive. From its stores to the customer’s doorstep, Tractor Supply is here to serve and support Life </w:t>
      </w:r>
      <w:proofErr w:type="gramStart"/>
      <w:r w:rsidRPr="00E03C98">
        <w:rPr>
          <w:rFonts w:ascii="Arial" w:eastAsia="宋体" w:hAnsi="Arial" w:cs="Arial"/>
          <w:color w:val="333333"/>
          <w:kern w:val="0"/>
          <w:sz w:val="24"/>
          <w:szCs w:val="24"/>
        </w:rPr>
        <w:t>Out</w:t>
      </w:r>
      <w:proofErr w:type="gramEnd"/>
      <w:r w:rsidRPr="00E03C98">
        <w:rPr>
          <w:rFonts w:ascii="Arial" w:eastAsia="宋体" w:hAnsi="Arial" w:cs="Arial"/>
          <w:color w:val="333333"/>
          <w:kern w:val="0"/>
          <w:sz w:val="24"/>
          <w:szCs w:val="24"/>
        </w:rPr>
        <w:t xml:space="preserve"> </w:t>
      </w:r>
      <w:proofErr w:type="spellStart"/>
      <w:r w:rsidRPr="00E03C98">
        <w:rPr>
          <w:rFonts w:ascii="Arial" w:eastAsia="宋体" w:hAnsi="Arial" w:cs="Arial"/>
          <w:color w:val="333333"/>
          <w:kern w:val="0"/>
          <w:sz w:val="24"/>
          <w:szCs w:val="24"/>
        </w:rPr>
        <w:t>Here.</w:t>
      </w:r>
      <w:proofErr w:type="spellEnd"/>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 xml:space="preserve">As of December 27, 2025, the Company operated 2,395 Tractor Supply stores in 49 states and 207 </w:t>
      </w:r>
      <w:proofErr w:type="spellStart"/>
      <w:r w:rsidRPr="00E03C98">
        <w:rPr>
          <w:rFonts w:ascii="Arial" w:eastAsia="宋体" w:hAnsi="Arial" w:cs="Arial"/>
          <w:color w:val="333333"/>
          <w:kern w:val="0"/>
          <w:sz w:val="24"/>
          <w:szCs w:val="24"/>
        </w:rPr>
        <w:t>Petsense</w:t>
      </w:r>
      <w:proofErr w:type="spellEnd"/>
      <w:r w:rsidRPr="00E03C98">
        <w:rPr>
          <w:rFonts w:ascii="Arial" w:eastAsia="宋体" w:hAnsi="Arial" w:cs="Arial"/>
          <w:color w:val="333333"/>
          <w:kern w:val="0"/>
          <w:sz w:val="24"/>
          <w:szCs w:val="24"/>
        </w:rPr>
        <w:t xml:space="preserve"> by Tractor Supply stores in 23 states. For more information, visit </w:t>
      </w:r>
      <w:hyperlink r:id="rId8" w:history="1">
        <w:r w:rsidRPr="00E03C98">
          <w:rPr>
            <w:rFonts w:ascii="Arial" w:eastAsia="宋体" w:hAnsi="Arial" w:cs="Arial"/>
            <w:color w:val="C8102E"/>
            <w:kern w:val="0"/>
            <w:sz w:val="24"/>
            <w:szCs w:val="24"/>
          </w:rPr>
          <w:t>www.tractorsupply.com</w:t>
        </w:r>
      </w:hyperlink>
      <w:r w:rsidRPr="00E03C98">
        <w:rPr>
          <w:rFonts w:ascii="Arial" w:eastAsia="宋体" w:hAnsi="Arial" w:cs="Arial"/>
          <w:color w:val="333333"/>
          <w:kern w:val="0"/>
          <w:sz w:val="24"/>
          <w:szCs w:val="24"/>
        </w:rPr>
        <w:t> and </w:t>
      </w:r>
      <w:hyperlink r:id="rId9" w:history="1">
        <w:r w:rsidRPr="00E03C98">
          <w:rPr>
            <w:rFonts w:ascii="Arial" w:eastAsia="宋体" w:hAnsi="Arial" w:cs="Arial"/>
            <w:color w:val="C8102E"/>
            <w:kern w:val="0"/>
            <w:sz w:val="24"/>
            <w:szCs w:val="24"/>
          </w:rPr>
          <w:t>www.Petsense.com</w:t>
        </w:r>
      </w:hyperlink>
      <w:r w:rsidRPr="00E03C98">
        <w:rPr>
          <w:rFonts w:ascii="Arial" w:eastAsia="宋体" w:hAnsi="Arial" w:cs="Arial"/>
          <w:color w:val="333333"/>
          <w:kern w:val="0"/>
          <w:sz w:val="24"/>
          <w:szCs w:val="24"/>
        </w:rPr>
        <w:t>.</w:t>
      </w:r>
    </w:p>
    <w:p w:rsidR="00E03C98" w:rsidRPr="00E03C98" w:rsidRDefault="00E03C98" w:rsidP="00E03C98">
      <w:pPr>
        <w:widowControl/>
        <w:spacing w:beforeAutospacing="1" w:afterAutospacing="1"/>
        <w:jc w:val="left"/>
        <w:rPr>
          <w:rFonts w:ascii="Arial" w:eastAsia="宋体" w:hAnsi="Arial" w:cs="Arial"/>
          <w:color w:val="333333"/>
          <w:kern w:val="0"/>
          <w:sz w:val="24"/>
          <w:szCs w:val="24"/>
        </w:rPr>
      </w:pPr>
      <w:r w:rsidRPr="00E03C98">
        <w:rPr>
          <w:rFonts w:ascii="Arial" w:eastAsia="宋体" w:hAnsi="Arial" w:cs="Arial"/>
          <w:b/>
          <w:bCs/>
          <w:color w:val="333333"/>
          <w:kern w:val="0"/>
          <w:sz w:val="24"/>
          <w:szCs w:val="24"/>
          <w:u w:val="single"/>
          <w:bdr w:val="none" w:sz="0" w:space="0" w:color="auto" w:frame="1"/>
        </w:rPr>
        <w:t>Forward-Looking Statements</w:t>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This press release contains certain forward-looking statements, including statements regarding market share gains, value creation, customer trends, new stores and distribution centers, property development plans, return of capital, financial guidance for fiscal 2026, including net sales, comparable store sales, operating margin rates, net income, earnings per diluted share and sale-leaseback transactions. All forward-looking statements are subject to the safe harbor provisions of the Private Securities Litigation Reform Act of 1995, are subject to the finalization of the Company’s quarterly financial and accounting procedures, and may be affected by certain risks and uncertainties, any one, or a combination, of which could materially affect the results of the Company’s operations. Forward-looking statements are usually identified by or are associated with such words as “will,” “would,” “intend,” “expect,” “continue,” “believe,” “anticipate,” “optimistic,” “forecasted” and similar terminology. Actual results could vary materially from the expectations reflected in these statements. As with any business, all phases of our operations are subject to facts outside of our control. These factors include, without limitation, the impact of the recent and potential future tariff announcements and the corresponding macroeconomic pressures and those factors discussed in the “Risk Factors” section of the Company’s Annual Reports or Form 10-K and other filings with the Securities and Exchange Commission. Forward-looking statements made by or on behalf of the Company are based on knowledge of its business and the environment in which it operates, but because of the factors listed above, actual results could differ materially from those reflected by any forward-looking statements. Consequently, all of the forward-looking statements made are qualified by these cautionary statements and those contained in the Company’s most recent Annual Report on Form 10-K, quarterly reports on Form 10-Q, and other filings with the Securities and Exchange Commission. There can be no assurance that the results or developments anticipated by the Company will be realized or, even if substantially realized, that they will have the expected consequences to or effects on the Company or its business and operations. Readers are cautioned not to place undue reliance on these forward-looking statements, which speak only as of the date hereof. The Company does not undertake any obligation to release publicly any revisions to these forward-looking statements to reflect events or circumstances after the date hereof or to reflect the occurrence of unanticipated events, except as required by law.</w:t>
      </w:r>
    </w:p>
    <w:p w:rsidR="00E03C98" w:rsidRPr="00E03C98" w:rsidRDefault="00E03C98" w:rsidP="00E03C98">
      <w:pPr>
        <w:widowControl/>
        <w:spacing w:beforeAutospacing="1" w:afterAutospacing="1"/>
        <w:jc w:val="center"/>
        <w:rPr>
          <w:rFonts w:ascii="Arial" w:eastAsia="宋体" w:hAnsi="Arial" w:cs="Arial"/>
          <w:color w:val="333333"/>
          <w:kern w:val="0"/>
          <w:sz w:val="24"/>
          <w:szCs w:val="24"/>
        </w:rPr>
      </w:pPr>
      <w:r w:rsidRPr="00E03C98">
        <w:rPr>
          <w:rFonts w:ascii="inherit" w:eastAsia="宋体" w:hAnsi="inherit" w:cs="Arial"/>
          <w:i/>
          <w:iCs/>
          <w:color w:val="333333"/>
          <w:kern w:val="0"/>
          <w:sz w:val="24"/>
          <w:szCs w:val="24"/>
          <w:bdr w:val="none" w:sz="0" w:space="0" w:color="auto" w:frame="1"/>
        </w:rPr>
        <w:t>(Financial tables to follow)</w:t>
      </w:r>
    </w:p>
    <w:tbl>
      <w:tblPr>
        <w:tblW w:w="19200" w:type="dxa"/>
        <w:tblCellMar>
          <w:left w:w="0" w:type="dxa"/>
          <w:right w:w="0" w:type="dxa"/>
        </w:tblCellMar>
        <w:tblLook w:val="04A0" w:firstRow="1" w:lastRow="0" w:firstColumn="1" w:lastColumn="0" w:noHBand="0" w:noVBand="1"/>
      </w:tblPr>
      <w:tblGrid>
        <w:gridCol w:w="7047"/>
        <w:gridCol w:w="190"/>
        <w:gridCol w:w="1150"/>
        <w:gridCol w:w="190"/>
        <w:gridCol w:w="1147"/>
        <w:gridCol w:w="192"/>
        <w:gridCol w:w="190"/>
        <w:gridCol w:w="191"/>
        <w:gridCol w:w="1151"/>
        <w:gridCol w:w="190"/>
        <w:gridCol w:w="1147"/>
        <w:gridCol w:w="192"/>
        <w:gridCol w:w="190"/>
        <w:gridCol w:w="191"/>
        <w:gridCol w:w="1200"/>
        <w:gridCol w:w="190"/>
        <w:gridCol w:w="1147"/>
        <w:gridCol w:w="192"/>
        <w:gridCol w:w="190"/>
        <w:gridCol w:w="191"/>
        <w:gridCol w:w="1200"/>
        <w:gridCol w:w="190"/>
        <w:gridCol w:w="1147"/>
        <w:gridCol w:w="195"/>
      </w:tblGrid>
      <w:tr w:rsidR="00E03C98" w:rsidRPr="00E03C98" w:rsidTr="00E03C98">
        <w:tc>
          <w:tcPr>
            <w:tcW w:w="0" w:type="auto"/>
            <w:gridSpan w:val="24"/>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u w:val="single"/>
                <w:bdr w:val="none" w:sz="0" w:space="0" w:color="auto" w:frame="1"/>
              </w:rPr>
              <w:t>Consolidated Statements of Income</w:t>
            </w:r>
          </w:p>
          <w:p w:rsidR="00E03C98" w:rsidRPr="00E03C98" w:rsidRDefault="00E03C98" w:rsidP="00E03C98">
            <w:pPr>
              <w:widowControl/>
              <w:jc w:val="center"/>
              <w:rPr>
                <w:rFonts w:ascii="宋体" w:eastAsia="宋体" w:hAnsi="宋体" w:cs="宋体"/>
                <w:kern w:val="0"/>
                <w:sz w:val="24"/>
                <w:szCs w:val="24"/>
              </w:rPr>
            </w:pPr>
            <w:r w:rsidRPr="00E03C98">
              <w:rPr>
                <w:rFonts w:ascii="inherit" w:eastAsia="宋体" w:hAnsi="inherit" w:cs="宋体"/>
                <w:b/>
                <w:bCs/>
                <w:i/>
                <w:iCs/>
                <w:kern w:val="0"/>
                <w:sz w:val="24"/>
                <w:szCs w:val="24"/>
                <w:bdr w:val="none" w:sz="0" w:space="0" w:color="auto" w:frame="1"/>
              </w:rPr>
              <w:t>(Unaudited)</w:t>
            </w:r>
          </w:p>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(in thousands, except per share and percentage data)</w:t>
            </w: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11"/>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11"/>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11"/>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Three</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11"/>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Twelve</w:t>
            </w: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11"/>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11"/>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 of</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 of</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 of</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 of</w:t>
            </w: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w:t>
            </w: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Sales</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Sales</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Sales</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Sales</w:t>
            </w:r>
          </w:p>
        </w:tc>
      </w:tr>
      <w:tr w:rsidR="00E03C98" w:rsidRPr="00E03C98" w:rsidTr="00E03C98">
        <w:tc>
          <w:tcPr>
            <w:tcW w:w="707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 sales</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3,898,320</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100.00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3,773,531</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100.00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15,524,046</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100.00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14,883,231</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100.00</w:t>
            </w:r>
          </w:p>
        </w:tc>
        <w:tc>
          <w:tcPr>
            <w:tcW w:w="195"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7078"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Cost of merchandise sold</w:t>
            </w: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2,528,441</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64.86</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2,443,901</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64.76</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9,869,538</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63.58</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9,486,674</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63.74</w:t>
            </w:r>
          </w:p>
        </w:tc>
        <w:tc>
          <w:tcPr>
            <w:tcW w:w="195"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Gross profit</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1,369,879</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35.14</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1,329,630</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35.24</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5,654,508</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36.42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5,396,557</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36.26</w:t>
            </w:r>
          </w:p>
        </w:tc>
        <w:tc>
          <w:tcPr>
            <w:tcW w:w="195"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Selling, general and administrative expenses</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944,385</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24.23</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891,226</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23.62</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3,693,108</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23.79</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3,481,863</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23.39</w:t>
            </w:r>
          </w:p>
        </w:tc>
        <w:tc>
          <w:tcPr>
            <w:tcW w:w="195"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Depreciation and amortization</w:t>
            </w: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127,763</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3.28</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120,055</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3.18</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494,011</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3.18</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447,162</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3.00</w:t>
            </w:r>
          </w:p>
        </w:tc>
        <w:tc>
          <w:tcPr>
            <w:tcW w:w="19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Operating income</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297,731</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7.64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318,349</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8.44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1,467,389</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9.45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1,467,532</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9.86</w:t>
            </w:r>
          </w:p>
        </w:tc>
        <w:tc>
          <w:tcPr>
            <w:tcW w:w="195"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Interest expense, net</w:t>
            </w: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16,853</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0.43</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17,203</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0.46</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69,144</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0.45</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54,592</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0.37</w:t>
            </w:r>
          </w:p>
        </w:tc>
        <w:tc>
          <w:tcPr>
            <w:tcW w:w="19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Income before income taxes</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280,878</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7.21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301,146</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7.98</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1,398,245</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9.01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1,412,940</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9.49</w:t>
            </w:r>
          </w:p>
        </w:tc>
        <w:tc>
          <w:tcPr>
            <w:tcW w:w="195"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Income tax expense</w:t>
            </w: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53,471</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1.37</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64,739</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1.72</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302,158</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1.95</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311,700</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2.09</w:t>
            </w:r>
          </w:p>
        </w:tc>
        <w:tc>
          <w:tcPr>
            <w:tcW w:w="195"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 income</w:t>
            </w: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227,407</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5.83</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236,407</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6.26</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1,096,087</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7.06</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1,101,240</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7.40</w:t>
            </w:r>
          </w:p>
        </w:tc>
        <w:tc>
          <w:tcPr>
            <w:tcW w:w="195"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707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 income per share - basic</w:t>
            </w: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0.43</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0.44</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2.07</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2.05</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 income per share - diluted</w:t>
            </w: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0.43</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0.44</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2.06</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2.04</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Weighted average shares outstanding:</w:t>
            </w: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Basic</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528,025</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533,588</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529,957</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536,949</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Diluted</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15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530,263</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5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536,376</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532,178</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174"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539,652</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707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Dividends declared per common share outstanding</w:t>
            </w: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0.23</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5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0.22</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0.92</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174"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0.88</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rPr>
          <w:trHeight w:val="330"/>
        </w:trPr>
        <w:tc>
          <w:tcPr>
            <w:tcW w:w="19200" w:type="dxa"/>
            <w:gridSpan w:val="24"/>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inherit" w:eastAsia="宋体" w:hAnsi="inherit" w:cs="宋体"/>
                <w:i/>
                <w:iCs/>
                <w:kern w:val="0"/>
                <w:sz w:val="24"/>
                <w:szCs w:val="24"/>
                <w:bdr w:val="none" w:sz="0" w:space="0" w:color="auto" w:frame="1"/>
              </w:rPr>
              <w:t>Note: Percent of net sales amounts may not sum to totals due to rounding.</w:t>
            </w:r>
          </w:p>
        </w:tc>
      </w:tr>
      <w:tr w:rsidR="00E03C98" w:rsidRPr="00E03C98" w:rsidTr="00E03C98">
        <w:tc>
          <w:tcPr>
            <w:tcW w:w="0" w:type="auto"/>
            <w:gridSpan w:val="24"/>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0" w:type="auto"/>
            <w:gridSpan w:val="24"/>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bl>
    <w:p w:rsidR="00E03C98" w:rsidRPr="00E03C98" w:rsidRDefault="00E03C98" w:rsidP="00E03C98">
      <w:pPr>
        <w:widowControl/>
        <w:jc w:val="left"/>
        <w:rPr>
          <w:rFonts w:ascii="Arial" w:eastAsia="宋体" w:hAnsi="Arial" w:cs="Arial"/>
          <w:vanish/>
          <w:color w:val="333333"/>
          <w:kern w:val="0"/>
          <w:sz w:val="24"/>
          <w:szCs w:val="24"/>
        </w:rPr>
      </w:pPr>
    </w:p>
    <w:tbl>
      <w:tblPr>
        <w:tblW w:w="19200" w:type="dxa"/>
        <w:tblCellMar>
          <w:left w:w="0" w:type="dxa"/>
          <w:right w:w="0" w:type="dxa"/>
        </w:tblCellMar>
        <w:tblLook w:val="04A0" w:firstRow="1" w:lastRow="0" w:firstColumn="1" w:lastColumn="0" w:noHBand="0" w:noVBand="1"/>
      </w:tblPr>
      <w:tblGrid>
        <w:gridCol w:w="9600"/>
        <w:gridCol w:w="192"/>
        <w:gridCol w:w="1920"/>
        <w:gridCol w:w="192"/>
        <w:gridCol w:w="192"/>
        <w:gridCol w:w="1920"/>
        <w:gridCol w:w="192"/>
        <w:gridCol w:w="192"/>
        <w:gridCol w:w="192"/>
        <w:gridCol w:w="1920"/>
        <w:gridCol w:w="192"/>
        <w:gridCol w:w="192"/>
        <w:gridCol w:w="192"/>
        <w:gridCol w:w="1920"/>
        <w:gridCol w:w="192"/>
      </w:tblGrid>
      <w:tr w:rsidR="00E03C98" w:rsidRPr="00E03C98" w:rsidTr="00E03C98">
        <w:tc>
          <w:tcPr>
            <w:tcW w:w="0" w:type="auto"/>
            <w:gridSpan w:val="15"/>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u w:val="single"/>
                <w:bdr w:val="none" w:sz="0" w:space="0" w:color="auto" w:frame="1"/>
              </w:rPr>
              <w:t>Consolidated Statements of Comprehensive Income</w:t>
            </w:r>
          </w:p>
          <w:p w:rsidR="00E03C98" w:rsidRPr="00E03C98" w:rsidRDefault="00E03C98" w:rsidP="00E03C98">
            <w:pPr>
              <w:widowControl/>
              <w:jc w:val="center"/>
              <w:rPr>
                <w:rFonts w:ascii="宋体" w:eastAsia="宋体" w:hAnsi="宋体" w:cs="宋体"/>
                <w:kern w:val="0"/>
                <w:sz w:val="24"/>
                <w:szCs w:val="24"/>
              </w:rPr>
            </w:pPr>
            <w:r w:rsidRPr="00E03C98">
              <w:rPr>
                <w:rFonts w:ascii="inherit" w:eastAsia="宋体" w:hAnsi="inherit" w:cs="宋体"/>
                <w:b/>
                <w:bCs/>
                <w:i/>
                <w:iCs/>
                <w:kern w:val="0"/>
                <w:sz w:val="24"/>
                <w:szCs w:val="24"/>
                <w:bdr w:val="none" w:sz="0" w:space="0" w:color="auto" w:frame="1"/>
              </w:rPr>
              <w:t>(Unaudited)</w:t>
            </w:r>
          </w:p>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(in thousands)</w:t>
            </w:r>
          </w:p>
        </w:tc>
      </w:tr>
      <w:tr w:rsidR="00E03C98" w:rsidRPr="00E03C98" w:rsidTr="00E03C98">
        <w:tc>
          <w:tcPr>
            <w:tcW w:w="96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6"/>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600"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6"/>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Three</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Twelve</w:t>
            </w:r>
          </w:p>
        </w:tc>
      </w:tr>
      <w:tr w:rsidR="00E03C98" w:rsidRPr="00E03C98" w:rsidTr="00E03C98">
        <w:tc>
          <w:tcPr>
            <w:tcW w:w="96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6"/>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r>
      <w:tr w:rsidR="00E03C98" w:rsidRPr="00E03C98" w:rsidTr="00E03C98">
        <w:tc>
          <w:tcPr>
            <w:tcW w:w="96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r>
      <w:tr w:rsidR="00E03C98" w:rsidRPr="00E03C98" w:rsidTr="00E03C98">
        <w:tc>
          <w:tcPr>
            <w:tcW w:w="96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income</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227,407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236,407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1,096,087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1,101,240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6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Other comprehensive loss:</w:t>
            </w:r>
          </w:p>
        </w:tc>
        <w:tc>
          <w:tcPr>
            <w:tcW w:w="0" w:type="auto"/>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6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Change in fair value of interest rate swaps, net of taxes</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(1,333</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(1,217</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(5,576</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6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other comprehensive loss</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(1,333</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(1,217</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(5,576</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6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Total comprehensive income</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227,407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235,074</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1,094,870</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1,095,664</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0" w:type="auto"/>
            <w:tcBorders>
              <w:top w:val="nil"/>
              <w:left w:val="nil"/>
              <w:bottom w:val="nil"/>
              <w:right w:val="nil"/>
            </w:tcBorders>
            <w:vAlign w:val="bottom"/>
            <w:hideMark/>
          </w:tcPr>
          <w:p w:rsidR="00E03C98" w:rsidRPr="00E03C98" w:rsidRDefault="00E03C98" w:rsidP="00E03C98">
            <w:pPr>
              <w:widowControl/>
              <w:jc w:val="righ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0" w:type="auto"/>
            <w:gridSpan w:val="15"/>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u w:val="single"/>
                <w:bdr w:val="none" w:sz="0" w:space="0" w:color="auto" w:frame="1"/>
              </w:rPr>
              <w:t>Consolidated Balance Sheets</w:t>
            </w:r>
          </w:p>
          <w:p w:rsidR="00E03C98" w:rsidRPr="00E03C98" w:rsidRDefault="00E03C98" w:rsidP="00E03C98">
            <w:pPr>
              <w:widowControl/>
              <w:jc w:val="center"/>
              <w:rPr>
                <w:rFonts w:ascii="宋体" w:eastAsia="宋体" w:hAnsi="宋体" w:cs="宋体"/>
                <w:kern w:val="0"/>
                <w:sz w:val="24"/>
                <w:szCs w:val="24"/>
              </w:rPr>
            </w:pPr>
            <w:r w:rsidRPr="00E03C98">
              <w:rPr>
                <w:rFonts w:ascii="inherit" w:eastAsia="宋体" w:hAnsi="inherit" w:cs="宋体"/>
                <w:b/>
                <w:bCs/>
                <w:i/>
                <w:iCs/>
                <w:kern w:val="0"/>
                <w:sz w:val="24"/>
                <w:szCs w:val="24"/>
                <w:bdr w:val="none" w:sz="0" w:space="0" w:color="auto" w:frame="1"/>
              </w:rPr>
              <w:t>(Unaudited)</w:t>
            </w:r>
          </w:p>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(in thousands)</w:t>
            </w: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ASSETS</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Current assets:</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and cash equivalents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194,109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251,491</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Inventories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3,084,086</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2,840,177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Prepaid expenses and other current assets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202,557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196,614</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Income taxes receivable</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27,045</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21,635</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current assets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3,507,797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3,309,917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Property and equipment, net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3,026,544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2,727,436</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Operating lease right-of-use assets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3,938,427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3,415,444</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Goodwill and other intangible assets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398,755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269,520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Other assets</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62,156</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83,168</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assets</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10,933,679</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9,805,485</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LIABILITIES AND STOCKHOLDERS’ EQUITY</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Current liabilities:</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Accounts payable</w:t>
            </w: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1,390,833</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1,236,177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Accrued employee compensation</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114,841</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100,853</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Other accrued expenses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653,482</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581,971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Current portion of finance lease liabilities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5,426</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3,300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Current portion of operating lease liabilities</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449,867</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396,892</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current liabilities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2,614,449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2,319,193</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Long-term debt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1,764,974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1,831,969</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Finance lease liabilities, less current portion</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30,722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27,983</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Operating lease liabilities, less current portion</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3,691,880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3,164,273</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Deferred income taxes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95,042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44,320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Other long-term liabilities</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155,319</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147,413</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liabilities</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8,352,386</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7,535,151</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Stockholders’ equity:</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Common stock</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7,128</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7,116</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Additional paid-in capital</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1,441,269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1,376,532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Treasury stock</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(6,386,229</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(6,025,238</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gridSpan w:val="8"/>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Accumulated other comprehensive income</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1,217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Retained earnings</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7,519,125</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6,910,707</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stockholders’ equity</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2,581,293</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2,270,334</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gridSpan w:val="8"/>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liabilities and stockholders’ equity</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10,933,679</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9,805,485</w:t>
            </w:r>
          </w:p>
        </w:tc>
        <w:tc>
          <w:tcPr>
            <w:tcW w:w="192"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0" w:type="auto"/>
            <w:gridSpan w:val="8"/>
            <w:tcBorders>
              <w:top w:val="nil"/>
              <w:left w:val="nil"/>
              <w:bottom w:val="nil"/>
              <w:right w:val="nil"/>
            </w:tcBorders>
            <w:vAlign w:val="bottom"/>
            <w:hideMark/>
          </w:tcPr>
          <w:p w:rsidR="00E03C98" w:rsidRPr="00E03C98" w:rsidRDefault="00E03C98" w:rsidP="00E03C98">
            <w:pPr>
              <w:widowControl/>
              <w:jc w:val="righ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0" w:type="auto"/>
            <w:gridSpan w:val="8"/>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bl>
    <w:p w:rsidR="00E03C98" w:rsidRPr="00E03C98" w:rsidRDefault="00E03C98" w:rsidP="00E03C98">
      <w:pPr>
        <w:widowControl/>
        <w:jc w:val="left"/>
        <w:rPr>
          <w:rFonts w:ascii="Arial" w:eastAsia="宋体" w:hAnsi="Arial" w:cs="Arial"/>
          <w:vanish/>
          <w:color w:val="333333"/>
          <w:kern w:val="0"/>
          <w:sz w:val="24"/>
          <w:szCs w:val="24"/>
        </w:rPr>
      </w:pPr>
    </w:p>
    <w:tbl>
      <w:tblPr>
        <w:tblW w:w="19200" w:type="dxa"/>
        <w:tblCellMar>
          <w:left w:w="0" w:type="dxa"/>
          <w:right w:w="0" w:type="dxa"/>
        </w:tblCellMar>
        <w:tblLook w:val="04A0" w:firstRow="1" w:lastRow="0" w:firstColumn="1" w:lastColumn="0" w:noHBand="0" w:noVBand="1"/>
      </w:tblPr>
      <w:tblGrid>
        <w:gridCol w:w="14400"/>
        <w:gridCol w:w="192"/>
        <w:gridCol w:w="1920"/>
        <w:gridCol w:w="192"/>
        <w:gridCol w:w="192"/>
        <w:gridCol w:w="192"/>
        <w:gridCol w:w="1920"/>
        <w:gridCol w:w="192"/>
      </w:tblGrid>
      <w:tr w:rsidR="00E03C98" w:rsidRPr="00E03C98" w:rsidTr="00E03C98">
        <w:tc>
          <w:tcPr>
            <w:tcW w:w="0" w:type="auto"/>
            <w:gridSpan w:val="8"/>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u w:val="single"/>
                <w:bdr w:val="none" w:sz="0" w:space="0" w:color="auto" w:frame="1"/>
              </w:rPr>
              <w:t>Consolidated Statements of Cash Flows</w:t>
            </w:r>
          </w:p>
          <w:p w:rsidR="00E03C98" w:rsidRPr="00E03C98" w:rsidRDefault="00E03C98" w:rsidP="00E03C98">
            <w:pPr>
              <w:widowControl/>
              <w:jc w:val="center"/>
              <w:rPr>
                <w:rFonts w:ascii="宋体" w:eastAsia="宋体" w:hAnsi="宋体" w:cs="宋体"/>
                <w:kern w:val="0"/>
                <w:sz w:val="24"/>
                <w:szCs w:val="24"/>
              </w:rPr>
            </w:pPr>
            <w:r w:rsidRPr="00E03C98">
              <w:rPr>
                <w:rFonts w:ascii="inherit" w:eastAsia="宋体" w:hAnsi="inherit" w:cs="宋体"/>
                <w:b/>
                <w:bCs/>
                <w:i/>
                <w:iCs/>
                <w:kern w:val="0"/>
                <w:sz w:val="24"/>
                <w:szCs w:val="24"/>
                <w:bdr w:val="none" w:sz="0" w:space="0" w:color="auto" w:frame="1"/>
              </w:rPr>
              <w:t>(Unaudited)</w:t>
            </w:r>
          </w:p>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(in thousands)</w:t>
            </w: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Twelve Months Ended</w:t>
            </w: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Cash flows from operating activities:</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income</w:t>
            </w: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1,096,087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1,101,240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Adjustments to reconcile net income to net cash provided by operating activities:</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Depreciation and amortization</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494,011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447,162</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Gain on disposition of property and equipment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(93,058</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(62,500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Share-based compensation expense</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57,063</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48,367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Deferred income taxes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61,267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(22,602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Change in assets and liabilities:</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Inventories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(225,687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(194,323</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Prepaid expenses and other current assets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(1,262</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11,484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Accounts payable</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143,429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56,374</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Accrued employee compensation</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13,688</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9,375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Other accrued expenses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25,096</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20,917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Income taxes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(5,940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(19,174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Other</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70,564</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24,515</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cash provided by operating activities</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1,635,258</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1,420,835</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Cash flows from investing activities:</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Capital expenditures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(894,770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(784,047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Proceeds from sale of property and equipment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256,087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140,129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 xml:space="preserve">Acquisition of </w:t>
            </w:r>
            <w:proofErr w:type="spellStart"/>
            <w:r w:rsidRPr="00E03C98">
              <w:rPr>
                <w:rFonts w:ascii="宋体" w:eastAsia="宋体" w:hAnsi="宋体" w:cs="宋体"/>
                <w:kern w:val="0"/>
                <w:sz w:val="24"/>
                <w:szCs w:val="24"/>
              </w:rPr>
              <w:t>Allivet</w:t>
            </w:r>
            <w:proofErr w:type="spellEnd"/>
            <w:r w:rsidRPr="00E03C98">
              <w:rPr>
                <w:rFonts w:ascii="宋体" w:eastAsia="宋体" w:hAnsi="宋体" w:cs="宋体"/>
                <w:kern w:val="0"/>
                <w:sz w:val="24"/>
                <w:szCs w:val="24"/>
              </w:rPr>
              <w:t>, net of cash acquired</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(139,895</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cash used in investing activities</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(778,578</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(643,918</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Cash flows from financing activities:</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Borrowings under debt facilities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3,125,000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785,000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Repayments under debt facilities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(3,195,000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(685,000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Principal payments under finance lease liabilities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(2,819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(4,787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Repurchase of shares to satisfy tax obligations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(15,877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(23,941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Repurchase of common stock</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(361,261</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(560,634</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proceeds from issuance of common stock</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23,563</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39,357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dividends paid to stockholders</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(487,669</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(472,492</w:t>
            </w:r>
          </w:p>
        </w:tc>
        <w:tc>
          <w:tcPr>
            <w:tcW w:w="192"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Net cash used in financing activities</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(914,063</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(922,497</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Net (decrease) increase in cash and cash equivalents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(57,383</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(145,580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and cash equivalents at beginning of period</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251,491</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397,071</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and cash equivalents at end of period</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194,108</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251,491</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Supplemental disclosures of cash flow information:</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paid for interest, net of amounts capitalized</w:t>
            </w: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69,757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65,865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paid for federal income taxes</w:t>
            </w:r>
            <w:r w:rsidRPr="00E03C98">
              <w:rPr>
                <w:rFonts w:ascii="inherit" w:eastAsia="宋体" w:hAnsi="inherit" w:cs="宋体"/>
                <w:kern w:val="0"/>
                <w:sz w:val="20"/>
                <w:szCs w:val="20"/>
                <w:bdr w:val="none" w:sz="0" w:space="0" w:color="auto" w:frame="1"/>
                <w:vertAlign w:val="superscript"/>
              </w:rPr>
              <w:t>(a)</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198,908</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309,619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Cash paid for state income taxes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36,011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41,845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Supplemental disclosures of non-cash activities:</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Non-cash accruals for property and equipment</w:t>
            </w: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122,692</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82,324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Increase in operating lease liabilities resulting from new or modified right-of-use assets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928,057</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659,008</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14400" w:type="dxa"/>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Increase in finance lease liabilities resulting from new or modified right-of-use assets</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7,679</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0" w:type="auto"/>
            <w:tcBorders>
              <w:top w:val="nil"/>
              <w:left w:val="nil"/>
              <w:bottom w:val="nil"/>
              <w:right w:val="nil"/>
            </w:tcBorders>
            <w:vAlign w:val="bottom"/>
            <w:hideMark/>
          </w:tcPr>
          <w:p w:rsidR="00E03C98" w:rsidRPr="00E03C98" w:rsidRDefault="00E03C98" w:rsidP="00E03C98">
            <w:pPr>
              <w:widowControl/>
              <w:jc w:val="righ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9200" w:type="dxa"/>
            <w:gridSpan w:val="8"/>
            <w:tcBorders>
              <w:top w:val="nil"/>
              <w:left w:val="nil"/>
              <w:bottom w:val="nil"/>
              <w:right w:val="nil"/>
            </w:tcBorders>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 Cash paid for federal income taxes for the fiscal year ended December 27, 2025 includes $168.9 million of cash paid for the purchase of transferable federal tax credits.</w:t>
            </w:r>
          </w:p>
        </w:tc>
      </w:tr>
    </w:tbl>
    <w:p w:rsidR="00E03C98" w:rsidRPr="00E03C98" w:rsidRDefault="00E03C98" w:rsidP="00E03C98">
      <w:pPr>
        <w:widowControl/>
        <w:jc w:val="left"/>
        <w:rPr>
          <w:rFonts w:ascii="Arial" w:eastAsia="宋体" w:hAnsi="Arial" w:cs="Arial"/>
          <w:vanish/>
          <w:color w:val="333333"/>
          <w:kern w:val="0"/>
          <w:sz w:val="24"/>
          <w:szCs w:val="24"/>
        </w:rPr>
      </w:pPr>
    </w:p>
    <w:tbl>
      <w:tblPr>
        <w:tblW w:w="19200" w:type="dxa"/>
        <w:tblCellMar>
          <w:left w:w="0" w:type="dxa"/>
          <w:right w:w="0" w:type="dxa"/>
        </w:tblCellMar>
        <w:tblLook w:val="04A0" w:firstRow="1" w:lastRow="0" w:firstColumn="1" w:lastColumn="0" w:noHBand="0" w:noVBand="1"/>
      </w:tblPr>
      <w:tblGrid>
        <w:gridCol w:w="8306"/>
        <w:gridCol w:w="940"/>
        <w:gridCol w:w="191"/>
        <w:gridCol w:w="1897"/>
        <w:gridCol w:w="259"/>
        <w:gridCol w:w="188"/>
        <w:gridCol w:w="191"/>
        <w:gridCol w:w="1897"/>
        <w:gridCol w:w="259"/>
        <w:gridCol w:w="188"/>
        <w:gridCol w:w="191"/>
        <w:gridCol w:w="1897"/>
        <w:gridCol w:w="259"/>
        <w:gridCol w:w="188"/>
        <w:gridCol w:w="191"/>
        <w:gridCol w:w="1897"/>
        <w:gridCol w:w="261"/>
      </w:tblGrid>
      <w:tr w:rsidR="00E03C98" w:rsidRPr="00E03C98" w:rsidTr="00E03C98">
        <w:tc>
          <w:tcPr>
            <w:tcW w:w="0" w:type="auto"/>
            <w:gridSpan w:val="17"/>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u w:val="single"/>
                <w:bdr w:val="none" w:sz="0" w:space="0" w:color="auto" w:frame="1"/>
              </w:rPr>
              <w:t>Selected Financial and Operating Information</w:t>
            </w:r>
          </w:p>
          <w:p w:rsidR="00E03C98" w:rsidRPr="00E03C98" w:rsidRDefault="00E03C98" w:rsidP="00E03C98">
            <w:pPr>
              <w:widowControl/>
              <w:jc w:val="center"/>
              <w:rPr>
                <w:rFonts w:ascii="宋体" w:eastAsia="宋体" w:hAnsi="宋体" w:cs="宋体"/>
                <w:kern w:val="0"/>
                <w:sz w:val="24"/>
                <w:szCs w:val="24"/>
              </w:rPr>
            </w:pPr>
            <w:r w:rsidRPr="00E03C98">
              <w:rPr>
                <w:rFonts w:ascii="inherit" w:eastAsia="宋体" w:hAnsi="inherit" w:cs="宋体"/>
                <w:b/>
                <w:bCs/>
                <w:i/>
                <w:iCs/>
                <w:kern w:val="0"/>
                <w:sz w:val="24"/>
                <w:szCs w:val="24"/>
                <w:bdr w:val="none" w:sz="0" w:space="0" w:color="auto" w:frame="1"/>
              </w:rPr>
              <w:t>(Unaudited)</w:t>
            </w: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7"/>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Three</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Twelve</w:t>
            </w: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7"/>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Sales Information:</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Comparable store sales increase</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0.3</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0.6</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0.2</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New store sales (% of total sales)</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3.3</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Average transaction value</w:t>
            </w: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59.48</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59.39</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60.00</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60.20</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Comparable store average transaction value increase/(decrease)</w:t>
            </w:r>
            <w:r w:rsidRPr="00E03C98">
              <w:rPr>
                <w:rFonts w:ascii="inherit" w:eastAsia="宋体" w:hAnsi="inherit" w:cs="宋体"/>
                <w:kern w:val="0"/>
                <w:sz w:val="20"/>
                <w:szCs w:val="20"/>
                <w:bdr w:val="none" w:sz="0" w:space="0" w:color="auto" w:frame="1"/>
                <w:vertAlign w:val="superscript"/>
              </w:rPr>
              <w:t> (a)</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0.3</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(1.7</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(0.2</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(0.6</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Comparable store average transaction count increase/(decrease)</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(0.1</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0.8</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 selling square footage (000’s)</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40,765</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39,105</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40,765</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39,105</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Owned Brands and Exclusive Product Categories (% of total sales)</w:t>
            </w:r>
            <w:r w:rsidRPr="00E03C98">
              <w:rPr>
                <w:rFonts w:ascii="inherit" w:eastAsia="宋体" w:hAnsi="inherit" w:cs="宋体"/>
                <w:kern w:val="0"/>
                <w:sz w:val="20"/>
                <w:szCs w:val="20"/>
                <w:bdr w:val="none" w:sz="0" w:space="0" w:color="auto" w:frame="1"/>
                <w:vertAlign w:val="superscript"/>
              </w:rPr>
              <w:t>(b)</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30.9</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29.6</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30.0</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28.8</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Imports (% of total sales)</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13.6</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14.8</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11.4</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11.9</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Store Count Information:</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inherit" w:eastAsia="宋体" w:hAnsi="inherit" w:cs="宋体"/>
                <w:i/>
                <w:iCs/>
                <w:kern w:val="0"/>
                <w:sz w:val="24"/>
                <w:szCs w:val="24"/>
                <w:u w:val="single"/>
                <w:bdr w:val="none" w:sz="0" w:space="0" w:color="auto" w:frame="1"/>
              </w:rPr>
              <w:t>Tractor Supply</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Beginning of period</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2,364</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2,270</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2,296</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2,216</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New stores opened</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31</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26</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99</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80</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Stores closed</w:t>
            </w: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25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25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25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2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End of period</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2,395</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2,296</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2,395</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2,296</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roofErr w:type="spellStart"/>
            <w:r w:rsidRPr="00E03C98">
              <w:rPr>
                <w:rFonts w:ascii="inherit" w:eastAsia="宋体" w:hAnsi="inherit" w:cs="宋体"/>
                <w:i/>
                <w:iCs/>
                <w:kern w:val="0"/>
                <w:sz w:val="24"/>
                <w:szCs w:val="24"/>
                <w:u w:val="single"/>
                <w:bdr w:val="none" w:sz="0" w:space="0" w:color="auto" w:frame="1"/>
              </w:rPr>
              <w:t>Petsense</w:t>
            </w:r>
            <w:proofErr w:type="spellEnd"/>
            <w:r w:rsidRPr="00E03C98">
              <w:rPr>
                <w:rFonts w:ascii="inherit" w:eastAsia="宋体" w:hAnsi="inherit" w:cs="宋体"/>
                <w:i/>
                <w:iCs/>
                <w:kern w:val="0"/>
                <w:sz w:val="24"/>
                <w:szCs w:val="24"/>
                <w:u w:val="single"/>
                <w:bdr w:val="none" w:sz="0" w:space="0" w:color="auto" w:frame="1"/>
              </w:rPr>
              <w:t xml:space="preserve"> by Tractor Supply</w:t>
            </w: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Beginning of period</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206</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205</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206</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198</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New stores opened</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tcMar>
              <w:top w:w="0" w:type="dxa"/>
              <w:left w:w="450"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Stores closed</w:t>
            </w: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259"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w:t>
            </w:r>
          </w:p>
        </w:tc>
        <w:tc>
          <w:tcPr>
            <w:tcW w:w="259"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w:t>
            </w:r>
          </w:p>
        </w:tc>
        <w:tc>
          <w:tcPr>
            <w:tcW w:w="259"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c>
          <w:tcPr>
            <w:tcW w:w="188"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w:t>
            </w:r>
          </w:p>
        </w:tc>
        <w:tc>
          <w:tcPr>
            <w:tcW w:w="261"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w:t>
            </w:r>
          </w:p>
        </w:tc>
      </w:tr>
      <w:tr w:rsidR="00E03C98" w:rsidRPr="00E03C98" w:rsidTr="00E03C98">
        <w:tc>
          <w:tcPr>
            <w:tcW w:w="9249" w:type="dxa"/>
            <w:gridSpan w:val="2"/>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End of period</w:t>
            </w: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207</w:t>
            </w:r>
          </w:p>
        </w:tc>
        <w:tc>
          <w:tcPr>
            <w:tcW w:w="25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206</w:t>
            </w:r>
          </w:p>
        </w:tc>
        <w:tc>
          <w:tcPr>
            <w:tcW w:w="25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207</w:t>
            </w:r>
          </w:p>
        </w:tc>
        <w:tc>
          <w:tcPr>
            <w:tcW w:w="259"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206</w:t>
            </w:r>
          </w:p>
        </w:tc>
        <w:tc>
          <w:tcPr>
            <w:tcW w:w="261" w:type="dxa"/>
            <w:tcBorders>
              <w:top w:val="nil"/>
              <w:left w:val="nil"/>
              <w:bottom w:val="single" w:sz="8" w:space="0" w:color="000000"/>
              <w:right w:val="nil"/>
            </w:tcBorders>
            <w:shd w:val="clear" w:color="auto" w:fill="CCEEFF"/>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Consolidated end of period</w:t>
            </w: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2,602</w:t>
            </w:r>
          </w:p>
        </w:tc>
        <w:tc>
          <w:tcPr>
            <w:tcW w:w="259"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2,502</w:t>
            </w:r>
          </w:p>
        </w:tc>
        <w:tc>
          <w:tcPr>
            <w:tcW w:w="259"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2,602</w:t>
            </w:r>
          </w:p>
        </w:tc>
        <w:tc>
          <w:tcPr>
            <w:tcW w:w="259"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2,502</w:t>
            </w:r>
          </w:p>
        </w:tc>
        <w:tc>
          <w:tcPr>
            <w:tcW w:w="261" w:type="dxa"/>
            <w:tcBorders>
              <w:top w:val="nil"/>
              <w:left w:val="nil"/>
              <w:bottom w:val="double" w:sz="6" w:space="0" w:color="000000"/>
              <w:right w:val="nil"/>
            </w:tcBorders>
            <w:tcMar>
              <w:top w:w="0" w:type="dxa"/>
              <w:left w:w="0" w:type="dxa"/>
              <w:bottom w:w="75"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Pre-opening costs (000’s)</w:t>
            </w: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4,977</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2,865</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17,763</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9,718</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Balance Sheet Information:</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Average inventory per store (000’s)</w:t>
            </w:r>
            <w:r w:rsidRPr="00E03C98">
              <w:rPr>
                <w:rFonts w:ascii="inherit" w:eastAsia="宋体" w:hAnsi="inherit" w:cs="宋体"/>
                <w:kern w:val="0"/>
                <w:sz w:val="20"/>
                <w:szCs w:val="20"/>
                <w:bdr w:val="none" w:sz="0" w:space="0" w:color="auto" w:frame="1"/>
                <w:vertAlign w:val="superscript"/>
              </w:rPr>
              <w:t>(c)</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1,116.3</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1,063.7</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1,116.3</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1,063.7</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Inventory turns (annualized)</w:t>
            </w:r>
          </w:p>
        </w:tc>
        <w:tc>
          <w:tcPr>
            <w:tcW w:w="19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3.22</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3.34</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3.24</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3.30</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Share repurchase program:</w:t>
            </w: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3"/>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9249" w:type="dxa"/>
            <w:gridSpan w:val="2"/>
            <w:tcBorders>
              <w:top w:val="nil"/>
              <w:left w:val="nil"/>
              <w:bottom w:val="nil"/>
              <w:right w:val="nil"/>
            </w:tcBorders>
            <w:shd w:val="clear" w:color="auto" w:fill="CCEEFF"/>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Cost (000’s)</w:t>
            </w:r>
            <w:r w:rsidRPr="00E03C98">
              <w:rPr>
                <w:rFonts w:ascii="inherit" w:eastAsia="宋体" w:hAnsi="inherit" w:cs="宋体"/>
                <w:kern w:val="0"/>
                <w:sz w:val="20"/>
                <w:szCs w:val="20"/>
                <w:bdr w:val="none" w:sz="0" w:space="0" w:color="auto" w:frame="1"/>
                <w:vertAlign w:val="superscript"/>
              </w:rPr>
              <w:t>(d)</w:t>
            </w: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118,438</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155,909</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360,991</w:t>
            </w:r>
          </w:p>
        </w:tc>
        <w:tc>
          <w:tcPr>
            <w:tcW w:w="259"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566,383</w:t>
            </w:r>
          </w:p>
        </w:tc>
        <w:tc>
          <w:tcPr>
            <w:tcW w:w="261"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c>
          <w:tcPr>
            <w:tcW w:w="9249" w:type="dxa"/>
            <w:gridSpan w:val="2"/>
            <w:tcBorders>
              <w:top w:val="nil"/>
              <w:left w:val="nil"/>
              <w:bottom w:val="nil"/>
              <w:right w:val="nil"/>
            </w:tcBorders>
            <w:tcMar>
              <w:top w:w="0" w:type="dxa"/>
              <w:left w:w="225" w:type="dxa"/>
              <w:bottom w:w="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Average purchase price per share</w:t>
            </w: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54.13</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56.42</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54.53</w:t>
            </w:r>
          </w:p>
        </w:tc>
        <w:tc>
          <w:tcPr>
            <w:tcW w:w="259"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88"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1"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897"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53.03</w:t>
            </w:r>
          </w:p>
        </w:tc>
        <w:tc>
          <w:tcPr>
            <w:tcW w:w="261"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rPr>
          <w:gridAfter w:val="16"/>
          <w:wAfter w:w="10894" w:type="dxa"/>
        </w:trPr>
        <w:tc>
          <w:tcPr>
            <w:tcW w:w="0" w:type="auto"/>
            <w:tcBorders>
              <w:top w:val="nil"/>
              <w:left w:val="nil"/>
              <w:bottom w:val="nil"/>
              <w:right w:val="nil"/>
            </w:tcBorders>
            <w:tcMar>
              <w:top w:w="0" w:type="dxa"/>
              <w:left w:w="450" w:type="dxa"/>
              <w:bottom w:w="0" w:type="dxa"/>
              <w:right w:w="0" w:type="dxa"/>
            </w:tcMar>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(a) Comparable store average transaction value changes include the impact of transaction value changes achieved on the current period change in transaction count.</w:t>
            </w:r>
          </w:p>
        </w:tc>
      </w:tr>
      <w:tr w:rsidR="00E03C98" w:rsidRPr="00E03C98" w:rsidTr="00E03C98">
        <w:trPr>
          <w:gridAfter w:val="16"/>
          <w:wAfter w:w="10894" w:type="dxa"/>
        </w:trPr>
        <w:tc>
          <w:tcPr>
            <w:tcW w:w="0" w:type="auto"/>
            <w:tcBorders>
              <w:top w:val="nil"/>
              <w:left w:val="nil"/>
              <w:bottom w:val="nil"/>
              <w:right w:val="nil"/>
            </w:tcBorders>
            <w:tcMar>
              <w:top w:w="0" w:type="dxa"/>
              <w:left w:w="450" w:type="dxa"/>
              <w:bottom w:w="0" w:type="dxa"/>
              <w:right w:w="0" w:type="dxa"/>
            </w:tcMar>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(b) Beginning in the fiscal year ended December 27, 2025, the metric of exclusive brands as a percentage of total sales, which historically included only Tractor Supply Owned Brands, was revised to include both Tractor Supply Owned Brands and Exclusive Product Categories as a percentage of total sales. Prior period amounts have been recast to conform to the current year presentation.</w:t>
            </w:r>
          </w:p>
        </w:tc>
      </w:tr>
      <w:tr w:rsidR="00E03C98" w:rsidRPr="00E03C98" w:rsidTr="00E03C98">
        <w:trPr>
          <w:gridAfter w:val="16"/>
          <w:wAfter w:w="10894" w:type="dxa"/>
        </w:trPr>
        <w:tc>
          <w:tcPr>
            <w:tcW w:w="0" w:type="auto"/>
            <w:tcBorders>
              <w:top w:val="nil"/>
              <w:left w:val="nil"/>
              <w:bottom w:val="nil"/>
              <w:right w:val="nil"/>
            </w:tcBorders>
            <w:tcMar>
              <w:top w:w="0" w:type="dxa"/>
              <w:left w:w="450" w:type="dxa"/>
              <w:bottom w:w="0" w:type="dxa"/>
              <w:right w:w="0" w:type="dxa"/>
            </w:tcMar>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 Assumes average inventory cost, excluding inventory in transit.</w:t>
            </w:r>
          </w:p>
        </w:tc>
      </w:tr>
      <w:tr w:rsidR="00E03C98" w:rsidRPr="00E03C98" w:rsidTr="00E03C98">
        <w:trPr>
          <w:gridAfter w:val="16"/>
          <w:wAfter w:w="10894" w:type="dxa"/>
        </w:trPr>
        <w:tc>
          <w:tcPr>
            <w:tcW w:w="0" w:type="auto"/>
            <w:tcBorders>
              <w:top w:val="nil"/>
              <w:left w:val="nil"/>
              <w:bottom w:val="nil"/>
              <w:right w:val="nil"/>
            </w:tcBorders>
            <w:tcMar>
              <w:top w:w="0" w:type="dxa"/>
              <w:left w:w="450" w:type="dxa"/>
              <w:bottom w:w="0" w:type="dxa"/>
              <w:right w:w="0" w:type="dxa"/>
            </w:tcMar>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 Effective January 1, 2023, the Company’s share repurchases are subject to a 1% excise tax as a result of the Inflation Reduction Act of 2022. Excise taxes incurred on share repurchases represent direct costs of the repurchase and are recorded as a part of the cost basis of the shares within treasury stock.</w:t>
            </w:r>
          </w:p>
        </w:tc>
      </w:tr>
      <w:tr w:rsidR="00E03C98" w:rsidRPr="00E03C98" w:rsidTr="00E03C98">
        <w:trPr>
          <w:gridAfter w:val="16"/>
          <w:wAfter w:w="10894" w:type="dxa"/>
        </w:trPr>
        <w:tc>
          <w:tcPr>
            <w:tcW w:w="0" w:type="auto"/>
            <w:tcBorders>
              <w:top w:val="nil"/>
              <w:left w:val="nil"/>
              <w:bottom w:val="nil"/>
              <w:right w:val="nil"/>
            </w:tcBorders>
            <w:tcMar>
              <w:top w:w="0" w:type="dxa"/>
              <w:left w:w="450" w:type="dxa"/>
              <w:bottom w:w="0" w:type="dxa"/>
              <w:right w:w="0" w:type="dxa"/>
            </w:tcMar>
            <w:hideMark/>
          </w:tcPr>
          <w:p w:rsidR="00E03C98" w:rsidRPr="00E03C98" w:rsidRDefault="00E03C98" w:rsidP="00E03C98">
            <w:pPr>
              <w:widowControl/>
              <w:jc w:val="left"/>
              <w:rPr>
                <w:rFonts w:ascii="宋体" w:eastAsia="宋体" w:hAnsi="宋体" w:cs="宋体"/>
                <w:kern w:val="0"/>
                <w:sz w:val="24"/>
                <w:szCs w:val="24"/>
              </w:rPr>
            </w:pPr>
            <w:r w:rsidRPr="00E03C98">
              <w:rPr>
                <w:rFonts w:ascii="inherit" w:eastAsia="宋体" w:hAnsi="inherit" w:cs="宋体"/>
                <w:i/>
                <w:iCs/>
                <w:kern w:val="0"/>
                <w:sz w:val="20"/>
                <w:szCs w:val="20"/>
                <w:bdr w:val="none" w:sz="0" w:space="0" w:color="auto" w:frame="1"/>
                <w:vertAlign w:val="superscript"/>
              </w:rPr>
              <w:t>Note: Comparable store metrics percentages may not sum to total due to rounding.</w:t>
            </w:r>
          </w:p>
        </w:tc>
      </w:tr>
      <w:tr w:rsidR="00E03C98" w:rsidRPr="00E03C98" w:rsidTr="00E03C98">
        <w:trPr>
          <w:gridAfter w:val="16"/>
          <w:wAfter w:w="10894" w:type="dxa"/>
        </w:trPr>
        <w:tc>
          <w:tcPr>
            <w:tcW w:w="0" w:type="auto"/>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r>
      <w:tr w:rsidR="00E03C98" w:rsidRPr="00E03C98" w:rsidTr="00E03C98">
        <w:trPr>
          <w:gridAfter w:val="16"/>
          <w:wAfter w:w="10894" w:type="dxa"/>
        </w:trPr>
        <w:tc>
          <w:tcPr>
            <w:tcW w:w="0" w:type="auto"/>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bl>
    <w:p w:rsidR="00E03C98" w:rsidRPr="00E03C98" w:rsidRDefault="00E03C98" w:rsidP="00E03C98">
      <w:pPr>
        <w:widowControl/>
        <w:jc w:val="left"/>
        <w:rPr>
          <w:rFonts w:ascii="Arial" w:eastAsia="宋体" w:hAnsi="Arial" w:cs="Arial"/>
          <w:vanish/>
          <w:color w:val="333333"/>
          <w:kern w:val="0"/>
          <w:sz w:val="24"/>
          <w:szCs w:val="24"/>
        </w:rPr>
      </w:pPr>
    </w:p>
    <w:tbl>
      <w:tblPr>
        <w:tblW w:w="19200" w:type="dxa"/>
        <w:tblCellMar>
          <w:left w:w="0" w:type="dxa"/>
          <w:right w:w="0" w:type="dxa"/>
        </w:tblCellMar>
        <w:tblLook w:val="04A0" w:firstRow="1" w:lastRow="0" w:firstColumn="1" w:lastColumn="0" w:noHBand="0" w:noVBand="1"/>
      </w:tblPr>
      <w:tblGrid>
        <w:gridCol w:w="10176"/>
        <w:gridCol w:w="192"/>
        <w:gridCol w:w="1920"/>
        <w:gridCol w:w="192"/>
        <w:gridCol w:w="192"/>
        <w:gridCol w:w="1920"/>
        <w:gridCol w:w="192"/>
        <w:gridCol w:w="192"/>
        <w:gridCol w:w="1920"/>
        <w:gridCol w:w="192"/>
        <w:gridCol w:w="192"/>
        <w:gridCol w:w="1920"/>
      </w:tblGrid>
      <w:tr w:rsidR="00E03C98" w:rsidRPr="00E03C98" w:rsidTr="00E03C98">
        <w:tc>
          <w:tcPr>
            <w:tcW w:w="10176" w:type="dxa"/>
            <w:tcBorders>
              <w:top w:val="nil"/>
              <w:left w:val="nil"/>
              <w:bottom w:val="nil"/>
              <w:right w:val="nil"/>
            </w:tcBorders>
            <w:vAlign w:val="bottom"/>
            <w:hideMark/>
          </w:tcPr>
          <w:p w:rsidR="00E03C98" w:rsidRPr="00E03C98" w:rsidRDefault="00E03C98" w:rsidP="00E03C98">
            <w:pPr>
              <w:widowControl/>
              <w:jc w:val="left"/>
              <w:rPr>
                <w:rFonts w:ascii="Arial" w:eastAsia="宋体" w:hAnsi="Arial" w:cs="Arial"/>
                <w:color w:val="333333"/>
                <w:kern w:val="0"/>
                <w:sz w:val="24"/>
                <w:szCs w:val="24"/>
              </w:rPr>
            </w:pPr>
          </w:p>
        </w:tc>
        <w:tc>
          <w:tcPr>
            <w:tcW w:w="0" w:type="auto"/>
            <w:gridSpan w:val="5"/>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Three</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nil"/>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For the Fiscal Twelve</w:t>
            </w:r>
          </w:p>
        </w:tc>
      </w:tr>
      <w:tr w:rsidR="00E03C98" w:rsidRPr="00E03C98" w:rsidTr="00E03C98">
        <w:tc>
          <w:tcPr>
            <w:tcW w:w="10176"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5"/>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Months Ended</w:t>
            </w:r>
          </w:p>
        </w:tc>
      </w:tr>
      <w:tr w:rsidR="00E03C98" w:rsidRPr="00E03C98" w:rsidTr="00E03C98">
        <w:tc>
          <w:tcPr>
            <w:tcW w:w="10176"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27,</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0" w:type="auto"/>
            <w:gridSpan w:val="2"/>
            <w:tcBorders>
              <w:top w:val="nil"/>
              <w:left w:val="nil"/>
              <w:bottom w:val="single" w:sz="8" w:space="0" w:color="000000"/>
              <w:right w:val="nil"/>
            </w:tcBorders>
            <w:vAlign w:val="bottom"/>
            <w:hideMark/>
          </w:tcPr>
          <w:p w:rsidR="00E03C98" w:rsidRPr="00E03C98" w:rsidRDefault="00E03C98" w:rsidP="00E03C98">
            <w:pPr>
              <w:widowControl/>
              <w:jc w:val="center"/>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December 28,</w:t>
            </w:r>
            <w:r w:rsidRPr="00E03C98">
              <w:rPr>
                <w:rFonts w:ascii="宋体" w:eastAsia="宋体" w:hAnsi="宋体" w:cs="宋体"/>
                <w:kern w:val="0"/>
                <w:sz w:val="24"/>
                <w:szCs w:val="24"/>
              </w:rPr>
              <w:br/>
            </w:r>
            <w:r w:rsidRPr="00E03C98">
              <w:rPr>
                <w:rFonts w:ascii="宋体" w:eastAsia="宋体" w:hAnsi="宋体" w:cs="宋体"/>
                <w:b/>
                <w:bCs/>
                <w:kern w:val="0"/>
                <w:sz w:val="24"/>
                <w:szCs w:val="24"/>
                <w:bdr w:val="none" w:sz="0" w:space="0" w:color="auto" w:frame="1"/>
              </w:rPr>
              <w:t>2024</w:t>
            </w:r>
          </w:p>
        </w:tc>
      </w:tr>
      <w:tr w:rsidR="00E03C98" w:rsidRPr="00E03C98" w:rsidTr="00E03C98">
        <w:tc>
          <w:tcPr>
            <w:tcW w:w="10176"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b/>
                <w:bCs/>
                <w:kern w:val="0"/>
                <w:sz w:val="24"/>
                <w:szCs w:val="24"/>
                <w:bdr w:val="none" w:sz="0" w:space="0" w:color="auto" w:frame="1"/>
              </w:rPr>
              <w:t>Capital Expenditures (in millions):</w:t>
            </w: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0" w:type="auto"/>
            <w:gridSpan w:val="2"/>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r>
      <w:tr w:rsidR="00E03C98" w:rsidRPr="00E03C98" w:rsidTr="00E03C98">
        <w:tc>
          <w:tcPr>
            <w:tcW w:w="10176"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New stores, relocated stores and stores not yet opened</w:t>
            </w: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104.5</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62.4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376.0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241.2</w:t>
            </w:r>
          </w:p>
        </w:tc>
      </w:tr>
      <w:tr w:rsidR="00E03C98" w:rsidRPr="00E03C98" w:rsidTr="00E03C98">
        <w:tc>
          <w:tcPr>
            <w:tcW w:w="10176"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Existing stores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58.2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74.2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223.9</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284.0</w:t>
            </w:r>
          </w:p>
        </w:tc>
      </w:tr>
      <w:tr w:rsidR="00E03C98" w:rsidRPr="00E03C98" w:rsidTr="00E03C98">
        <w:tc>
          <w:tcPr>
            <w:tcW w:w="10176"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Information technology</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44.4</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57.7</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158.1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153.5</w:t>
            </w:r>
          </w:p>
        </w:tc>
      </w:tr>
      <w:tr w:rsidR="00E03C98" w:rsidRPr="00E03C98" w:rsidTr="00E03C98">
        <w:tc>
          <w:tcPr>
            <w:tcW w:w="10176"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Distribution center capacity and improvements</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56.2</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50.6</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127.8</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nil"/>
              <w:right w:val="nil"/>
            </w:tcBorders>
            <w:shd w:val="clear" w:color="auto" w:fill="CCEEFF"/>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95.8</w:t>
            </w:r>
          </w:p>
        </w:tc>
      </w:tr>
      <w:tr w:rsidR="00E03C98" w:rsidRPr="00E03C98" w:rsidTr="00E03C98">
        <w:tc>
          <w:tcPr>
            <w:tcW w:w="10176"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Corporate and other</w:t>
            </w: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宋体" w:eastAsia="宋体" w:hAnsi="宋体" w:cs="宋体"/>
                <w:kern w:val="0"/>
                <w:sz w:val="24"/>
                <w:szCs w:val="24"/>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2.3</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1.1</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9.0</w:t>
            </w:r>
          </w:p>
        </w:tc>
        <w:tc>
          <w:tcPr>
            <w:tcW w:w="192" w:type="dxa"/>
            <w:tcBorders>
              <w:top w:val="nil"/>
              <w:left w:val="nil"/>
              <w:bottom w:val="nil"/>
              <w:right w:val="nil"/>
            </w:tcBorders>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left"/>
              <w:rPr>
                <w:rFonts w:ascii="Times New Roman" w:eastAsia="Times New Roman" w:hAnsi="Times New Roman" w:cs="Times New Roman"/>
                <w:kern w:val="0"/>
                <w:sz w:val="20"/>
                <w:szCs w:val="20"/>
              </w:rPr>
            </w:pPr>
          </w:p>
        </w:tc>
        <w:tc>
          <w:tcPr>
            <w:tcW w:w="1920" w:type="dxa"/>
            <w:tcBorders>
              <w:top w:val="nil"/>
              <w:left w:val="nil"/>
              <w:bottom w:val="single" w:sz="8" w:space="0" w:color="000000"/>
              <w:right w:val="nil"/>
            </w:tcBorders>
            <w:tcMar>
              <w:top w:w="0" w:type="dxa"/>
              <w:left w:w="0" w:type="dxa"/>
              <w:bottom w:w="60"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9.5</w:t>
            </w:r>
          </w:p>
        </w:tc>
      </w:tr>
      <w:tr w:rsidR="00E03C98" w:rsidRPr="00E03C98" w:rsidTr="00E03C98">
        <w:tc>
          <w:tcPr>
            <w:tcW w:w="10176"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r w:rsidRPr="00E03C98">
              <w:rPr>
                <w:rFonts w:ascii="宋体" w:eastAsia="宋体" w:hAnsi="宋体" w:cs="宋体"/>
                <w:kern w:val="0"/>
                <w:sz w:val="24"/>
                <w:szCs w:val="24"/>
              </w:rPr>
              <w:t>Total</w:t>
            </w: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265.6</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246.0</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894.8</w:t>
            </w:r>
          </w:p>
        </w:tc>
        <w:tc>
          <w:tcPr>
            <w:tcW w:w="192" w:type="dxa"/>
            <w:tcBorders>
              <w:top w:val="nil"/>
              <w:left w:val="nil"/>
              <w:bottom w:val="nil"/>
              <w:right w:val="nil"/>
            </w:tcBorders>
            <w:shd w:val="clear" w:color="auto" w:fill="CCEEFF"/>
            <w:vAlign w:val="bottom"/>
            <w:hideMark/>
          </w:tcPr>
          <w:p w:rsidR="00E03C98" w:rsidRPr="00E03C98" w:rsidRDefault="00E03C98" w:rsidP="00E03C98">
            <w:pPr>
              <w:widowControl/>
              <w:jc w:val="left"/>
              <w:rPr>
                <w:rFonts w:ascii="宋体" w:eastAsia="宋体" w:hAnsi="宋体" w:cs="宋体"/>
                <w:kern w:val="0"/>
                <w:sz w:val="24"/>
                <w:szCs w:val="24"/>
              </w:rPr>
            </w:pPr>
          </w:p>
        </w:tc>
        <w:tc>
          <w:tcPr>
            <w:tcW w:w="192"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w:t>
            </w:r>
          </w:p>
        </w:tc>
        <w:tc>
          <w:tcPr>
            <w:tcW w:w="1920" w:type="dxa"/>
            <w:tcBorders>
              <w:top w:val="nil"/>
              <w:left w:val="nil"/>
              <w:bottom w:val="double" w:sz="6" w:space="0" w:color="000000"/>
              <w:right w:val="nil"/>
            </w:tcBorders>
            <w:shd w:val="clear" w:color="auto" w:fill="CCEEFF"/>
            <w:tcMar>
              <w:top w:w="0" w:type="dxa"/>
              <w:left w:w="0" w:type="dxa"/>
              <w:bottom w:w="75" w:type="dxa"/>
              <w:right w:w="0" w:type="dxa"/>
            </w:tcMar>
            <w:vAlign w:val="bottom"/>
            <w:hideMark/>
          </w:tcPr>
          <w:p w:rsidR="00E03C98" w:rsidRPr="00E03C98" w:rsidRDefault="00E03C98" w:rsidP="00E03C98">
            <w:pPr>
              <w:widowControl/>
              <w:jc w:val="right"/>
              <w:rPr>
                <w:rFonts w:ascii="宋体" w:eastAsia="宋体" w:hAnsi="宋体" w:cs="宋体"/>
                <w:kern w:val="0"/>
                <w:sz w:val="24"/>
                <w:szCs w:val="24"/>
              </w:rPr>
            </w:pPr>
            <w:r w:rsidRPr="00E03C98">
              <w:rPr>
                <w:rFonts w:ascii="宋体" w:eastAsia="宋体" w:hAnsi="宋体" w:cs="宋体"/>
                <w:kern w:val="0"/>
                <w:sz w:val="24"/>
                <w:szCs w:val="24"/>
              </w:rPr>
              <w:t>784.0</w:t>
            </w:r>
          </w:p>
        </w:tc>
      </w:tr>
    </w:tbl>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noProof/>
          <w:color w:val="333333"/>
          <w:kern w:val="0"/>
          <w:sz w:val="24"/>
          <w:szCs w:val="24"/>
        </w:rPr>
        <w:drawing>
          <wp:inline distT="0" distB="0" distL="0" distR="0">
            <wp:extent cx="9525" cy="9525"/>
            <wp:effectExtent l="0" t="0" r="0" b="0"/>
            <wp:docPr id="1" name="图片 1" descr="https://cts.businesswire.com/ct/CT?id=bwnews&amp;sty=20260129461617r1&amp;sid=q4-prod&amp;distro=nx&amp;lan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ts.businesswire.com/ct/CT?id=bwnews&amp;sty=20260129461617r1&amp;sid=q4-prod&amp;distro=nx&amp;lang=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03C98" w:rsidRPr="00E03C98" w:rsidRDefault="00E03C98" w:rsidP="00E03C98">
      <w:pPr>
        <w:widowControl/>
        <w:spacing w:before="100" w:beforeAutospacing="1" w:after="100" w:afterAutospacing="1"/>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Mary Winn Pilkington (615) 440-4212</w:t>
      </w:r>
      <w:r w:rsidRPr="00E03C98">
        <w:rPr>
          <w:rFonts w:ascii="Arial" w:eastAsia="宋体" w:hAnsi="Arial" w:cs="Arial"/>
          <w:color w:val="333333"/>
          <w:kern w:val="0"/>
          <w:sz w:val="24"/>
          <w:szCs w:val="24"/>
        </w:rPr>
        <w:br/>
        <w:t>Rena Clayton Rolfe (615) 647-1561</w:t>
      </w:r>
      <w:r w:rsidRPr="00E03C98">
        <w:rPr>
          <w:rFonts w:ascii="Arial" w:eastAsia="宋体" w:hAnsi="Arial" w:cs="Arial"/>
          <w:color w:val="333333"/>
          <w:kern w:val="0"/>
          <w:sz w:val="24"/>
          <w:szCs w:val="24"/>
        </w:rPr>
        <w:br/>
      </w:r>
      <w:hyperlink r:id="rId11" w:history="1">
        <w:r w:rsidRPr="00E03C98">
          <w:rPr>
            <w:rFonts w:ascii="Arial" w:eastAsia="宋体" w:hAnsi="Arial" w:cs="Arial"/>
            <w:color w:val="C8102E"/>
            <w:kern w:val="0"/>
            <w:sz w:val="24"/>
            <w:szCs w:val="24"/>
          </w:rPr>
          <w:t>investorrelations@tractorsupply.com</w:t>
        </w:r>
      </w:hyperlink>
    </w:p>
    <w:p w:rsidR="00E03C98" w:rsidRPr="00E03C98" w:rsidRDefault="00E03C98" w:rsidP="00E03C98">
      <w:pPr>
        <w:widowControl/>
        <w:jc w:val="left"/>
        <w:rPr>
          <w:rFonts w:ascii="Arial" w:eastAsia="宋体" w:hAnsi="Arial" w:cs="Arial"/>
          <w:color w:val="333333"/>
          <w:kern w:val="0"/>
          <w:sz w:val="24"/>
          <w:szCs w:val="24"/>
        </w:rPr>
      </w:pPr>
      <w:r w:rsidRPr="00E03C98">
        <w:rPr>
          <w:rFonts w:ascii="Arial" w:eastAsia="宋体" w:hAnsi="Arial" w:cs="Arial"/>
          <w:color w:val="333333"/>
          <w:kern w:val="0"/>
          <w:sz w:val="24"/>
          <w:szCs w:val="24"/>
        </w:rPr>
        <w:t>Source: Tractor Supply Company</w:t>
      </w:r>
    </w:p>
    <w:p w:rsidR="00D87719" w:rsidRDefault="00D87719">
      <w:bookmarkStart w:id="0" w:name="_GoBack"/>
      <w:bookmarkEnd w:id="0"/>
    </w:p>
    <w:sectPr w:rsidR="00D877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421ADF"/>
    <w:multiLevelType w:val="multilevel"/>
    <w:tmpl w:val="1C7C3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259"/>
    <w:rsid w:val="00280259"/>
    <w:rsid w:val="00D87719"/>
    <w:rsid w:val="00E03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EDD976-CA47-410D-A7AC-56E1A8C9F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E03C9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E03C98"/>
    <w:rPr>
      <w:rFonts w:ascii="宋体" w:eastAsia="宋体" w:hAnsi="宋体" w:cs="宋体"/>
      <w:b/>
      <w:bCs/>
      <w:kern w:val="0"/>
      <w:sz w:val="27"/>
      <w:szCs w:val="27"/>
    </w:rPr>
  </w:style>
  <w:style w:type="character" w:customStyle="1" w:styleId="moduledate-text">
    <w:name w:val="module_date-text"/>
    <w:basedOn w:val="a0"/>
    <w:rsid w:val="00E03C98"/>
  </w:style>
  <w:style w:type="paragraph" w:styleId="a3">
    <w:name w:val="Normal (Web)"/>
    <w:basedOn w:val="a"/>
    <w:uiPriority w:val="99"/>
    <w:semiHidden/>
    <w:unhideWhenUsed/>
    <w:rsid w:val="00E03C98"/>
    <w:pPr>
      <w:widowControl/>
      <w:spacing w:before="100" w:beforeAutospacing="1" w:after="100" w:afterAutospacing="1"/>
      <w:jc w:val="left"/>
    </w:pPr>
    <w:rPr>
      <w:rFonts w:ascii="宋体" w:eastAsia="宋体" w:hAnsi="宋体" w:cs="宋体"/>
      <w:kern w:val="0"/>
      <w:sz w:val="24"/>
      <w:szCs w:val="24"/>
    </w:rPr>
  </w:style>
  <w:style w:type="character" w:customStyle="1" w:styleId="bw-dateline-wrapper">
    <w:name w:val="bw-dateline-wrapper"/>
    <w:basedOn w:val="a0"/>
    <w:rsid w:val="00E03C98"/>
  </w:style>
  <w:style w:type="character" w:customStyle="1" w:styleId="bwuline">
    <w:name w:val="bwuline"/>
    <w:basedOn w:val="a0"/>
    <w:rsid w:val="00E03C98"/>
  </w:style>
  <w:style w:type="paragraph" w:customStyle="1" w:styleId="bwcellpmargin">
    <w:name w:val="bwcellpmargin"/>
    <w:basedOn w:val="a"/>
    <w:rsid w:val="00E03C98"/>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E03C98"/>
    <w:rPr>
      <w:color w:val="0000FF"/>
      <w:u w:val="single"/>
    </w:rPr>
  </w:style>
  <w:style w:type="character" w:styleId="a5">
    <w:name w:val="FollowedHyperlink"/>
    <w:basedOn w:val="a0"/>
    <w:uiPriority w:val="99"/>
    <w:semiHidden/>
    <w:unhideWhenUsed/>
    <w:rsid w:val="00E03C98"/>
    <w:rPr>
      <w:color w:val="800080"/>
      <w:u w:val="single"/>
    </w:rPr>
  </w:style>
  <w:style w:type="paragraph" w:customStyle="1" w:styleId="bwalignc">
    <w:name w:val="bwalignc"/>
    <w:basedOn w:val="a"/>
    <w:rsid w:val="00E03C98"/>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E03C98"/>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E03C98"/>
  </w:style>
  <w:style w:type="character" w:customStyle="1" w:styleId="bw-source-text-wrapper">
    <w:name w:val="bw-source-text-wrapper"/>
    <w:basedOn w:val="a0"/>
    <w:rsid w:val="00E03C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3912576">
      <w:bodyDiv w:val="1"/>
      <w:marLeft w:val="0"/>
      <w:marRight w:val="0"/>
      <w:marTop w:val="0"/>
      <w:marBottom w:val="0"/>
      <w:divBdr>
        <w:top w:val="none" w:sz="0" w:space="0" w:color="auto"/>
        <w:left w:val="none" w:sz="0" w:space="0" w:color="auto"/>
        <w:bottom w:val="none" w:sz="0" w:space="0" w:color="auto"/>
        <w:right w:val="none" w:sz="0" w:space="0" w:color="auto"/>
      </w:divBdr>
      <w:divsChild>
        <w:div w:id="1195000794">
          <w:marLeft w:val="0"/>
          <w:marRight w:val="0"/>
          <w:marTop w:val="0"/>
          <w:marBottom w:val="0"/>
          <w:divBdr>
            <w:top w:val="none" w:sz="0" w:space="0" w:color="auto"/>
            <w:left w:val="none" w:sz="0" w:space="0" w:color="auto"/>
            <w:bottom w:val="none" w:sz="0" w:space="0" w:color="auto"/>
            <w:right w:val="none" w:sz="0" w:space="0" w:color="auto"/>
          </w:divBdr>
          <w:divsChild>
            <w:div w:id="1136533343">
              <w:marLeft w:val="0"/>
              <w:marRight w:val="0"/>
              <w:marTop w:val="0"/>
              <w:marBottom w:val="225"/>
              <w:divBdr>
                <w:top w:val="none" w:sz="0" w:space="0" w:color="auto"/>
                <w:left w:val="none" w:sz="0" w:space="0" w:color="auto"/>
                <w:bottom w:val="none" w:sz="0" w:space="0" w:color="auto"/>
                <w:right w:val="none" w:sz="0" w:space="0" w:color="auto"/>
              </w:divBdr>
            </w:div>
            <w:div w:id="967397273">
              <w:marLeft w:val="0"/>
              <w:marRight w:val="0"/>
              <w:marTop w:val="0"/>
              <w:marBottom w:val="225"/>
              <w:divBdr>
                <w:top w:val="none" w:sz="0" w:space="0" w:color="auto"/>
                <w:left w:val="none" w:sz="0" w:space="0" w:color="auto"/>
                <w:bottom w:val="none" w:sz="0" w:space="0" w:color="auto"/>
                <w:right w:val="none" w:sz="0" w:space="0" w:color="auto"/>
              </w:divBdr>
              <w:divsChild>
                <w:div w:id="892960561">
                  <w:marLeft w:val="0"/>
                  <w:marRight w:val="0"/>
                  <w:marTop w:val="0"/>
                  <w:marBottom w:val="0"/>
                  <w:divBdr>
                    <w:top w:val="none" w:sz="0" w:space="0" w:color="auto"/>
                    <w:left w:val="none" w:sz="0" w:space="0" w:color="auto"/>
                    <w:bottom w:val="none" w:sz="0" w:space="0" w:color="auto"/>
                    <w:right w:val="none" w:sz="0" w:space="0" w:color="auto"/>
                  </w:divBdr>
                  <w:divsChild>
                    <w:div w:id="1045252749">
                      <w:marLeft w:val="0"/>
                      <w:marRight w:val="0"/>
                      <w:marTop w:val="0"/>
                      <w:marBottom w:val="0"/>
                      <w:divBdr>
                        <w:top w:val="none" w:sz="0" w:space="0" w:color="auto"/>
                        <w:left w:val="none" w:sz="0" w:space="0" w:color="auto"/>
                        <w:bottom w:val="none" w:sz="0" w:space="0" w:color="auto"/>
                        <w:right w:val="none" w:sz="0" w:space="0" w:color="auto"/>
                      </w:divBdr>
                    </w:div>
                    <w:div w:id="1659771841">
                      <w:marLeft w:val="0"/>
                      <w:marRight w:val="0"/>
                      <w:marTop w:val="0"/>
                      <w:marBottom w:val="0"/>
                      <w:divBdr>
                        <w:top w:val="none" w:sz="0" w:space="0" w:color="auto"/>
                        <w:left w:val="none" w:sz="0" w:space="0" w:color="auto"/>
                        <w:bottom w:val="none" w:sz="0" w:space="0" w:color="auto"/>
                        <w:right w:val="none" w:sz="0" w:space="0" w:color="auto"/>
                      </w:divBdr>
                    </w:div>
                    <w:div w:id="597298707">
                      <w:marLeft w:val="0"/>
                      <w:marRight w:val="0"/>
                      <w:marTop w:val="0"/>
                      <w:marBottom w:val="0"/>
                      <w:divBdr>
                        <w:top w:val="none" w:sz="0" w:space="0" w:color="auto"/>
                        <w:left w:val="none" w:sz="0" w:space="0" w:color="auto"/>
                        <w:bottom w:val="none" w:sz="0" w:space="0" w:color="auto"/>
                        <w:right w:val="none" w:sz="0" w:space="0" w:color="auto"/>
                      </w:divBdr>
                    </w:div>
                    <w:div w:id="1214847936">
                      <w:marLeft w:val="0"/>
                      <w:marRight w:val="0"/>
                      <w:marTop w:val="0"/>
                      <w:marBottom w:val="0"/>
                      <w:divBdr>
                        <w:top w:val="none" w:sz="0" w:space="0" w:color="auto"/>
                        <w:left w:val="none" w:sz="0" w:space="0" w:color="auto"/>
                        <w:bottom w:val="none" w:sz="0" w:space="0" w:color="auto"/>
                        <w:right w:val="none" w:sz="0" w:space="0" w:color="auto"/>
                      </w:divBdr>
                    </w:div>
                    <w:div w:id="275602878">
                      <w:marLeft w:val="0"/>
                      <w:marRight w:val="0"/>
                      <w:marTop w:val="0"/>
                      <w:marBottom w:val="0"/>
                      <w:divBdr>
                        <w:top w:val="none" w:sz="0" w:space="0" w:color="auto"/>
                        <w:left w:val="none" w:sz="0" w:space="0" w:color="auto"/>
                        <w:bottom w:val="none" w:sz="0" w:space="0" w:color="auto"/>
                        <w:right w:val="none" w:sz="0" w:space="0" w:color="auto"/>
                      </w:divBdr>
                    </w:div>
                    <w:div w:id="12076510">
                      <w:marLeft w:val="0"/>
                      <w:marRight w:val="0"/>
                      <w:marTop w:val="0"/>
                      <w:marBottom w:val="0"/>
                      <w:divBdr>
                        <w:top w:val="none" w:sz="0" w:space="0" w:color="auto"/>
                        <w:left w:val="none" w:sz="0" w:space="0" w:color="auto"/>
                        <w:bottom w:val="none" w:sz="0" w:space="0" w:color="auto"/>
                        <w:right w:val="none" w:sz="0" w:space="0" w:color="auto"/>
                      </w:divBdr>
                    </w:div>
                    <w:div w:id="7605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ts.businesswire.com/ct/CT?id=smartlink&amp;url=http%3A%2F%2Fwww.tractorsupply.com&amp;esheet=54407069&amp;newsitemid=20260129461617&amp;lan=en-US&amp;anchor=www.tractorsupply.com&amp;index=6&amp;md5=0ebe9c32dffd75b129d1d5cff80ca49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ts.businesswire.com/ct/CT?id=smartlink&amp;url=https%3A%2F%2Fwww.nasdaq.com%2Fmarket-activity%2Fstocks%2Ftsco&amp;esheet=54407069&amp;newsitemid=20260129461617&amp;lan=en-US&amp;anchor=TSCO&amp;index=3&amp;md5=0a090a64dc93c013ab9857e7af37976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ts.businesswire.com/ct/CT?id=smartlink&amp;url=http%3A%2F%2FIR.TractorSupply.com&amp;esheet=54407069&amp;newsitemid=20260129461617&amp;lan=en-US&amp;anchor=IR.TractorSupply.com&amp;index=2&amp;md5=b22ed6f3c2e49282fc2cff78db913a6f" TargetMode="External"/><Relationship Id="rId11" Type="http://schemas.openxmlformats.org/officeDocument/2006/relationships/hyperlink" Target="mailto:investorrelations@tractorsupply.com" TargetMode="External"/><Relationship Id="rId5" Type="http://schemas.openxmlformats.org/officeDocument/2006/relationships/hyperlink" Target="https://cts.businesswire.com/ct/CT?id=smartlink&amp;url=http%3A%2F%2FIR.TractorSupply.com&amp;esheet=54407069&amp;newsitemid=20260129461617&amp;lan=en-US&amp;anchor=IR.TractorSupply.com&amp;index=1&amp;md5=c43d7c32d4e125c36f4b56e36d9c92e5" TargetMode="External"/><Relationship Id="rId10"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hyperlink" Target="https://cts.businesswire.com/ct/CT?id=smartlink&amp;url=http%3A%2F%2Fwww.Petsense.com&amp;esheet=54407069&amp;newsitemid=20260129461617&amp;lan=en-US&amp;anchor=www.Petsense.com&amp;index=7&amp;md5=d462e5c16a7c7254b155d1ff720c480d"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3492</Words>
  <Characters>19905</Characters>
  <Application>Microsoft Office Word</Application>
  <DocSecurity>0</DocSecurity>
  <Lines>165</Lines>
  <Paragraphs>46</Paragraphs>
  <ScaleCrop>false</ScaleCrop>
  <Company/>
  <LinksUpToDate>false</LinksUpToDate>
  <CharactersWithSpaces>23351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2026-01-29T14:27:00Z</dcterms:created>
  <dcterms:modified xsi:type="dcterms:W3CDTF">2026-01-29T14:27:00Z</dcterms:modified>
</cp:coreProperties>
</file>