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950DB" w:rsidRPr="00C950DB" w:rsidRDefault="00C950DB" w:rsidP="00C950DB">
      <w:pPr>
        <w:widowControl/>
        <w:jc w:val="left"/>
        <w:textAlignment w:val="baseline"/>
        <w:outlineLvl w:val="2"/>
        <w:rPr>
          <w:rFonts w:ascii="Arial" w:eastAsia="宋体" w:hAnsi="Arial" w:cs="Arial"/>
          <w:color w:val="333333"/>
          <w:kern w:val="0"/>
          <w:sz w:val="48"/>
          <w:szCs w:val="48"/>
        </w:rPr>
      </w:pPr>
      <w:r w:rsidRPr="00C950DB">
        <w:rPr>
          <w:rFonts w:ascii="Arial" w:eastAsia="宋体" w:hAnsi="Arial" w:cs="Arial"/>
          <w:color w:val="333333"/>
          <w:kern w:val="0"/>
          <w:sz w:val="48"/>
          <w:szCs w:val="48"/>
        </w:rPr>
        <w:t>Thermo Fisher Scientific Reports Fourth Quarter and Full Year 2025 Results</w:t>
      </w:r>
    </w:p>
    <w:p w:rsidR="00C950DB" w:rsidRPr="00C950DB" w:rsidRDefault="00C950DB" w:rsidP="00C950DB">
      <w:pPr>
        <w:widowControl/>
        <w:jc w:val="left"/>
        <w:rPr>
          <w:rFonts w:ascii="Arial" w:eastAsia="宋体" w:hAnsi="Arial" w:cs="Arial"/>
          <w:b/>
          <w:bCs/>
          <w:color w:val="797A7D"/>
          <w:kern w:val="0"/>
          <w:szCs w:val="21"/>
        </w:rPr>
      </w:pPr>
      <w:r w:rsidRPr="00C950DB">
        <w:rPr>
          <w:rFonts w:ascii="Arial" w:eastAsia="宋体" w:hAnsi="Arial" w:cs="Arial"/>
          <w:b/>
          <w:bCs/>
          <w:color w:val="797A7D"/>
          <w:kern w:val="0"/>
          <w:szCs w:val="21"/>
        </w:rPr>
        <w:t>January 29, 2026</w:t>
      </w:r>
    </w:p>
    <w:p w:rsidR="00C950DB" w:rsidRPr="00C950DB" w:rsidRDefault="00C950DB" w:rsidP="00C950DB">
      <w:pPr>
        <w:widowControl/>
        <w:spacing w:before="100" w:beforeAutospacing="1" w:after="100" w:afterAutospacing="1"/>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WALTHAM, Mass.--(BUSINESS WIRE</w:t>
      </w:r>
      <w:proofErr w:type="gramStart"/>
      <w:r w:rsidRPr="00C950DB">
        <w:rPr>
          <w:rFonts w:ascii="Arial" w:eastAsia="宋体" w:hAnsi="Arial" w:cs="Arial"/>
          <w:color w:val="333333"/>
          <w:kern w:val="0"/>
          <w:sz w:val="24"/>
          <w:szCs w:val="24"/>
        </w:rPr>
        <w:t>)--</w:t>
      </w:r>
      <w:proofErr w:type="gramEnd"/>
      <w:r w:rsidRPr="00C950DB">
        <w:rPr>
          <w:rFonts w:ascii="Arial" w:eastAsia="宋体" w:hAnsi="Arial" w:cs="Arial"/>
          <w:color w:val="333333"/>
          <w:kern w:val="0"/>
          <w:sz w:val="24"/>
          <w:szCs w:val="24"/>
        </w:rPr>
        <w:t> Thermo Fisher Scientific Inc. (NYSE: TMO), the world leader in serving science, today reported its financial results for the fourth quarter and full year ended December 31, 2025.</w:t>
      </w:r>
    </w:p>
    <w:p w:rsidR="00C950DB" w:rsidRPr="00C950DB" w:rsidRDefault="00C950DB" w:rsidP="00C950DB">
      <w:pPr>
        <w:widowControl/>
        <w:spacing w:beforeAutospacing="1" w:afterAutospacing="1"/>
        <w:jc w:val="left"/>
        <w:rPr>
          <w:rFonts w:ascii="Arial" w:eastAsia="宋体" w:hAnsi="Arial" w:cs="Arial"/>
          <w:color w:val="333333"/>
          <w:kern w:val="0"/>
          <w:sz w:val="24"/>
          <w:szCs w:val="24"/>
        </w:rPr>
      </w:pPr>
      <w:r w:rsidRPr="00C950DB">
        <w:rPr>
          <w:rFonts w:ascii="inherit" w:eastAsia="宋体" w:hAnsi="inherit" w:cs="Arial"/>
          <w:b/>
          <w:bCs/>
          <w:color w:val="333333"/>
          <w:kern w:val="0"/>
          <w:sz w:val="24"/>
          <w:szCs w:val="24"/>
          <w:bdr w:val="none" w:sz="0" w:space="0" w:color="auto" w:frame="1"/>
        </w:rPr>
        <w:t>Fourth Quarter and Full Year 2025 Highlights</w:t>
      </w:r>
    </w:p>
    <w:p w:rsidR="00C950DB" w:rsidRPr="00C950DB" w:rsidRDefault="00C950DB" w:rsidP="00C950DB">
      <w:pPr>
        <w:widowControl/>
        <w:numPr>
          <w:ilvl w:val="0"/>
          <w:numId w:val="1"/>
        </w:numPr>
        <w:spacing w:before="100" w:beforeAutospacing="1" w:after="100" w:afterAutospacing="1"/>
        <w:ind w:left="0"/>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Fourth quarter revenue grew 7% to $12.21 billion.</w:t>
      </w:r>
    </w:p>
    <w:p w:rsidR="00C950DB" w:rsidRPr="00C950DB" w:rsidRDefault="00C950DB" w:rsidP="00C950DB">
      <w:pPr>
        <w:widowControl/>
        <w:numPr>
          <w:ilvl w:val="0"/>
          <w:numId w:val="1"/>
        </w:numPr>
        <w:spacing w:before="100" w:beforeAutospacing="1" w:after="100" w:afterAutospacing="1"/>
        <w:ind w:left="0"/>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Fourth quarter GAAP diluted earnings per share (EPS) grew 9% to $5.21.</w:t>
      </w:r>
    </w:p>
    <w:p w:rsidR="00C950DB" w:rsidRPr="00C950DB" w:rsidRDefault="00C950DB" w:rsidP="00C950DB">
      <w:pPr>
        <w:widowControl/>
        <w:numPr>
          <w:ilvl w:val="0"/>
          <w:numId w:val="1"/>
        </w:numPr>
        <w:spacing w:before="100" w:beforeAutospacing="1" w:after="100" w:afterAutospacing="1"/>
        <w:ind w:left="0"/>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Fourth quarter adjusted EPS grew 8% to $6.57.</w:t>
      </w:r>
    </w:p>
    <w:p w:rsidR="00C950DB" w:rsidRPr="00C950DB" w:rsidRDefault="00C950DB" w:rsidP="00C950DB">
      <w:pPr>
        <w:widowControl/>
        <w:numPr>
          <w:ilvl w:val="0"/>
          <w:numId w:val="2"/>
        </w:numPr>
        <w:spacing w:before="100" w:beforeAutospacing="1" w:after="100" w:afterAutospacing="1"/>
        <w:ind w:left="0"/>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Full year revenue grew 4% to $44.56 billion.</w:t>
      </w:r>
    </w:p>
    <w:p w:rsidR="00C950DB" w:rsidRPr="00C950DB" w:rsidRDefault="00C950DB" w:rsidP="00C950DB">
      <w:pPr>
        <w:widowControl/>
        <w:numPr>
          <w:ilvl w:val="0"/>
          <w:numId w:val="2"/>
        </w:numPr>
        <w:spacing w:before="100" w:beforeAutospacing="1" w:after="100" w:afterAutospacing="1"/>
        <w:ind w:left="0"/>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Full year GAAP diluted earnings per share (EPS) grew 7% to $17.74.</w:t>
      </w:r>
    </w:p>
    <w:p w:rsidR="00C950DB" w:rsidRPr="00C950DB" w:rsidRDefault="00C950DB" w:rsidP="00C950DB">
      <w:pPr>
        <w:widowControl/>
        <w:numPr>
          <w:ilvl w:val="0"/>
          <w:numId w:val="2"/>
        </w:numPr>
        <w:spacing w:before="100" w:beforeAutospacing="1" w:after="100" w:afterAutospacing="1"/>
        <w:ind w:left="0"/>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Full year adjusted EPS grew 5% to $22.87.</w:t>
      </w:r>
    </w:p>
    <w:p w:rsidR="00C950DB" w:rsidRPr="00C950DB" w:rsidRDefault="00C950DB" w:rsidP="00C950DB">
      <w:pPr>
        <w:widowControl/>
        <w:numPr>
          <w:ilvl w:val="0"/>
          <w:numId w:val="3"/>
        </w:numPr>
        <w:spacing w:before="100" w:beforeAutospacing="1" w:after="100" w:afterAutospacing="1"/>
        <w:ind w:left="0"/>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Delivered another year of excellent operational performance and share gain reflecting our active management of the company, the strength of our proven growth strategy and the power of our PPI Business System.</w:t>
      </w:r>
    </w:p>
    <w:p w:rsidR="00C950DB" w:rsidRPr="00C950DB" w:rsidRDefault="00C950DB" w:rsidP="00C950DB">
      <w:pPr>
        <w:widowControl/>
        <w:numPr>
          <w:ilvl w:val="0"/>
          <w:numId w:val="4"/>
        </w:numPr>
        <w:spacing w:before="100" w:beforeAutospacing="1" w:after="100" w:afterAutospacing="1"/>
        <w:ind w:left="0"/>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Advanced our proven growth strategy by launching a range of high-impact, innovative new products in 2025. Highlights include the </w:t>
      </w:r>
      <w:hyperlink r:id="rId5" w:history="1">
        <w:r w:rsidRPr="00C950DB">
          <w:rPr>
            <w:rFonts w:ascii="Arial" w:eastAsia="宋体" w:hAnsi="Arial" w:cs="Arial"/>
            <w:color w:val="317E8C"/>
            <w:kern w:val="0"/>
            <w:sz w:val="24"/>
            <w:szCs w:val="24"/>
          </w:rPr>
          <w:t>Thermo Scientific™ Orbitrap™ Astral™ Zoom mass spectrometer</w:t>
        </w:r>
      </w:hyperlink>
      <w:r w:rsidRPr="00C950DB">
        <w:rPr>
          <w:rFonts w:ascii="Arial" w:eastAsia="宋体" w:hAnsi="Arial" w:cs="Arial"/>
          <w:color w:val="333333"/>
          <w:kern w:val="0"/>
          <w:sz w:val="24"/>
          <w:szCs w:val="24"/>
        </w:rPr>
        <w:t>, </w:t>
      </w:r>
      <w:hyperlink r:id="rId6" w:history="1">
        <w:r w:rsidRPr="00C950DB">
          <w:rPr>
            <w:rFonts w:ascii="Arial" w:eastAsia="宋体" w:hAnsi="Arial" w:cs="Arial"/>
            <w:color w:val="317E8C"/>
            <w:kern w:val="0"/>
            <w:sz w:val="24"/>
            <w:szCs w:val="24"/>
          </w:rPr>
          <w:t>Thermo Scientific™ Krios™ 5 Cryo-TEM</w:t>
        </w:r>
      </w:hyperlink>
      <w:r w:rsidRPr="00C950DB">
        <w:rPr>
          <w:rFonts w:ascii="Arial" w:eastAsia="宋体" w:hAnsi="Arial" w:cs="Arial"/>
          <w:color w:val="333333"/>
          <w:kern w:val="0"/>
          <w:sz w:val="24"/>
          <w:szCs w:val="24"/>
        </w:rPr>
        <w:t>, </w:t>
      </w:r>
      <w:hyperlink r:id="rId7" w:history="1">
        <w:r w:rsidRPr="00C950DB">
          <w:rPr>
            <w:rFonts w:ascii="Arial" w:eastAsia="宋体" w:hAnsi="Arial" w:cs="Arial"/>
            <w:color w:val="317E8C"/>
            <w:kern w:val="0"/>
            <w:sz w:val="24"/>
            <w:szCs w:val="24"/>
          </w:rPr>
          <w:t>Thermo Scientific™ Vulcan™ Automated Lab</w:t>
        </w:r>
      </w:hyperlink>
      <w:r w:rsidRPr="00C950DB">
        <w:rPr>
          <w:rFonts w:ascii="Arial" w:eastAsia="宋体" w:hAnsi="Arial" w:cs="Arial"/>
          <w:color w:val="333333"/>
          <w:kern w:val="0"/>
          <w:sz w:val="24"/>
          <w:szCs w:val="24"/>
        </w:rPr>
        <w:t>, and the </w:t>
      </w:r>
      <w:hyperlink r:id="rId8" w:history="1">
        <w:r w:rsidRPr="00C950DB">
          <w:rPr>
            <w:rFonts w:ascii="Arial" w:eastAsia="宋体" w:hAnsi="Arial" w:cs="Arial"/>
            <w:color w:val="317E8C"/>
            <w:kern w:val="0"/>
            <w:sz w:val="24"/>
            <w:szCs w:val="24"/>
          </w:rPr>
          <w:t>bench-scale Thermo Scientific™ 5L DynaDrive™ Single-Use Bioreactor</w:t>
        </w:r>
      </w:hyperlink>
      <w:r w:rsidRPr="00C950DB">
        <w:rPr>
          <w:rFonts w:ascii="Arial" w:eastAsia="宋体" w:hAnsi="Arial" w:cs="Arial"/>
          <w:color w:val="333333"/>
          <w:kern w:val="0"/>
          <w:sz w:val="24"/>
          <w:szCs w:val="24"/>
        </w:rPr>
        <w:t>. During the fourth quarter we launched the </w:t>
      </w:r>
      <w:hyperlink r:id="rId9" w:history="1">
        <w:r w:rsidRPr="00C950DB">
          <w:rPr>
            <w:rFonts w:ascii="Arial" w:eastAsia="宋体" w:hAnsi="Arial" w:cs="Arial"/>
            <w:color w:val="317E8C"/>
            <w:kern w:val="0"/>
            <w:sz w:val="24"/>
            <w:szCs w:val="24"/>
          </w:rPr>
          <w:t>Thermo Scientific™ Helios™ MX1 Plasma Focused Ion Beam Scanning Electron Microscope</w:t>
        </w:r>
      </w:hyperlink>
      <w:r w:rsidRPr="00C950DB">
        <w:rPr>
          <w:rFonts w:ascii="Arial" w:eastAsia="宋体" w:hAnsi="Arial" w:cs="Arial"/>
          <w:color w:val="333333"/>
          <w:kern w:val="0"/>
          <w:sz w:val="24"/>
          <w:szCs w:val="24"/>
        </w:rPr>
        <w:t>, a fully automated semiconductor analysis system designed to accelerate time-to-data for yield ramp and fab process control, and we </w:t>
      </w:r>
      <w:hyperlink r:id="rId10" w:history="1">
        <w:r w:rsidRPr="00C950DB">
          <w:rPr>
            <w:rFonts w:ascii="Arial" w:eastAsia="宋体" w:hAnsi="Arial" w:cs="Arial"/>
            <w:color w:val="317E8C"/>
            <w:kern w:val="0"/>
            <w:sz w:val="24"/>
            <w:szCs w:val="24"/>
          </w:rPr>
          <w:t>received FDA approval for the Ion Torrent™ Oncomine™ Dx Target Test</w:t>
        </w:r>
      </w:hyperlink>
      <w:r w:rsidRPr="00C950DB">
        <w:rPr>
          <w:rFonts w:ascii="Arial" w:eastAsia="宋体" w:hAnsi="Arial" w:cs="Arial"/>
          <w:color w:val="333333"/>
          <w:kern w:val="0"/>
          <w:sz w:val="24"/>
          <w:szCs w:val="24"/>
        </w:rPr>
        <w:t> as a companion diagnostic for HYRNUO™, Bayer’s targeted therapy for patients with HER2-mutated non-small cell lung cancer, as well as </w:t>
      </w:r>
      <w:hyperlink r:id="rId11" w:history="1">
        <w:r w:rsidRPr="00C950DB">
          <w:rPr>
            <w:rFonts w:ascii="Arial" w:eastAsia="宋体" w:hAnsi="Arial" w:cs="Arial"/>
            <w:color w:val="317E8C"/>
            <w:kern w:val="0"/>
            <w:sz w:val="24"/>
            <w:szCs w:val="24"/>
          </w:rPr>
          <w:t>U.S. 510(k) clearance for the EXENT System</w:t>
        </w:r>
      </w:hyperlink>
      <w:r w:rsidRPr="00C950DB">
        <w:rPr>
          <w:rFonts w:ascii="Arial" w:eastAsia="宋体" w:hAnsi="Arial" w:cs="Arial"/>
          <w:color w:val="333333"/>
          <w:kern w:val="0"/>
          <w:sz w:val="24"/>
          <w:szCs w:val="24"/>
        </w:rPr>
        <w:t>, a first-of-its-kind automated platform to aid in the diagnosis of multiple myeloma.</w:t>
      </w:r>
    </w:p>
    <w:p w:rsidR="00C950DB" w:rsidRPr="00C950DB" w:rsidRDefault="00C950DB" w:rsidP="00C950DB">
      <w:pPr>
        <w:widowControl/>
        <w:numPr>
          <w:ilvl w:val="0"/>
          <w:numId w:val="5"/>
        </w:numPr>
        <w:spacing w:before="100" w:beforeAutospacing="1" w:after="100" w:afterAutospacing="1"/>
        <w:ind w:left="0"/>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Strengthened our industry-leading commercial engine and deepened our trusted partner status with customers. We continued to scale adoption of our </w:t>
      </w:r>
      <w:hyperlink r:id="rId12" w:history="1">
        <w:r w:rsidRPr="00C950DB">
          <w:rPr>
            <w:rFonts w:ascii="Arial" w:eastAsia="宋体" w:hAnsi="Arial" w:cs="Arial"/>
            <w:color w:val="317E8C"/>
            <w:kern w:val="0"/>
            <w:sz w:val="24"/>
            <w:szCs w:val="24"/>
          </w:rPr>
          <w:t>Accelerator™ Drug Development solution</w:t>
        </w:r>
      </w:hyperlink>
      <w:r w:rsidRPr="00C950DB">
        <w:rPr>
          <w:rFonts w:ascii="Arial" w:eastAsia="宋体" w:hAnsi="Arial" w:cs="Arial"/>
          <w:color w:val="333333"/>
          <w:kern w:val="0"/>
          <w:sz w:val="24"/>
          <w:szCs w:val="24"/>
        </w:rPr>
        <w:t xml:space="preserve"> – our integrated CDMO and CRO offering, securing meaningful wins across our </w:t>
      </w:r>
      <w:proofErr w:type="spellStart"/>
      <w:r w:rsidRPr="00C950DB">
        <w:rPr>
          <w:rFonts w:ascii="Arial" w:eastAsia="宋体" w:hAnsi="Arial" w:cs="Arial"/>
          <w:color w:val="333333"/>
          <w:kern w:val="0"/>
          <w:sz w:val="24"/>
          <w:szCs w:val="24"/>
        </w:rPr>
        <w:t>biopharma</w:t>
      </w:r>
      <w:proofErr w:type="spellEnd"/>
      <w:r w:rsidRPr="00C950DB">
        <w:rPr>
          <w:rFonts w:ascii="Arial" w:eastAsia="宋体" w:hAnsi="Arial" w:cs="Arial"/>
          <w:color w:val="333333"/>
          <w:kern w:val="0"/>
          <w:sz w:val="24"/>
          <w:szCs w:val="24"/>
        </w:rPr>
        <w:t xml:space="preserve"> services businesses. We also entered into a </w:t>
      </w:r>
      <w:hyperlink r:id="rId13" w:history="1">
        <w:r w:rsidRPr="00C950DB">
          <w:rPr>
            <w:rFonts w:ascii="Arial" w:eastAsia="宋体" w:hAnsi="Arial" w:cs="Arial"/>
            <w:color w:val="317E8C"/>
            <w:kern w:val="0"/>
            <w:sz w:val="24"/>
            <w:szCs w:val="24"/>
          </w:rPr>
          <w:t>technology alliance agreement with the Chan Zuckerberg Institute for Advanced Biological Imaging</w:t>
        </w:r>
      </w:hyperlink>
      <w:r w:rsidRPr="00C950DB">
        <w:rPr>
          <w:rFonts w:ascii="Arial" w:eastAsia="宋体" w:hAnsi="Arial" w:cs="Arial"/>
          <w:color w:val="333333"/>
          <w:kern w:val="0"/>
          <w:sz w:val="24"/>
          <w:szCs w:val="24"/>
        </w:rPr>
        <w:t> to advance new technologies enabling researchers to better visualize human cells. During the fourth quarter, we established a </w:t>
      </w:r>
      <w:hyperlink r:id="rId14" w:history="1">
        <w:r w:rsidRPr="00C950DB">
          <w:rPr>
            <w:rFonts w:ascii="Arial" w:eastAsia="宋体" w:hAnsi="Arial" w:cs="Arial"/>
            <w:color w:val="317E8C"/>
            <w:kern w:val="0"/>
            <w:sz w:val="24"/>
            <w:szCs w:val="24"/>
          </w:rPr>
          <w:t>strategic collaboration with OpenAI</w:t>
        </w:r>
      </w:hyperlink>
      <w:r w:rsidRPr="00C950DB">
        <w:rPr>
          <w:rFonts w:ascii="Arial" w:eastAsia="宋体" w:hAnsi="Arial" w:cs="Arial"/>
          <w:color w:val="333333"/>
          <w:kern w:val="0"/>
          <w:sz w:val="24"/>
          <w:szCs w:val="24"/>
        </w:rPr>
        <w:t> to expand the use of artificial intelligence across our operations and our products and services to accelerate scientific breakthroughs, enhance drug development and drive greater productivity; and </w:t>
      </w:r>
      <w:hyperlink r:id="rId15" w:history="1">
        <w:r w:rsidRPr="00C950DB">
          <w:rPr>
            <w:rFonts w:ascii="Arial" w:eastAsia="宋体" w:hAnsi="Arial" w:cs="Arial"/>
            <w:color w:val="317E8C"/>
            <w:kern w:val="0"/>
            <w:sz w:val="24"/>
            <w:szCs w:val="24"/>
          </w:rPr>
          <w:t>expanded our bioprocess design centers in Asia</w:t>
        </w:r>
      </w:hyperlink>
      <w:r w:rsidRPr="00C950DB">
        <w:rPr>
          <w:rFonts w:ascii="Arial" w:eastAsia="宋体" w:hAnsi="Arial" w:cs="Arial"/>
          <w:color w:val="333333"/>
          <w:kern w:val="0"/>
          <w:sz w:val="24"/>
          <w:szCs w:val="24"/>
        </w:rPr>
        <w:t xml:space="preserve">, including opening a new site in India, to further support </w:t>
      </w:r>
      <w:proofErr w:type="spellStart"/>
      <w:r w:rsidRPr="00C950DB">
        <w:rPr>
          <w:rFonts w:ascii="Arial" w:eastAsia="宋体" w:hAnsi="Arial" w:cs="Arial"/>
          <w:color w:val="333333"/>
          <w:kern w:val="0"/>
          <w:sz w:val="24"/>
          <w:szCs w:val="24"/>
        </w:rPr>
        <w:t>pharma</w:t>
      </w:r>
      <w:proofErr w:type="spellEnd"/>
      <w:r w:rsidRPr="00C950DB">
        <w:rPr>
          <w:rFonts w:ascii="Arial" w:eastAsia="宋体" w:hAnsi="Arial" w:cs="Arial"/>
          <w:color w:val="333333"/>
          <w:kern w:val="0"/>
          <w:sz w:val="24"/>
          <w:szCs w:val="24"/>
        </w:rPr>
        <w:t xml:space="preserve"> and biotech customers with process development and scale-up.</w:t>
      </w:r>
    </w:p>
    <w:p w:rsidR="00C950DB" w:rsidRPr="00C950DB" w:rsidRDefault="00C950DB" w:rsidP="00C950DB">
      <w:pPr>
        <w:widowControl/>
        <w:numPr>
          <w:ilvl w:val="0"/>
          <w:numId w:val="6"/>
        </w:numPr>
        <w:spacing w:before="100" w:beforeAutospacing="1" w:after="100" w:afterAutospacing="1"/>
        <w:ind w:left="0"/>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Continued to successfully execute our capital deployment strategy, deploying approximately $16.5 billion in 2025. This included $13 billion committed to M&amp;A. We completed the acquisition of our </w:t>
      </w:r>
      <w:hyperlink r:id="rId16" w:history="1">
        <w:r w:rsidRPr="00C950DB">
          <w:rPr>
            <w:rFonts w:ascii="Arial" w:eastAsia="宋体" w:hAnsi="Arial" w:cs="Arial"/>
            <w:color w:val="317E8C"/>
            <w:kern w:val="0"/>
            <w:sz w:val="24"/>
            <w:szCs w:val="24"/>
          </w:rPr>
          <w:t>Filtration and Separation business from Solventum</w:t>
        </w:r>
      </w:hyperlink>
      <w:r w:rsidRPr="00C950DB">
        <w:rPr>
          <w:rFonts w:ascii="Arial" w:eastAsia="宋体" w:hAnsi="Arial" w:cs="Arial"/>
          <w:color w:val="333333"/>
          <w:kern w:val="0"/>
          <w:sz w:val="24"/>
          <w:szCs w:val="24"/>
          <w:u w:val="single"/>
        </w:rPr>
        <w:t>,</w:t>
      </w:r>
      <w:r w:rsidRPr="00C950DB">
        <w:rPr>
          <w:rFonts w:ascii="Arial" w:eastAsia="宋体" w:hAnsi="Arial" w:cs="Arial"/>
          <w:color w:val="333333"/>
          <w:kern w:val="0"/>
          <w:sz w:val="24"/>
          <w:szCs w:val="24"/>
        </w:rPr>
        <w:t xml:space="preserve"> an excellent complement to our </w:t>
      </w:r>
      <w:proofErr w:type="spellStart"/>
      <w:r w:rsidRPr="00C950DB">
        <w:rPr>
          <w:rFonts w:ascii="Arial" w:eastAsia="宋体" w:hAnsi="Arial" w:cs="Arial"/>
          <w:color w:val="333333"/>
          <w:kern w:val="0"/>
          <w:sz w:val="24"/>
          <w:szCs w:val="24"/>
        </w:rPr>
        <w:t>bioproduction</w:t>
      </w:r>
      <w:proofErr w:type="spellEnd"/>
      <w:r w:rsidRPr="00C950DB">
        <w:rPr>
          <w:rFonts w:ascii="Arial" w:eastAsia="宋体" w:hAnsi="Arial" w:cs="Arial"/>
          <w:color w:val="333333"/>
          <w:kern w:val="0"/>
          <w:sz w:val="24"/>
          <w:szCs w:val="24"/>
        </w:rPr>
        <w:t xml:space="preserve"> capabilities, and </w:t>
      </w:r>
      <w:proofErr w:type="spellStart"/>
      <w:r w:rsidRPr="00C950DB">
        <w:rPr>
          <w:rFonts w:ascii="Arial" w:eastAsia="宋体" w:hAnsi="Arial" w:cs="Arial"/>
          <w:color w:val="333333"/>
          <w:kern w:val="0"/>
          <w:sz w:val="24"/>
          <w:szCs w:val="24"/>
        </w:rPr>
        <w:fldChar w:fldCharType="begin"/>
      </w:r>
      <w:r w:rsidRPr="00C950DB">
        <w:rPr>
          <w:rFonts w:ascii="Arial" w:eastAsia="宋体" w:hAnsi="Arial" w:cs="Arial"/>
          <w:color w:val="333333"/>
          <w:kern w:val="0"/>
          <w:sz w:val="24"/>
          <w:szCs w:val="24"/>
        </w:rPr>
        <w:instrText xml:space="preserve"> HYPERLINK "https://cts.businesswire.com/ct/CT?id=smartlink&amp;url=https%3A%2F%2Fir.thermofisher.com%2Finvestors%2Fnews-events%2Fnews%2Fnews-details%2F2025%2FThermo-Fisher-Scientific-Completes-Acquisition-of-Sanofis-Ridgefield-New-Jersey-Site%2Fdefault.aspx&amp;esheet=54406760&amp;newsitemid=20260129692126&amp;lan=en-US&amp;anchor=Sanofi%26%238217%3Bs+Ridgefield%2C+New+Jersey%2C+sterile+fill-finish+site&amp;index=13&amp;md5=c660c17760d88d0de715f6fa5765d4c5" </w:instrText>
      </w:r>
      <w:r w:rsidRPr="00C950DB">
        <w:rPr>
          <w:rFonts w:ascii="Arial" w:eastAsia="宋体" w:hAnsi="Arial" w:cs="Arial"/>
          <w:color w:val="333333"/>
          <w:kern w:val="0"/>
          <w:sz w:val="24"/>
          <w:szCs w:val="24"/>
        </w:rPr>
        <w:fldChar w:fldCharType="separate"/>
      </w:r>
      <w:r w:rsidRPr="00C950DB">
        <w:rPr>
          <w:rFonts w:ascii="Arial" w:eastAsia="宋体" w:hAnsi="Arial" w:cs="Arial"/>
          <w:color w:val="317E8C"/>
          <w:kern w:val="0"/>
          <w:sz w:val="24"/>
          <w:szCs w:val="24"/>
        </w:rPr>
        <w:t>Sanofi’s</w:t>
      </w:r>
      <w:proofErr w:type="spellEnd"/>
      <w:r w:rsidRPr="00C950DB">
        <w:rPr>
          <w:rFonts w:ascii="Arial" w:eastAsia="宋体" w:hAnsi="Arial" w:cs="Arial"/>
          <w:color w:val="317E8C"/>
          <w:kern w:val="0"/>
          <w:sz w:val="24"/>
          <w:szCs w:val="24"/>
        </w:rPr>
        <w:t xml:space="preserve"> Ridgefield, New Jersey, sterile fill-finish site</w:t>
      </w:r>
      <w:r w:rsidRPr="00C950DB">
        <w:rPr>
          <w:rFonts w:ascii="Arial" w:eastAsia="宋体" w:hAnsi="Arial" w:cs="Arial"/>
          <w:color w:val="333333"/>
          <w:kern w:val="0"/>
          <w:sz w:val="24"/>
          <w:szCs w:val="24"/>
        </w:rPr>
        <w:fldChar w:fldCharType="end"/>
      </w:r>
      <w:r w:rsidRPr="00C950DB">
        <w:rPr>
          <w:rFonts w:ascii="Arial" w:eastAsia="宋体" w:hAnsi="Arial" w:cs="Arial"/>
          <w:color w:val="333333"/>
          <w:kern w:val="0"/>
          <w:sz w:val="24"/>
          <w:szCs w:val="24"/>
        </w:rPr>
        <w:t>, expanding our U.S. capacity for drug product manufacturing capacity. Then in the fourth quarter, we </w:t>
      </w:r>
      <w:hyperlink r:id="rId17" w:history="1">
        <w:r w:rsidRPr="00C950DB">
          <w:rPr>
            <w:rFonts w:ascii="Arial" w:eastAsia="宋体" w:hAnsi="Arial" w:cs="Arial"/>
            <w:color w:val="317E8C"/>
            <w:kern w:val="0"/>
            <w:sz w:val="24"/>
            <w:szCs w:val="24"/>
          </w:rPr>
          <w:t>announced a definitive agreement to acquire Clario</w:t>
        </w:r>
      </w:hyperlink>
      <w:r w:rsidRPr="00C950DB">
        <w:rPr>
          <w:rFonts w:ascii="Arial" w:eastAsia="宋体" w:hAnsi="Arial" w:cs="Arial"/>
          <w:color w:val="333333"/>
          <w:kern w:val="0"/>
          <w:sz w:val="24"/>
          <w:szCs w:val="24"/>
        </w:rPr>
        <w:t xml:space="preserve">, a leading provider of endpoint data solutions for clinical trials, adding high-growth capabilities to enhance clinical insights for our </w:t>
      </w:r>
      <w:proofErr w:type="spellStart"/>
      <w:r w:rsidRPr="00C950DB">
        <w:rPr>
          <w:rFonts w:ascii="Arial" w:eastAsia="宋体" w:hAnsi="Arial" w:cs="Arial"/>
          <w:color w:val="333333"/>
          <w:kern w:val="0"/>
          <w:sz w:val="24"/>
          <w:szCs w:val="24"/>
        </w:rPr>
        <w:t>pharma</w:t>
      </w:r>
      <w:proofErr w:type="spellEnd"/>
      <w:r w:rsidRPr="00C950DB">
        <w:rPr>
          <w:rFonts w:ascii="Arial" w:eastAsia="宋体" w:hAnsi="Arial" w:cs="Arial"/>
          <w:color w:val="333333"/>
          <w:kern w:val="0"/>
          <w:sz w:val="24"/>
          <w:szCs w:val="24"/>
        </w:rPr>
        <w:t xml:space="preserve"> and biotech customers and further accelerate the digital transformation of clinical research. Additionally, during the year we returned $3.6 billion of capital to shareholders through stock buybacks and dividends.</w:t>
      </w:r>
    </w:p>
    <w:p w:rsidR="00C950DB" w:rsidRPr="00C950DB" w:rsidRDefault="00C950DB" w:rsidP="00C950DB">
      <w:pPr>
        <w:widowControl/>
        <w:spacing w:before="100" w:beforeAutospacing="1" w:after="100" w:afterAutospacing="1"/>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“Thanks to our exceptional team, we delivered a strong finish to 2025, reflecting outstanding execution and the continued strength of our proven growth strategy,” said Marc N. Casper, chairman, president and chief executive officer of Thermo Fisher Scientific. “Throughout the year we effectively navigated the external environment and leveraged our PPI Business System to enable excellent operational performance. It was also a very active year for capital deployment, as we advanced our strategy and added exciting new capabilities that further strengthen our long-term competitive position.”</w:t>
      </w:r>
    </w:p>
    <w:p w:rsidR="00C950DB" w:rsidRPr="00C950DB" w:rsidRDefault="00C950DB" w:rsidP="00C950DB">
      <w:pPr>
        <w:widowControl/>
        <w:spacing w:before="100" w:beforeAutospacing="1" w:after="100" w:afterAutospacing="1"/>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Casper added, “We enter 2026 from a position of strength. Our growth strategy is resonating with customers, positioning us for continued share gain, and our PPI Business System provides a strong foundation to continue our excellent operational performance. Together, this positions us well to deliver on our 2026 objectives as we create value for our stakeholders and build an even brighter future for our company.”</w:t>
      </w:r>
    </w:p>
    <w:p w:rsidR="00C950DB" w:rsidRPr="00C950DB" w:rsidRDefault="00C950DB" w:rsidP="00C950DB">
      <w:pPr>
        <w:widowControl/>
        <w:spacing w:before="100" w:beforeAutospacing="1" w:after="100" w:afterAutospacing="1"/>
        <w:jc w:val="left"/>
        <w:rPr>
          <w:rFonts w:ascii="Arial" w:eastAsia="宋体" w:hAnsi="Arial" w:cs="Arial"/>
          <w:color w:val="333333"/>
          <w:kern w:val="0"/>
          <w:sz w:val="24"/>
          <w:szCs w:val="24"/>
        </w:rPr>
      </w:pPr>
      <w:r w:rsidRPr="00C950DB">
        <w:rPr>
          <w:rFonts w:ascii="Arial" w:eastAsia="宋体" w:hAnsi="Arial" w:cs="Arial"/>
          <w:b/>
          <w:bCs/>
          <w:color w:val="333333"/>
          <w:kern w:val="0"/>
          <w:sz w:val="24"/>
          <w:szCs w:val="24"/>
        </w:rPr>
        <w:t>Fourth Quarter 2025</w:t>
      </w:r>
    </w:p>
    <w:p w:rsidR="00C950DB" w:rsidRPr="00C950DB" w:rsidRDefault="00C950DB" w:rsidP="00C950DB">
      <w:pPr>
        <w:widowControl/>
        <w:spacing w:before="100" w:beforeAutospacing="1" w:after="100" w:afterAutospacing="1"/>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Revenue for the fourth quarter of 2025 grew 7% to $12.21 billion, versus $11.40 billion in the same quarter of 2024. Organic revenue growth was 3%.</w:t>
      </w:r>
    </w:p>
    <w:p w:rsidR="00C950DB" w:rsidRPr="00C950DB" w:rsidRDefault="00C950DB" w:rsidP="00C950DB">
      <w:pPr>
        <w:widowControl/>
        <w:spacing w:before="100" w:beforeAutospacing="1" w:after="100" w:afterAutospacing="1"/>
        <w:jc w:val="left"/>
        <w:rPr>
          <w:rFonts w:ascii="Arial" w:eastAsia="宋体" w:hAnsi="Arial" w:cs="Arial"/>
          <w:color w:val="333333"/>
          <w:kern w:val="0"/>
          <w:sz w:val="24"/>
          <w:szCs w:val="24"/>
        </w:rPr>
      </w:pPr>
      <w:r w:rsidRPr="00C950DB">
        <w:rPr>
          <w:rFonts w:ascii="Arial" w:eastAsia="宋体" w:hAnsi="Arial" w:cs="Arial"/>
          <w:i/>
          <w:iCs/>
          <w:color w:val="333333"/>
          <w:kern w:val="0"/>
          <w:sz w:val="24"/>
          <w:szCs w:val="24"/>
        </w:rPr>
        <w:t>GAAP Earnings Results</w:t>
      </w:r>
    </w:p>
    <w:p w:rsidR="00C950DB" w:rsidRPr="00C950DB" w:rsidRDefault="00C950DB" w:rsidP="00C950DB">
      <w:pPr>
        <w:widowControl/>
        <w:spacing w:before="100" w:beforeAutospacing="1" w:after="100" w:afterAutospacing="1"/>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GAAP diluted EPS in the fourth quarter of 2025 was $5.21, 9% growth versus the fourth quarter of 2024. GAAP operating income for the fourth quarter of 2025 was $2.26 billion, 12% higher than the year-ago quarter. GAAP operating margin was 18.5%, compared with 17.7% in the fourth quarter of 2024.</w:t>
      </w:r>
    </w:p>
    <w:p w:rsidR="00C950DB" w:rsidRPr="00C950DB" w:rsidRDefault="00C950DB" w:rsidP="00C950DB">
      <w:pPr>
        <w:widowControl/>
        <w:spacing w:before="100" w:beforeAutospacing="1" w:after="100" w:afterAutospacing="1"/>
        <w:jc w:val="left"/>
        <w:rPr>
          <w:rFonts w:ascii="Arial" w:eastAsia="宋体" w:hAnsi="Arial" w:cs="Arial"/>
          <w:color w:val="333333"/>
          <w:kern w:val="0"/>
          <w:sz w:val="24"/>
          <w:szCs w:val="24"/>
        </w:rPr>
      </w:pPr>
      <w:r w:rsidRPr="00C950DB">
        <w:rPr>
          <w:rFonts w:ascii="Arial" w:eastAsia="宋体" w:hAnsi="Arial" w:cs="Arial"/>
          <w:i/>
          <w:iCs/>
          <w:color w:val="333333"/>
          <w:kern w:val="0"/>
          <w:sz w:val="24"/>
          <w:szCs w:val="24"/>
        </w:rPr>
        <w:t>Non-GAAP Earnings Results</w:t>
      </w:r>
    </w:p>
    <w:p w:rsidR="00C950DB" w:rsidRPr="00C950DB" w:rsidRDefault="00C950DB" w:rsidP="00C950DB">
      <w:pPr>
        <w:widowControl/>
        <w:spacing w:before="100" w:beforeAutospacing="1" w:after="100" w:afterAutospacing="1"/>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Adjusted EPS for the fourth quarter of 2025 was $6.57, 8% growth versus the fourth quarter of 2024. Adjusted operating income for the fourth quarter of 2025 was $2.88 billion, 6% higher than the year-ago quarter. Adjusted operating margin was 23.6%, compared with 23.9% in the fourth quarter of 2024.</w:t>
      </w:r>
    </w:p>
    <w:p w:rsidR="00C950DB" w:rsidRPr="00C950DB" w:rsidRDefault="00C950DB" w:rsidP="00C950DB">
      <w:pPr>
        <w:widowControl/>
        <w:spacing w:before="100" w:beforeAutospacing="1" w:after="100" w:afterAutospacing="1"/>
        <w:jc w:val="left"/>
        <w:rPr>
          <w:rFonts w:ascii="Arial" w:eastAsia="宋体" w:hAnsi="Arial" w:cs="Arial"/>
          <w:color w:val="333333"/>
          <w:kern w:val="0"/>
          <w:sz w:val="24"/>
          <w:szCs w:val="24"/>
        </w:rPr>
      </w:pPr>
      <w:r w:rsidRPr="00C950DB">
        <w:rPr>
          <w:rFonts w:ascii="Arial" w:eastAsia="宋体" w:hAnsi="Arial" w:cs="Arial"/>
          <w:b/>
          <w:bCs/>
          <w:color w:val="333333"/>
          <w:kern w:val="0"/>
          <w:sz w:val="24"/>
          <w:szCs w:val="24"/>
        </w:rPr>
        <w:t>Full Year 2025</w:t>
      </w:r>
    </w:p>
    <w:p w:rsidR="00C950DB" w:rsidRPr="00C950DB" w:rsidRDefault="00C950DB" w:rsidP="00C950DB">
      <w:pPr>
        <w:widowControl/>
        <w:spacing w:before="100" w:beforeAutospacing="1" w:after="100" w:afterAutospacing="1"/>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Revenue for the full year 2025 grew 4% to $44.56 billion, versus $42.88 billion in 2024. Organic revenue growth was 2%.</w:t>
      </w:r>
    </w:p>
    <w:p w:rsidR="00C950DB" w:rsidRPr="00C950DB" w:rsidRDefault="00C950DB" w:rsidP="00C950DB">
      <w:pPr>
        <w:widowControl/>
        <w:spacing w:before="100" w:beforeAutospacing="1" w:after="100" w:afterAutospacing="1"/>
        <w:jc w:val="left"/>
        <w:rPr>
          <w:rFonts w:ascii="Arial" w:eastAsia="宋体" w:hAnsi="Arial" w:cs="Arial"/>
          <w:color w:val="333333"/>
          <w:kern w:val="0"/>
          <w:sz w:val="24"/>
          <w:szCs w:val="24"/>
        </w:rPr>
      </w:pPr>
      <w:r w:rsidRPr="00C950DB">
        <w:rPr>
          <w:rFonts w:ascii="Arial" w:eastAsia="宋体" w:hAnsi="Arial" w:cs="Arial"/>
          <w:i/>
          <w:iCs/>
          <w:color w:val="333333"/>
          <w:kern w:val="0"/>
          <w:sz w:val="24"/>
          <w:szCs w:val="24"/>
        </w:rPr>
        <w:t>GAAP Earnings Results</w:t>
      </w:r>
    </w:p>
    <w:p w:rsidR="00C950DB" w:rsidRPr="00C950DB" w:rsidRDefault="00C950DB" w:rsidP="00C950DB">
      <w:pPr>
        <w:widowControl/>
        <w:spacing w:before="100" w:beforeAutospacing="1" w:after="100" w:afterAutospacing="1"/>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GAAP diluted EPS for the full year was $17.74, 7% growth versus the full year 2024. GAAP operating income for the full year was $7.75 billion, 6% higher than 2024. GAAP operating margin was 17.4%, compared with 17.1% in 2024.</w:t>
      </w:r>
    </w:p>
    <w:p w:rsidR="00C950DB" w:rsidRPr="00C950DB" w:rsidRDefault="00C950DB" w:rsidP="00C950DB">
      <w:pPr>
        <w:widowControl/>
        <w:spacing w:before="100" w:beforeAutospacing="1" w:after="100" w:afterAutospacing="1"/>
        <w:jc w:val="left"/>
        <w:rPr>
          <w:rFonts w:ascii="Arial" w:eastAsia="宋体" w:hAnsi="Arial" w:cs="Arial"/>
          <w:color w:val="333333"/>
          <w:kern w:val="0"/>
          <w:sz w:val="24"/>
          <w:szCs w:val="24"/>
        </w:rPr>
      </w:pPr>
      <w:r w:rsidRPr="00C950DB">
        <w:rPr>
          <w:rFonts w:ascii="Arial" w:eastAsia="宋体" w:hAnsi="Arial" w:cs="Arial"/>
          <w:i/>
          <w:iCs/>
          <w:color w:val="333333"/>
          <w:kern w:val="0"/>
          <w:sz w:val="24"/>
          <w:szCs w:val="24"/>
        </w:rPr>
        <w:t>Non-GAAP Earnings Results</w:t>
      </w:r>
    </w:p>
    <w:p w:rsidR="00C950DB" w:rsidRPr="00C950DB" w:rsidRDefault="00C950DB" w:rsidP="00C950DB">
      <w:pPr>
        <w:widowControl/>
        <w:spacing w:before="100" w:beforeAutospacing="1" w:after="100" w:afterAutospacing="1"/>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Adjusted EPS for the full year 2025 was $22.87, 5% growth versus the full year 2024. Adjusted operating income for the full year was $10.11 billion, 4% higher than 2024. Adjusted operating margin was 22.7%, compared with 22.6% in 2024.</w:t>
      </w:r>
    </w:p>
    <w:p w:rsidR="00C950DB" w:rsidRPr="00C950DB" w:rsidRDefault="00C950DB" w:rsidP="00C950DB">
      <w:pPr>
        <w:widowControl/>
        <w:spacing w:before="100" w:beforeAutospacing="1" w:after="100" w:afterAutospacing="1"/>
        <w:jc w:val="left"/>
        <w:rPr>
          <w:rFonts w:ascii="Arial" w:eastAsia="宋体" w:hAnsi="Arial" w:cs="Arial"/>
          <w:color w:val="333333"/>
          <w:kern w:val="0"/>
          <w:sz w:val="24"/>
          <w:szCs w:val="24"/>
        </w:rPr>
      </w:pPr>
      <w:r w:rsidRPr="00C950DB">
        <w:rPr>
          <w:rFonts w:ascii="Arial" w:eastAsia="宋体" w:hAnsi="Arial" w:cs="Arial"/>
          <w:b/>
          <w:bCs/>
          <w:color w:val="333333"/>
          <w:kern w:val="0"/>
          <w:sz w:val="24"/>
          <w:szCs w:val="24"/>
        </w:rPr>
        <w:t>Annual Guidance for 2026</w:t>
      </w:r>
    </w:p>
    <w:p w:rsidR="00C950DB" w:rsidRPr="00C950DB" w:rsidRDefault="00C950DB" w:rsidP="00C950DB">
      <w:pPr>
        <w:widowControl/>
        <w:spacing w:before="100" w:beforeAutospacing="1" w:after="100" w:afterAutospacing="1"/>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The company will provide 2026 financial guidance during its earnings conference call this morning at 8:30 a.m. Eastern Time.</w:t>
      </w:r>
    </w:p>
    <w:p w:rsidR="00C950DB" w:rsidRPr="00C950DB" w:rsidRDefault="00C950DB" w:rsidP="00C950DB">
      <w:pPr>
        <w:widowControl/>
        <w:spacing w:before="100" w:beforeAutospacing="1" w:after="100" w:afterAutospacing="1"/>
        <w:jc w:val="left"/>
        <w:rPr>
          <w:rFonts w:ascii="Arial" w:eastAsia="宋体" w:hAnsi="Arial" w:cs="Arial"/>
          <w:color w:val="333333"/>
          <w:kern w:val="0"/>
          <w:sz w:val="24"/>
          <w:szCs w:val="24"/>
        </w:rPr>
      </w:pPr>
      <w:r w:rsidRPr="00C950DB">
        <w:rPr>
          <w:rFonts w:ascii="Arial" w:eastAsia="宋体" w:hAnsi="Arial" w:cs="Arial"/>
          <w:b/>
          <w:bCs/>
          <w:color w:val="333333"/>
          <w:kern w:val="0"/>
          <w:sz w:val="24"/>
          <w:szCs w:val="24"/>
        </w:rPr>
        <w:t>Use of Non-GAAP Financial Measures</w:t>
      </w:r>
    </w:p>
    <w:p w:rsidR="00C950DB" w:rsidRPr="00C950DB" w:rsidRDefault="00C950DB" w:rsidP="00C950DB">
      <w:pPr>
        <w:widowControl/>
        <w:spacing w:before="100" w:beforeAutospacing="1" w:after="100" w:afterAutospacing="1"/>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Adjusted EPS, adjusted net income, adjusted operating income, adjusted operating margin, free cash flow, and organic revenue growth are non-GAAP measures that exclude certain items detailed after the tables that accompany this press release, under the heading “Supplemental Information Regarding Non-GAAP Financial Measures.” The reconciliations of GAAP to non-GAAP financial measures are provided in the tables that accompany this press release.</w:t>
      </w:r>
    </w:p>
    <w:p w:rsidR="00C950DB" w:rsidRPr="00C950DB" w:rsidRDefault="00C950DB" w:rsidP="00C950DB">
      <w:pPr>
        <w:widowControl/>
        <w:spacing w:before="100" w:beforeAutospacing="1" w:after="100" w:afterAutospacing="1"/>
        <w:jc w:val="left"/>
        <w:rPr>
          <w:rFonts w:ascii="Arial" w:eastAsia="宋体" w:hAnsi="Arial" w:cs="Arial"/>
          <w:color w:val="333333"/>
          <w:kern w:val="0"/>
          <w:sz w:val="24"/>
          <w:szCs w:val="24"/>
        </w:rPr>
      </w:pPr>
      <w:r w:rsidRPr="00C950DB">
        <w:rPr>
          <w:rFonts w:ascii="Arial" w:eastAsia="宋体" w:hAnsi="Arial" w:cs="Arial"/>
          <w:b/>
          <w:bCs/>
          <w:color w:val="333333"/>
          <w:kern w:val="0"/>
          <w:sz w:val="24"/>
          <w:szCs w:val="24"/>
        </w:rPr>
        <w:t>Note on Presentation</w:t>
      </w:r>
    </w:p>
    <w:p w:rsidR="00C950DB" w:rsidRPr="00C950DB" w:rsidRDefault="00C950DB" w:rsidP="00C950DB">
      <w:pPr>
        <w:widowControl/>
        <w:spacing w:before="100" w:beforeAutospacing="1" w:after="100" w:afterAutospacing="1"/>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Certain amounts and percentages reported within this press release are presented and calculated based on underlying unrounded amounts. As a result, the sum of components may not equal corresponding totals due to rounding.</w:t>
      </w:r>
    </w:p>
    <w:p w:rsidR="00C950DB" w:rsidRPr="00C950DB" w:rsidRDefault="00C950DB" w:rsidP="00C950DB">
      <w:pPr>
        <w:widowControl/>
        <w:spacing w:before="100" w:beforeAutospacing="1" w:after="100" w:afterAutospacing="1"/>
        <w:jc w:val="left"/>
        <w:rPr>
          <w:rFonts w:ascii="Arial" w:eastAsia="宋体" w:hAnsi="Arial" w:cs="Arial"/>
          <w:color w:val="333333"/>
          <w:kern w:val="0"/>
          <w:sz w:val="24"/>
          <w:szCs w:val="24"/>
        </w:rPr>
      </w:pPr>
      <w:r w:rsidRPr="00C950DB">
        <w:rPr>
          <w:rFonts w:ascii="Arial" w:eastAsia="宋体" w:hAnsi="Arial" w:cs="Arial"/>
          <w:b/>
          <w:bCs/>
          <w:color w:val="333333"/>
          <w:kern w:val="0"/>
          <w:sz w:val="24"/>
          <w:szCs w:val="24"/>
        </w:rPr>
        <w:t>Conference Call</w:t>
      </w:r>
    </w:p>
    <w:p w:rsidR="00C950DB" w:rsidRPr="00C950DB" w:rsidRDefault="00C950DB" w:rsidP="00C950DB">
      <w:pPr>
        <w:widowControl/>
        <w:spacing w:before="100" w:beforeAutospacing="1" w:after="100" w:afterAutospacing="1"/>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Thermo Fisher Scientific will hold its earnings conference call today, January 29, 2026, at 8:30 a.m. Eastern Time. During the call, the company will discuss its financial performance, as well as future expectations.</w:t>
      </w:r>
    </w:p>
    <w:p w:rsidR="00C950DB" w:rsidRPr="00C950DB" w:rsidRDefault="00C950DB" w:rsidP="00C950DB">
      <w:pPr>
        <w:widowControl/>
        <w:spacing w:before="100" w:beforeAutospacing="1" w:after="100" w:afterAutospacing="1"/>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The call will be webcast live on the “Investors” section of our website, </w:t>
      </w:r>
      <w:hyperlink r:id="rId18" w:history="1">
        <w:r w:rsidRPr="00C950DB">
          <w:rPr>
            <w:rFonts w:ascii="Arial" w:eastAsia="宋体" w:hAnsi="Arial" w:cs="Arial"/>
            <w:color w:val="317E8C"/>
            <w:kern w:val="0"/>
            <w:sz w:val="24"/>
            <w:szCs w:val="24"/>
          </w:rPr>
          <w:t>www.thermofisher.com</w:t>
        </w:r>
      </w:hyperlink>
      <w:r w:rsidRPr="00C950DB">
        <w:rPr>
          <w:rFonts w:ascii="Arial" w:eastAsia="宋体" w:hAnsi="Arial" w:cs="Arial"/>
          <w:color w:val="333333"/>
          <w:kern w:val="0"/>
          <w:sz w:val="24"/>
          <w:szCs w:val="24"/>
        </w:rPr>
        <w:t>. You can access the conference call by dialing (833) 470-1428 within the U.S. or +1 (646) 844-6383 outside the U.S. The access code is 054943.</w:t>
      </w:r>
    </w:p>
    <w:p w:rsidR="00C950DB" w:rsidRPr="00C950DB" w:rsidRDefault="00C950DB" w:rsidP="00C950DB">
      <w:pPr>
        <w:widowControl/>
        <w:spacing w:before="100" w:beforeAutospacing="1" w:after="100" w:afterAutospacing="1"/>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The earnings press release and related information can also be found in that section of our website, under the heading “Financials”. A replay of the call will be available under “News, Events &amp; Presentations” through Wednesday, April 22, 2026.</w:t>
      </w:r>
    </w:p>
    <w:p w:rsidR="00C950DB" w:rsidRPr="00C950DB" w:rsidRDefault="00C950DB" w:rsidP="00C950DB">
      <w:pPr>
        <w:widowControl/>
        <w:spacing w:before="100" w:beforeAutospacing="1" w:after="100" w:afterAutospacing="1"/>
        <w:jc w:val="left"/>
        <w:rPr>
          <w:rFonts w:ascii="Arial" w:eastAsia="宋体" w:hAnsi="Arial" w:cs="Arial"/>
          <w:color w:val="333333"/>
          <w:kern w:val="0"/>
          <w:sz w:val="24"/>
          <w:szCs w:val="24"/>
        </w:rPr>
      </w:pPr>
      <w:r w:rsidRPr="00C950DB">
        <w:rPr>
          <w:rFonts w:ascii="Arial" w:eastAsia="宋体" w:hAnsi="Arial" w:cs="Arial"/>
          <w:b/>
          <w:bCs/>
          <w:color w:val="333333"/>
          <w:kern w:val="0"/>
          <w:sz w:val="24"/>
          <w:szCs w:val="24"/>
        </w:rPr>
        <w:t>About Thermo Fisher Scientific</w:t>
      </w:r>
    </w:p>
    <w:p w:rsidR="00C950DB" w:rsidRPr="00C950DB" w:rsidRDefault="00C950DB" w:rsidP="00C950DB">
      <w:pPr>
        <w:widowControl/>
        <w:spacing w:before="100" w:beforeAutospacing="1" w:after="100" w:afterAutospacing="1"/>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 xml:space="preserve">Thermo Fisher Scientific Inc. is the world leader in serving science, with annual revenue over $40 billion. Our Mission is to enable our customers to make the world healthier, cleaner and safer. Whether our customers are accelerating life sciences research, solving complex analytical challenges, increasing productivity in their laboratories, improving patient health through diagnostics or the development and manufacture of life-changing therapies, we are here to support them. Our global team delivers an unrivaled combination of innovative technologies, purchasing convenience and pharmaceutical services through our industry-leading brands, including Thermo Scientific, Applied </w:t>
      </w:r>
      <w:proofErr w:type="spellStart"/>
      <w:r w:rsidRPr="00C950DB">
        <w:rPr>
          <w:rFonts w:ascii="Arial" w:eastAsia="宋体" w:hAnsi="Arial" w:cs="Arial"/>
          <w:color w:val="333333"/>
          <w:kern w:val="0"/>
          <w:sz w:val="24"/>
          <w:szCs w:val="24"/>
        </w:rPr>
        <w:t>Biosystems</w:t>
      </w:r>
      <w:proofErr w:type="spellEnd"/>
      <w:r w:rsidRPr="00C950DB">
        <w:rPr>
          <w:rFonts w:ascii="Arial" w:eastAsia="宋体" w:hAnsi="Arial" w:cs="Arial"/>
          <w:color w:val="333333"/>
          <w:kern w:val="0"/>
          <w:sz w:val="24"/>
          <w:szCs w:val="24"/>
        </w:rPr>
        <w:t xml:space="preserve">, Invitrogen, Fisher Scientific, Unity Lab Services, </w:t>
      </w:r>
      <w:proofErr w:type="spellStart"/>
      <w:r w:rsidRPr="00C950DB">
        <w:rPr>
          <w:rFonts w:ascii="Arial" w:eastAsia="宋体" w:hAnsi="Arial" w:cs="Arial"/>
          <w:color w:val="333333"/>
          <w:kern w:val="0"/>
          <w:sz w:val="24"/>
          <w:szCs w:val="24"/>
        </w:rPr>
        <w:t>Patheon</w:t>
      </w:r>
      <w:proofErr w:type="spellEnd"/>
      <w:r w:rsidRPr="00C950DB">
        <w:rPr>
          <w:rFonts w:ascii="Arial" w:eastAsia="宋体" w:hAnsi="Arial" w:cs="Arial"/>
          <w:color w:val="333333"/>
          <w:kern w:val="0"/>
          <w:sz w:val="24"/>
          <w:szCs w:val="24"/>
        </w:rPr>
        <w:t xml:space="preserve"> and PPD. For more information, please visit </w:t>
      </w:r>
      <w:hyperlink r:id="rId19" w:history="1">
        <w:r w:rsidRPr="00C950DB">
          <w:rPr>
            <w:rFonts w:ascii="Arial" w:eastAsia="宋体" w:hAnsi="Arial" w:cs="Arial"/>
            <w:color w:val="317E8C"/>
            <w:kern w:val="0"/>
            <w:sz w:val="24"/>
            <w:szCs w:val="24"/>
          </w:rPr>
          <w:t>www.thermofisher.com</w:t>
        </w:r>
      </w:hyperlink>
      <w:r w:rsidRPr="00C950DB">
        <w:rPr>
          <w:rFonts w:ascii="Arial" w:eastAsia="宋体" w:hAnsi="Arial" w:cs="Arial"/>
          <w:color w:val="333333"/>
          <w:kern w:val="0"/>
          <w:sz w:val="24"/>
          <w:szCs w:val="24"/>
        </w:rPr>
        <w:t>.</w:t>
      </w:r>
    </w:p>
    <w:p w:rsidR="00C950DB" w:rsidRPr="00C950DB" w:rsidRDefault="00C950DB" w:rsidP="00C950DB">
      <w:pPr>
        <w:widowControl/>
        <w:spacing w:before="100" w:beforeAutospacing="1" w:after="100" w:afterAutospacing="1"/>
        <w:jc w:val="left"/>
        <w:rPr>
          <w:rFonts w:ascii="Arial" w:eastAsia="宋体" w:hAnsi="Arial" w:cs="Arial"/>
          <w:color w:val="333333"/>
          <w:kern w:val="0"/>
          <w:sz w:val="24"/>
          <w:szCs w:val="24"/>
        </w:rPr>
      </w:pPr>
      <w:r w:rsidRPr="00C950DB">
        <w:rPr>
          <w:rFonts w:ascii="Arial" w:eastAsia="宋体" w:hAnsi="Arial" w:cs="Arial"/>
          <w:b/>
          <w:bCs/>
          <w:color w:val="333333"/>
          <w:kern w:val="0"/>
          <w:sz w:val="24"/>
          <w:szCs w:val="24"/>
        </w:rPr>
        <w:t>Safe Harbor Statement</w:t>
      </w:r>
    </w:p>
    <w:p w:rsidR="00C950DB" w:rsidRPr="00C950DB" w:rsidRDefault="00C950DB" w:rsidP="00C950DB">
      <w:pPr>
        <w:widowControl/>
        <w:spacing w:before="100" w:beforeAutospacing="1" w:after="100" w:afterAutospacing="1"/>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The following constitutes a “Safe Harbor” statement under the Private Securities Litigation Reform Act of 1995: This press release contains forward-looking statements that involve a number of risks and uncertainties. Important factors that could cause actual results to differ materially from those indicated by forward-looking statements include risks and uncertainties relating to: the need to develop new products and adapt to significant technological change; implementation of strategies for improving growth; general economic conditions and related uncertainties; dependence on customers' capital spending policies and government funding policies; the effect of economic and political conditions and exchange rate fluctuations on international operations; use and protection of intellectual property; the effect of changes in governmental regulations; any natural disaster, public health crisis or other catastrophic event; and the effect of laws and regulations governing government contracts, as well as the possibility that expected benefits related to recent or pending acquisitions, may not materialize as expected. Additional important factors that could cause actual results to differ materially from those indicated by such forward-looking statements are set forth in our most recent reports on Form 10-K and Form 10-Q under the heading “Risk Factors.” These filings are on file with the SEC and available in the “Investors” section of our website under the heading “SEC Filings.” These forward-looking statements are based on our current expectations and speak only as of the date of this press release. While we may elect to update forward-looking statements at some point in the future, we specifically disclaim any obligation to do so, in the event of new information, future developments or otherwise.</w:t>
      </w:r>
    </w:p>
    <w:tbl>
      <w:tblPr>
        <w:tblW w:w="20400" w:type="dxa"/>
        <w:tblCellMar>
          <w:left w:w="0" w:type="dxa"/>
          <w:right w:w="0" w:type="dxa"/>
        </w:tblCellMar>
        <w:tblLook w:val="04A0" w:firstRow="1" w:lastRow="0" w:firstColumn="1" w:lastColumn="0" w:noHBand="0" w:noVBand="1"/>
      </w:tblPr>
      <w:tblGrid>
        <w:gridCol w:w="10934"/>
        <w:gridCol w:w="19"/>
        <w:gridCol w:w="183"/>
        <w:gridCol w:w="20"/>
        <w:gridCol w:w="184"/>
        <w:gridCol w:w="20"/>
        <w:gridCol w:w="2013"/>
        <w:gridCol w:w="21"/>
        <w:gridCol w:w="182"/>
        <w:gridCol w:w="21"/>
        <w:gridCol w:w="181"/>
        <w:gridCol w:w="22"/>
        <w:gridCol w:w="1602"/>
        <w:gridCol w:w="24"/>
        <w:gridCol w:w="241"/>
        <w:gridCol w:w="9"/>
        <w:gridCol w:w="193"/>
        <w:gridCol w:w="10"/>
        <w:gridCol w:w="194"/>
        <w:gridCol w:w="10"/>
        <w:gridCol w:w="2023"/>
        <w:gridCol w:w="11"/>
        <w:gridCol w:w="192"/>
        <w:gridCol w:w="11"/>
        <w:gridCol w:w="191"/>
        <w:gridCol w:w="12"/>
        <w:gridCol w:w="1612"/>
        <w:gridCol w:w="14"/>
        <w:gridCol w:w="251"/>
      </w:tblGrid>
      <w:tr w:rsidR="00C950DB" w:rsidRPr="00C950DB" w:rsidTr="00C950DB">
        <w:tc>
          <w:tcPr>
            <w:tcW w:w="0" w:type="auto"/>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20400" w:type="dxa"/>
            <w:gridSpan w:val="29"/>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b/>
                <w:bCs/>
                <w:color w:val="333333"/>
                <w:kern w:val="0"/>
                <w:sz w:val="24"/>
                <w:szCs w:val="24"/>
              </w:rPr>
              <w:t>Condensed Consolidated Statements of Income (unaudited)</w:t>
            </w:r>
          </w:p>
        </w:tc>
      </w:tr>
      <w:tr w:rsidR="00C950DB" w:rsidRPr="00C950DB" w:rsidTr="00C950DB">
        <w:tc>
          <w:tcPr>
            <w:tcW w:w="10935"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26"/>
            <w:tcBorders>
              <w:top w:val="nil"/>
              <w:left w:val="nil"/>
              <w:bottom w:val="single" w:sz="8" w:space="0" w:color="000000"/>
              <w:right w:val="nil"/>
            </w:tcBorders>
            <w:vAlign w:val="bottom"/>
            <w:hideMark/>
          </w:tcPr>
          <w:p w:rsidR="00C950DB" w:rsidRPr="00C950DB" w:rsidRDefault="00C950DB" w:rsidP="00C950DB">
            <w:pPr>
              <w:widowControl/>
              <w:jc w:val="center"/>
              <w:rPr>
                <w:rFonts w:ascii="Arial" w:eastAsia="宋体" w:hAnsi="Arial" w:cs="Arial"/>
                <w:color w:val="333333"/>
                <w:kern w:val="0"/>
                <w:sz w:val="24"/>
                <w:szCs w:val="24"/>
              </w:rPr>
            </w:pPr>
            <w:r w:rsidRPr="00C950DB">
              <w:rPr>
                <w:rFonts w:ascii="Arial" w:eastAsia="宋体" w:hAnsi="Arial" w:cs="Arial"/>
                <w:color w:val="333333"/>
                <w:kern w:val="0"/>
                <w:sz w:val="24"/>
                <w:szCs w:val="24"/>
              </w:rPr>
              <w:t>Three months ended</w:t>
            </w:r>
          </w:p>
        </w:tc>
      </w:tr>
      <w:tr w:rsidR="00C950DB" w:rsidRPr="00C950DB" w:rsidTr="00C950DB">
        <w:tc>
          <w:tcPr>
            <w:tcW w:w="10935"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nil"/>
              <w:right w:val="nil"/>
            </w:tcBorders>
            <w:noWrap/>
            <w:vAlign w:val="bottom"/>
            <w:hideMark/>
          </w:tcPr>
          <w:p w:rsidR="00C950DB" w:rsidRPr="00C950DB" w:rsidRDefault="00C950DB" w:rsidP="00C950DB">
            <w:pPr>
              <w:widowControl/>
              <w:jc w:val="center"/>
              <w:rPr>
                <w:rFonts w:ascii="Arial" w:eastAsia="宋体" w:hAnsi="Arial" w:cs="Arial"/>
                <w:color w:val="333333"/>
                <w:kern w:val="0"/>
                <w:sz w:val="24"/>
                <w:szCs w:val="24"/>
              </w:rPr>
            </w:pPr>
            <w:r w:rsidRPr="00C950DB">
              <w:rPr>
                <w:rFonts w:ascii="Arial" w:eastAsia="宋体" w:hAnsi="Arial" w:cs="Arial"/>
                <w:color w:val="333333"/>
                <w:kern w:val="0"/>
                <w:sz w:val="24"/>
                <w:szCs w:val="24"/>
              </w:rPr>
              <w:t>December 31,</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4"/>
            <w:tcBorders>
              <w:top w:val="nil"/>
              <w:left w:val="nil"/>
              <w:bottom w:val="nil"/>
              <w:right w:val="nil"/>
            </w:tcBorders>
            <w:vAlign w:val="bottom"/>
            <w:hideMark/>
          </w:tcPr>
          <w:p w:rsidR="00C950DB" w:rsidRPr="00C950DB" w:rsidRDefault="00C950DB" w:rsidP="00C950DB">
            <w:pPr>
              <w:widowControl/>
              <w:jc w:val="center"/>
              <w:rPr>
                <w:rFonts w:ascii="Arial" w:eastAsia="宋体" w:hAnsi="Arial" w:cs="Arial"/>
                <w:color w:val="333333"/>
                <w:kern w:val="0"/>
                <w:sz w:val="24"/>
                <w:szCs w:val="24"/>
              </w:rPr>
            </w:pPr>
            <w:r w:rsidRPr="00C950DB">
              <w:rPr>
                <w:rFonts w:ascii="Arial" w:eastAsia="宋体" w:hAnsi="Arial" w:cs="Arial"/>
                <w:color w:val="333333"/>
                <w:kern w:val="0"/>
                <w:sz w:val="24"/>
                <w:szCs w:val="24"/>
              </w:rPr>
              <w:t>% of</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6"/>
            <w:tcBorders>
              <w:top w:val="nil"/>
              <w:left w:val="nil"/>
              <w:bottom w:val="nil"/>
              <w:right w:val="nil"/>
            </w:tcBorders>
            <w:noWrap/>
            <w:vAlign w:val="bottom"/>
            <w:hideMark/>
          </w:tcPr>
          <w:p w:rsidR="00C950DB" w:rsidRPr="00C950DB" w:rsidRDefault="00C950DB" w:rsidP="00C950DB">
            <w:pPr>
              <w:widowControl/>
              <w:jc w:val="center"/>
              <w:rPr>
                <w:rFonts w:ascii="Arial" w:eastAsia="宋体" w:hAnsi="Arial" w:cs="Arial"/>
                <w:color w:val="333333"/>
                <w:kern w:val="0"/>
                <w:sz w:val="24"/>
                <w:szCs w:val="24"/>
              </w:rPr>
            </w:pPr>
            <w:r w:rsidRPr="00C950DB">
              <w:rPr>
                <w:rFonts w:ascii="Arial" w:eastAsia="宋体" w:hAnsi="Arial" w:cs="Arial"/>
                <w:color w:val="333333"/>
                <w:kern w:val="0"/>
                <w:sz w:val="24"/>
                <w:szCs w:val="24"/>
              </w:rPr>
              <w:t>December 31,</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4"/>
            <w:tcBorders>
              <w:top w:val="nil"/>
              <w:left w:val="nil"/>
              <w:bottom w:val="nil"/>
              <w:right w:val="nil"/>
            </w:tcBorders>
            <w:vAlign w:val="bottom"/>
            <w:hideMark/>
          </w:tcPr>
          <w:p w:rsidR="00C950DB" w:rsidRPr="00C950DB" w:rsidRDefault="00C950DB" w:rsidP="00C950DB">
            <w:pPr>
              <w:widowControl/>
              <w:jc w:val="center"/>
              <w:rPr>
                <w:rFonts w:ascii="Arial" w:eastAsia="宋体" w:hAnsi="Arial" w:cs="Arial"/>
                <w:color w:val="333333"/>
                <w:kern w:val="0"/>
                <w:sz w:val="24"/>
                <w:szCs w:val="24"/>
              </w:rPr>
            </w:pPr>
            <w:r w:rsidRPr="00C950DB">
              <w:rPr>
                <w:rFonts w:ascii="Arial" w:eastAsia="宋体" w:hAnsi="Arial" w:cs="Arial"/>
                <w:color w:val="333333"/>
                <w:kern w:val="0"/>
                <w:sz w:val="24"/>
                <w:szCs w:val="24"/>
              </w:rPr>
              <w:t>% of</w:t>
            </w:r>
          </w:p>
        </w:tc>
      </w:tr>
      <w:tr w:rsidR="00C950DB" w:rsidRPr="00C950DB" w:rsidTr="00C950DB">
        <w:tc>
          <w:tcPr>
            <w:tcW w:w="10935" w:type="dxa"/>
            <w:tcBorders>
              <w:top w:val="nil"/>
              <w:left w:val="nil"/>
              <w:bottom w:val="single" w:sz="8" w:space="0" w:color="000000"/>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(Dollars in millions except per share amounts)</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center"/>
              <w:rPr>
                <w:rFonts w:ascii="Arial" w:eastAsia="宋体" w:hAnsi="Arial" w:cs="Arial"/>
                <w:color w:val="333333"/>
                <w:kern w:val="0"/>
                <w:sz w:val="24"/>
                <w:szCs w:val="24"/>
              </w:rPr>
            </w:pPr>
            <w:r w:rsidRPr="00C950DB">
              <w:rPr>
                <w:rFonts w:ascii="Arial" w:eastAsia="宋体" w:hAnsi="Arial" w:cs="Arial"/>
                <w:color w:val="333333"/>
                <w:kern w:val="0"/>
                <w:sz w:val="24"/>
                <w:szCs w:val="24"/>
              </w:rPr>
              <w:t>2025</w:t>
            </w:r>
          </w:p>
        </w:tc>
        <w:tc>
          <w:tcPr>
            <w:tcW w:w="20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single" w:sz="8" w:space="0" w:color="000000"/>
              <w:right w:val="nil"/>
            </w:tcBorders>
            <w:vAlign w:val="bottom"/>
            <w:hideMark/>
          </w:tcPr>
          <w:p w:rsidR="00C950DB" w:rsidRPr="00C950DB" w:rsidRDefault="00C950DB" w:rsidP="00C950DB">
            <w:pPr>
              <w:widowControl/>
              <w:jc w:val="center"/>
              <w:rPr>
                <w:rFonts w:ascii="Arial" w:eastAsia="宋体" w:hAnsi="Arial" w:cs="Arial"/>
                <w:color w:val="333333"/>
                <w:kern w:val="0"/>
                <w:sz w:val="24"/>
                <w:szCs w:val="24"/>
              </w:rPr>
            </w:pPr>
            <w:r w:rsidRPr="00C950DB">
              <w:rPr>
                <w:rFonts w:ascii="Arial" w:eastAsia="宋体" w:hAnsi="Arial" w:cs="Arial"/>
                <w:color w:val="333333"/>
                <w:kern w:val="0"/>
                <w:sz w:val="24"/>
                <w:szCs w:val="24"/>
              </w:rPr>
              <w:t>Revenues</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center"/>
              <w:rPr>
                <w:rFonts w:ascii="Arial" w:eastAsia="宋体" w:hAnsi="Arial" w:cs="Arial"/>
                <w:color w:val="333333"/>
                <w:kern w:val="0"/>
                <w:sz w:val="24"/>
                <w:szCs w:val="24"/>
              </w:rPr>
            </w:pPr>
            <w:r w:rsidRPr="00C950DB">
              <w:rPr>
                <w:rFonts w:ascii="Arial" w:eastAsia="宋体" w:hAnsi="Arial" w:cs="Arial"/>
                <w:color w:val="333333"/>
                <w:kern w:val="0"/>
                <w:sz w:val="24"/>
                <w:szCs w:val="24"/>
              </w:rPr>
              <w:t>2024</w:t>
            </w:r>
          </w:p>
        </w:tc>
        <w:tc>
          <w:tcPr>
            <w:tcW w:w="20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single" w:sz="8" w:space="0" w:color="000000"/>
              <w:right w:val="nil"/>
            </w:tcBorders>
            <w:vAlign w:val="bottom"/>
            <w:hideMark/>
          </w:tcPr>
          <w:p w:rsidR="00C950DB" w:rsidRPr="00C950DB" w:rsidRDefault="00C950DB" w:rsidP="00C950DB">
            <w:pPr>
              <w:widowControl/>
              <w:jc w:val="center"/>
              <w:rPr>
                <w:rFonts w:ascii="Arial" w:eastAsia="宋体" w:hAnsi="Arial" w:cs="Arial"/>
                <w:color w:val="333333"/>
                <w:kern w:val="0"/>
                <w:sz w:val="24"/>
                <w:szCs w:val="24"/>
              </w:rPr>
            </w:pPr>
            <w:r w:rsidRPr="00C950DB">
              <w:rPr>
                <w:rFonts w:ascii="Arial" w:eastAsia="宋体" w:hAnsi="Arial" w:cs="Arial"/>
                <w:color w:val="333333"/>
                <w:kern w:val="0"/>
                <w:sz w:val="24"/>
                <w:szCs w:val="24"/>
              </w:rPr>
              <w:t>Revenues</w:t>
            </w:r>
          </w:p>
        </w:tc>
      </w:tr>
      <w:tr w:rsidR="00C950DB" w:rsidRPr="00C950DB" w:rsidTr="00C950DB">
        <w:tc>
          <w:tcPr>
            <w:tcW w:w="10935"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Revenues</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3"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12,215</w:t>
            </w:r>
          </w:p>
        </w:tc>
        <w:tc>
          <w:tcPr>
            <w:tcW w:w="203"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3"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11,395</w:t>
            </w:r>
          </w:p>
        </w:tc>
        <w:tc>
          <w:tcPr>
            <w:tcW w:w="203"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Costs and operating expenses:</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6"/>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shd w:val="clear" w:color="auto" w:fill="CCEEFF"/>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Cost of revenues (a)</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7,143</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4"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58.5</w:t>
            </w:r>
          </w:p>
        </w:tc>
        <w:tc>
          <w:tcPr>
            <w:tcW w:w="265"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6,492</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4"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57.0</w:t>
            </w:r>
          </w:p>
        </w:tc>
        <w:tc>
          <w:tcPr>
            <w:tcW w:w="265"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0935" w:type="dxa"/>
            <w:tcBorders>
              <w:top w:val="nil"/>
              <w:left w:val="nil"/>
              <w:bottom w:val="nil"/>
              <w:right w:val="nil"/>
            </w:tcBorders>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Selling, general and administrative expenses (b)</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1,977</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4"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16.2</w:t>
            </w:r>
          </w:p>
        </w:tc>
        <w:tc>
          <w:tcPr>
            <w:tcW w:w="265"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1,846</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4"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16.2</w:t>
            </w:r>
          </w:p>
        </w:tc>
        <w:tc>
          <w:tcPr>
            <w:tcW w:w="265"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0935" w:type="dxa"/>
            <w:tcBorders>
              <w:top w:val="nil"/>
              <w:left w:val="nil"/>
              <w:bottom w:val="nil"/>
              <w:right w:val="nil"/>
            </w:tcBorders>
            <w:shd w:val="clear" w:color="auto" w:fill="CCEEFF"/>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Amortization of acquisition-related intangible assets</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436</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4"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3.6</w:t>
            </w:r>
          </w:p>
        </w:tc>
        <w:tc>
          <w:tcPr>
            <w:tcW w:w="265"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438</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4"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3.8</w:t>
            </w:r>
          </w:p>
        </w:tc>
        <w:tc>
          <w:tcPr>
            <w:tcW w:w="265"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0935" w:type="dxa"/>
            <w:tcBorders>
              <w:top w:val="nil"/>
              <w:left w:val="nil"/>
              <w:bottom w:val="nil"/>
              <w:right w:val="nil"/>
            </w:tcBorders>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Research and development expenses</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357</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4"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2.9</w:t>
            </w:r>
          </w:p>
        </w:tc>
        <w:tc>
          <w:tcPr>
            <w:tcW w:w="265"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374</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4"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3.3</w:t>
            </w:r>
          </w:p>
        </w:tc>
        <w:tc>
          <w:tcPr>
            <w:tcW w:w="265"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0935" w:type="dxa"/>
            <w:tcBorders>
              <w:top w:val="nil"/>
              <w:left w:val="nil"/>
              <w:bottom w:val="nil"/>
              <w:right w:val="nil"/>
            </w:tcBorders>
            <w:shd w:val="clear" w:color="auto" w:fill="CCEEFF"/>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Restructuring and other costs (c)</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46</w:t>
            </w:r>
          </w:p>
        </w:tc>
        <w:tc>
          <w:tcPr>
            <w:tcW w:w="203"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4"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0.4</w:t>
            </w:r>
          </w:p>
        </w:tc>
        <w:tc>
          <w:tcPr>
            <w:tcW w:w="265"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228</w:t>
            </w:r>
          </w:p>
        </w:tc>
        <w:tc>
          <w:tcPr>
            <w:tcW w:w="203"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4"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2.0</w:t>
            </w:r>
          </w:p>
        </w:tc>
        <w:tc>
          <w:tcPr>
            <w:tcW w:w="265"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0935" w:type="dxa"/>
            <w:tcBorders>
              <w:top w:val="nil"/>
              <w:left w:val="nil"/>
              <w:bottom w:val="nil"/>
              <w:right w:val="nil"/>
            </w:tcBorders>
            <w:tcMar>
              <w:top w:w="0" w:type="dxa"/>
              <w:left w:w="45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Total costs and operating expenses</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9,960</w:t>
            </w:r>
          </w:p>
        </w:tc>
        <w:tc>
          <w:tcPr>
            <w:tcW w:w="20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4"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81.5</w:t>
            </w:r>
          </w:p>
        </w:tc>
        <w:tc>
          <w:tcPr>
            <w:tcW w:w="265"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9,379</w:t>
            </w:r>
          </w:p>
        </w:tc>
        <w:tc>
          <w:tcPr>
            <w:tcW w:w="20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4"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82.3</w:t>
            </w:r>
          </w:p>
        </w:tc>
        <w:tc>
          <w:tcPr>
            <w:tcW w:w="265"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0935"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Operating income</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2,255</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4"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18.5</w:t>
            </w:r>
          </w:p>
        </w:tc>
        <w:tc>
          <w:tcPr>
            <w:tcW w:w="265"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2,016</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4"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17.7</w:t>
            </w:r>
          </w:p>
        </w:tc>
        <w:tc>
          <w:tcPr>
            <w:tcW w:w="265"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0935"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Interest income</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258</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227</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Interest expense</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(365</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(316</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Other income/(expense) (d)</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5</w:t>
            </w:r>
          </w:p>
        </w:tc>
        <w:tc>
          <w:tcPr>
            <w:tcW w:w="20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14</w:t>
            </w:r>
          </w:p>
        </w:tc>
        <w:tc>
          <w:tcPr>
            <w:tcW w:w="20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Income before income taxes</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2,154</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1,941</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Benefit from/(provision for) income taxes (e)</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(153</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(150</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Equity in earnings/(losses) of unconsolidated entities</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(31</w:t>
            </w:r>
          </w:p>
        </w:tc>
        <w:tc>
          <w:tcPr>
            <w:tcW w:w="203"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33</w:t>
            </w:r>
          </w:p>
        </w:tc>
        <w:tc>
          <w:tcPr>
            <w:tcW w:w="203"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Net income</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1,970</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1,824</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 xml:space="preserve">Less: net income/(loss) attributable to </w:t>
            </w:r>
            <w:proofErr w:type="spellStart"/>
            <w:r w:rsidRPr="00C950DB">
              <w:rPr>
                <w:rFonts w:ascii="Arial" w:eastAsia="宋体" w:hAnsi="Arial" w:cs="Arial"/>
                <w:color w:val="333333"/>
                <w:kern w:val="0"/>
                <w:sz w:val="24"/>
                <w:szCs w:val="24"/>
              </w:rPr>
              <w:t>noncontrolling</w:t>
            </w:r>
            <w:proofErr w:type="spellEnd"/>
            <w:r w:rsidRPr="00C950DB">
              <w:rPr>
                <w:rFonts w:ascii="Arial" w:eastAsia="宋体" w:hAnsi="Arial" w:cs="Arial"/>
                <w:color w:val="333333"/>
                <w:kern w:val="0"/>
                <w:sz w:val="24"/>
                <w:szCs w:val="24"/>
              </w:rPr>
              <w:t xml:space="preserve"> interests and redeemable </w:t>
            </w:r>
            <w:proofErr w:type="spellStart"/>
            <w:r w:rsidRPr="00C950DB">
              <w:rPr>
                <w:rFonts w:ascii="Arial" w:eastAsia="宋体" w:hAnsi="Arial" w:cs="Arial"/>
                <w:color w:val="333333"/>
                <w:kern w:val="0"/>
                <w:sz w:val="24"/>
                <w:szCs w:val="24"/>
              </w:rPr>
              <w:t>noncontrolling</w:t>
            </w:r>
            <w:proofErr w:type="spellEnd"/>
            <w:r w:rsidRPr="00C950DB">
              <w:rPr>
                <w:rFonts w:ascii="Arial" w:eastAsia="宋体" w:hAnsi="Arial" w:cs="Arial"/>
                <w:color w:val="333333"/>
                <w:kern w:val="0"/>
                <w:sz w:val="24"/>
                <w:szCs w:val="24"/>
              </w:rPr>
              <w:t xml:space="preserve"> interest (f)</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5</w:t>
            </w:r>
          </w:p>
        </w:tc>
        <w:tc>
          <w:tcPr>
            <w:tcW w:w="203"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(6</w:t>
            </w:r>
          </w:p>
        </w:tc>
        <w:tc>
          <w:tcPr>
            <w:tcW w:w="203"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Net income attributable to Thermo Fisher Scientific Inc.</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double" w:sz="6" w:space="0" w:color="000000"/>
              <w:right w:val="nil"/>
            </w:tcBorders>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3" w:type="dxa"/>
            <w:gridSpan w:val="2"/>
            <w:tcBorders>
              <w:top w:val="nil"/>
              <w:left w:val="nil"/>
              <w:bottom w:val="double" w:sz="6" w:space="0" w:color="000000"/>
              <w:right w:val="nil"/>
            </w:tcBorders>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1,964</w:t>
            </w:r>
          </w:p>
        </w:tc>
        <w:tc>
          <w:tcPr>
            <w:tcW w:w="203" w:type="dxa"/>
            <w:gridSpan w:val="2"/>
            <w:tcBorders>
              <w:top w:val="nil"/>
              <w:left w:val="nil"/>
              <w:bottom w:val="double" w:sz="6" w:space="0" w:color="000000"/>
              <w:right w:val="nil"/>
            </w:tcBorders>
            <w:tcMar>
              <w:top w:w="0" w:type="dxa"/>
              <w:left w:w="0" w:type="dxa"/>
              <w:bottom w:w="75"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4" w:type="dxa"/>
            <w:gridSpan w:val="2"/>
            <w:tcBorders>
              <w:top w:val="nil"/>
              <w:left w:val="nil"/>
              <w:bottom w:val="double" w:sz="6" w:space="0" w:color="000000"/>
              <w:right w:val="nil"/>
            </w:tcBorders>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16.1</w:t>
            </w:r>
          </w:p>
        </w:tc>
        <w:tc>
          <w:tcPr>
            <w:tcW w:w="265" w:type="dxa"/>
            <w:gridSpan w:val="2"/>
            <w:tcBorders>
              <w:top w:val="nil"/>
              <w:left w:val="nil"/>
              <w:bottom w:val="double" w:sz="6" w:space="0" w:color="000000"/>
              <w:right w:val="nil"/>
            </w:tcBorders>
            <w:tcMar>
              <w:top w:w="0" w:type="dxa"/>
              <w:left w:w="0" w:type="dxa"/>
              <w:bottom w:w="75"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double" w:sz="6" w:space="0" w:color="000000"/>
              <w:right w:val="nil"/>
            </w:tcBorders>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3" w:type="dxa"/>
            <w:gridSpan w:val="2"/>
            <w:tcBorders>
              <w:top w:val="nil"/>
              <w:left w:val="nil"/>
              <w:bottom w:val="double" w:sz="6" w:space="0" w:color="000000"/>
              <w:right w:val="nil"/>
            </w:tcBorders>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1,830</w:t>
            </w:r>
          </w:p>
        </w:tc>
        <w:tc>
          <w:tcPr>
            <w:tcW w:w="203" w:type="dxa"/>
            <w:gridSpan w:val="2"/>
            <w:tcBorders>
              <w:top w:val="nil"/>
              <w:left w:val="nil"/>
              <w:bottom w:val="double" w:sz="6" w:space="0" w:color="000000"/>
              <w:right w:val="nil"/>
            </w:tcBorders>
            <w:tcMar>
              <w:top w:w="0" w:type="dxa"/>
              <w:left w:w="0" w:type="dxa"/>
              <w:bottom w:w="75"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4" w:type="dxa"/>
            <w:gridSpan w:val="2"/>
            <w:tcBorders>
              <w:top w:val="nil"/>
              <w:left w:val="nil"/>
              <w:bottom w:val="double" w:sz="6" w:space="0" w:color="000000"/>
              <w:right w:val="nil"/>
            </w:tcBorders>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16.1</w:t>
            </w:r>
          </w:p>
        </w:tc>
        <w:tc>
          <w:tcPr>
            <w:tcW w:w="265" w:type="dxa"/>
            <w:gridSpan w:val="2"/>
            <w:tcBorders>
              <w:top w:val="nil"/>
              <w:left w:val="nil"/>
              <w:bottom w:val="double" w:sz="6" w:space="0" w:color="000000"/>
              <w:right w:val="nil"/>
            </w:tcBorders>
            <w:tcMar>
              <w:top w:w="0" w:type="dxa"/>
              <w:left w:w="0" w:type="dxa"/>
              <w:bottom w:w="75"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0935"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Earnings per share attributable to Thermo Fisher Scientific Inc.:</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6"/>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shd w:val="clear" w:color="auto" w:fill="CCEEFF"/>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Basic</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3"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5.22</w:t>
            </w:r>
          </w:p>
        </w:tc>
        <w:tc>
          <w:tcPr>
            <w:tcW w:w="203"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3"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4.79</w:t>
            </w:r>
          </w:p>
        </w:tc>
        <w:tc>
          <w:tcPr>
            <w:tcW w:w="203"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Diluted</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double" w:sz="6" w:space="0" w:color="000000"/>
              <w:right w:val="nil"/>
            </w:tcBorders>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3" w:type="dxa"/>
            <w:gridSpan w:val="2"/>
            <w:tcBorders>
              <w:top w:val="nil"/>
              <w:left w:val="nil"/>
              <w:bottom w:val="double" w:sz="6" w:space="0" w:color="000000"/>
              <w:right w:val="nil"/>
            </w:tcBorders>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5.21</w:t>
            </w:r>
          </w:p>
        </w:tc>
        <w:tc>
          <w:tcPr>
            <w:tcW w:w="203" w:type="dxa"/>
            <w:gridSpan w:val="2"/>
            <w:tcBorders>
              <w:top w:val="nil"/>
              <w:left w:val="nil"/>
              <w:bottom w:val="double" w:sz="6" w:space="0" w:color="000000"/>
              <w:right w:val="nil"/>
            </w:tcBorders>
            <w:tcMar>
              <w:top w:w="0" w:type="dxa"/>
              <w:left w:w="0" w:type="dxa"/>
              <w:bottom w:w="75"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double" w:sz="6" w:space="0" w:color="000000"/>
              <w:right w:val="nil"/>
            </w:tcBorders>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3" w:type="dxa"/>
            <w:gridSpan w:val="2"/>
            <w:tcBorders>
              <w:top w:val="nil"/>
              <w:left w:val="nil"/>
              <w:bottom w:val="double" w:sz="6" w:space="0" w:color="000000"/>
              <w:right w:val="nil"/>
            </w:tcBorders>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4.78</w:t>
            </w:r>
          </w:p>
        </w:tc>
        <w:tc>
          <w:tcPr>
            <w:tcW w:w="203" w:type="dxa"/>
            <w:gridSpan w:val="2"/>
            <w:tcBorders>
              <w:top w:val="nil"/>
              <w:left w:val="nil"/>
              <w:bottom w:val="double" w:sz="6" w:space="0" w:color="000000"/>
              <w:right w:val="nil"/>
            </w:tcBorders>
            <w:tcMar>
              <w:top w:w="0" w:type="dxa"/>
              <w:left w:w="0" w:type="dxa"/>
              <w:bottom w:w="75"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Weighted average shares:</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6"/>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Basic</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double" w:sz="6" w:space="0" w:color="000000"/>
              <w:right w:val="nil"/>
            </w:tcBorders>
            <w:tcMar>
              <w:top w:w="0" w:type="dxa"/>
              <w:left w:w="0" w:type="dxa"/>
              <w:bottom w:w="75"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double" w:sz="6" w:space="0" w:color="000000"/>
              <w:right w:val="nil"/>
            </w:tcBorders>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376</w:t>
            </w:r>
          </w:p>
        </w:tc>
        <w:tc>
          <w:tcPr>
            <w:tcW w:w="203" w:type="dxa"/>
            <w:gridSpan w:val="2"/>
            <w:tcBorders>
              <w:top w:val="nil"/>
              <w:left w:val="nil"/>
              <w:bottom w:val="double" w:sz="6" w:space="0" w:color="000000"/>
              <w:right w:val="nil"/>
            </w:tcBorders>
            <w:tcMar>
              <w:top w:w="0" w:type="dxa"/>
              <w:left w:w="0" w:type="dxa"/>
              <w:bottom w:w="75"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double" w:sz="6" w:space="0" w:color="000000"/>
              <w:right w:val="nil"/>
            </w:tcBorders>
            <w:tcMar>
              <w:top w:w="0" w:type="dxa"/>
              <w:left w:w="0" w:type="dxa"/>
              <w:bottom w:w="75"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double" w:sz="6" w:space="0" w:color="000000"/>
              <w:right w:val="nil"/>
            </w:tcBorders>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382</w:t>
            </w:r>
          </w:p>
        </w:tc>
        <w:tc>
          <w:tcPr>
            <w:tcW w:w="203" w:type="dxa"/>
            <w:gridSpan w:val="2"/>
            <w:tcBorders>
              <w:top w:val="nil"/>
              <w:left w:val="nil"/>
              <w:bottom w:val="double" w:sz="6" w:space="0" w:color="000000"/>
              <w:right w:val="nil"/>
            </w:tcBorders>
            <w:tcMar>
              <w:top w:w="0" w:type="dxa"/>
              <w:left w:w="0" w:type="dxa"/>
              <w:bottom w:w="75"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shd w:val="clear" w:color="auto" w:fill="CCEEFF"/>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Diluted</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377</w:t>
            </w:r>
          </w:p>
        </w:tc>
        <w:tc>
          <w:tcPr>
            <w:tcW w:w="203"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383</w:t>
            </w:r>
          </w:p>
        </w:tc>
        <w:tc>
          <w:tcPr>
            <w:tcW w:w="203"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b/>
                <w:bCs/>
                <w:color w:val="333333"/>
                <w:kern w:val="0"/>
                <w:sz w:val="24"/>
                <w:szCs w:val="24"/>
              </w:rPr>
              <w:t>Reconciliation of adjusted operating income and adjusted operating margin</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6"/>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GAAP operating income</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3"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2,255</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4"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18.5</w:t>
            </w:r>
          </w:p>
        </w:tc>
        <w:tc>
          <w:tcPr>
            <w:tcW w:w="265"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3"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2,016</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4"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17.7</w:t>
            </w:r>
          </w:p>
        </w:tc>
        <w:tc>
          <w:tcPr>
            <w:tcW w:w="265"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0935" w:type="dxa"/>
            <w:tcBorders>
              <w:top w:val="nil"/>
              <w:left w:val="nil"/>
              <w:bottom w:val="nil"/>
              <w:right w:val="nil"/>
            </w:tcBorders>
            <w:shd w:val="clear" w:color="auto" w:fill="CCEEFF"/>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Cost of revenues adjustments (a)</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33</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4"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0.3</w:t>
            </w:r>
          </w:p>
        </w:tc>
        <w:tc>
          <w:tcPr>
            <w:tcW w:w="265"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22</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4"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0.2</w:t>
            </w:r>
          </w:p>
        </w:tc>
        <w:tc>
          <w:tcPr>
            <w:tcW w:w="265"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0935" w:type="dxa"/>
            <w:tcBorders>
              <w:top w:val="nil"/>
              <w:left w:val="nil"/>
              <w:bottom w:val="nil"/>
              <w:right w:val="nil"/>
            </w:tcBorders>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Selling, general and administrative expenses adjustments (b)</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107</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4"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0.9</w:t>
            </w:r>
          </w:p>
        </w:tc>
        <w:tc>
          <w:tcPr>
            <w:tcW w:w="265"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16</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4"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0.1</w:t>
            </w:r>
          </w:p>
        </w:tc>
        <w:tc>
          <w:tcPr>
            <w:tcW w:w="265"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0935" w:type="dxa"/>
            <w:tcBorders>
              <w:top w:val="nil"/>
              <w:left w:val="nil"/>
              <w:bottom w:val="nil"/>
              <w:right w:val="nil"/>
            </w:tcBorders>
            <w:shd w:val="clear" w:color="auto" w:fill="CCEEFF"/>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Restructuring and other costs (c)</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46</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4"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0.4</w:t>
            </w:r>
          </w:p>
        </w:tc>
        <w:tc>
          <w:tcPr>
            <w:tcW w:w="265"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228</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4"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2.0</w:t>
            </w:r>
          </w:p>
        </w:tc>
        <w:tc>
          <w:tcPr>
            <w:tcW w:w="265"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0935" w:type="dxa"/>
            <w:tcBorders>
              <w:top w:val="nil"/>
              <w:left w:val="nil"/>
              <w:bottom w:val="nil"/>
              <w:right w:val="nil"/>
            </w:tcBorders>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Amortization of acquisition-related intangible assets</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436</w:t>
            </w:r>
          </w:p>
        </w:tc>
        <w:tc>
          <w:tcPr>
            <w:tcW w:w="20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4"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3.6</w:t>
            </w:r>
          </w:p>
        </w:tc>
        <w:tc>
          <w:tcPr>
            <w:tcW w:w="265"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438</w:t>
            </w:r>
          </w:p>
        </w:tc>
        <w:tc>
          <w:tcPr>
            <w:tcW w:w="20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4"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3.8</w:t>
            </w:r>
          </w:p>
        </w:tc>
        <w:tc>
          <w:tcPr>
            <w:tcW w:w="265"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0935" w:type="dxa"/>
            <w:tcBorders>
              <w:top w:val="nil"/>
              <w:left w:val="nil"/>
              <w:bottom w:val="nil"/>
              <w:right w:val="nil"/>
            </w:tcBorders>
            <w:shd w:val="clear" w:color="auto" w:fill="CCEEFF"/>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Adjusted operating income (non-GAAP measure)</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3"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2,878</w:t>
            </w:r>
          </w:p>
        </w:tc>
        <w:tc>
          <w:tcPr>
            <w:tcW w:w="203"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4"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23.6</w:t>
            </w:r>
          </w:p>
        </w:tc>
        <w:tc>
          <w:tcPr>
            <w:tcW w:w="265"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3"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2,720</w:t>
            </w:r>
          </w:p>
        </w:tc>
        <w:tc>
          <w:tcPr>
            <w:tcW w:w="203"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4"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23.9</w:t>
            </w:r>
          </w:p>
        </w:tc>
        <w:tc>
          <w:tcPr>
            <w:tcW w:w="265"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0935"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b/>
                <w:bCs/>
                <w:color w:val="333333"/>
                <w:kern w:val="0"/>
                <w:sz w:val="24"/>
                <w:szCs w:val="24"/>
              </w:rPr>
              <w:t>Reconciliation of adjusted net income</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6"/>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GAAP net income attributable to Thermo Fisher Scientific Inc.</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3"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1,964</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3"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1,830</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shd w:val="clear" w:color="auto" w:fill="CCEEFF"/>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Cost of revenues adjustments (a)</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33</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22</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Selling, general and administrative expenses adjustments (b)</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107</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16</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shd w:val="clear" w:color="auto" w:fill="CCEEFF"/>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Restructuring and other costs (c)</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46</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228</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Amortization of acquisition-related intangible assets</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436</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438</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shd w:val="clear" w:color="auto" w:fill="CCEEFF"/>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Other income/expense adjustments (d)</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(5</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(11</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Income taxes adjustments (e)</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(138</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(138</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shd w:val="clear" w:color="auto" w:fill="CCEEFF"/>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Equity in earnings/losses of unconsolidated entities</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31</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(33</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roofErr w:type="spellStart"/>
            <w:r w:rsidRPr="00C950DB">
              <w:rPr>
                <w:rFonts w:ascii="Arial" w:eastAsia="宋体" w:hAnsi="Arial" w:cs="Arial"/>
                <w:color w:val="333333"/>
                <w:kern w:val="0"/>
                <w:sz w:val="24"/>
                <w:szCs w:val="24"/>
              </w:rPr>
              <w:t>Noncontrolling</w:t>
            </w:r>
            <w:proofErr w:type="spellEnd"/>
            <w:r w:rsidRPr="00C950DB">
              <w:rPr>
                <w:rFonts w:ascii="Arial" w:eastAsia="宋体" w:hAnsi="Arial" w:cs="Arial"/>
                <w:color w:val="333333"/>
                <w:kern w:val="0"/>
                <w:sz w:val="24"/>
                <w:szCs w:val="24"/>
              </w:rPr>
              <w:t xml:space="preserve"> interests adjustments (f)</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(14</w:t>
            </w:r>
          </w:p>
        </w:tc>
        <w:tc>
          <w:tcPr>
            <w:tcW w:w="20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shd w:val="clear" w:color="auto" w:fill="CCEEFF"/>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Adjusted net income (non-GAAP measure)</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3"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2,475</w:t>
            </w:r>
          </w:p>
        </w:tc>
        <w:tc>
          <w:tcPr>
            <w:tcW w:w="203"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3"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2,338</w:t>
            </w:r>
          </w:p>
        </w:tc>
        <w:tc>
          <w:tcPr>
            <w:tcW w:w="203"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b/>
                <w:bCs/>
                <w:color w:val="333333"/>
                <w:kern w:val="0"/>
                <w:sz w:val="24"/>
                <w:szCs w:val="24"/>
              </w:rPr>
              <w:t>Reconciliation of adjusted earnings per share</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6"/>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GAAP diluted EPS attributable to Thermo Fisher Scientific Inc.</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3"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5.21</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3"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4.78</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shd w:val="clear" w:color="auto" w:fill="CCEEFF"/>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Cost of revenues adjustments (a)</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0.09</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0.06</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Selling, general and administrative expenses adjustments (b)</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0.29</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0.04</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shd w:val="clear" w:color="auto" w:fill="CCEEFF"/>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Restructuring and other costs (c)</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0.12</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0.60</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Amortization of acquisition-related intangible assets</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1.16</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1.14</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shd w:val="clear" w:color="auto" w:fill="CCEEFF"/>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Other income/expense adjustments (d)</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(0.01</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(0.03</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Income taxes adjustments (e)</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(0.37</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(0.36</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shd w:val="clear" w:color="auto" w:fill="CCEEFF"/>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Equity in earnings/losses of unconsolidated entities</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0.08</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(0.08</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roofErr w:type="spellStart"/>
            <w:r w:rsidRPr="00C950DB">
              <w:rPr>
                <w:rFonts w:ascii="Arial" w:eastAsia="宋体" w:hAnsi="Arial" w:cs="Arial"/>
                <w:color w:val="333333"/>
                <w:kern w:val="0"/>
                <w:sz w:val="24"/>
                <w:szCs w:val="24"/>
              </w:rPr>
              <w:t>Noncontrolling</w:t>
            </w:r>
            <w:proofErr w:type="spellEnd"/>
            <w:r w:rsidRPr="00C950DB">
              <w:rPr>
                <w:rFonts w:ascii="Arial" w:eastAsia="宋体" w:hAnsi="Arial" w:cs="Arial"/>
                <w:color w:val="333333"/>
                <w:kern w:val="0"/>
                <w:sz w:val="24"/>
                <w:szCs w:val="24"/>
              </w:rPr>
              <w:t xml:space="preserve"> interests adjustments (f)</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0.00</w:t>
            </w:r>
          </w:p>
        </w:tc>
        <w:tc>
          <w:tcPr>
            <w:tcW w:w="20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(0.04</w:t>
            </w:r>
          </w:p>
        </w:tc>
        <w:tc>
          <w:tcPr>
            <w:tcW w:w="20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shd w:val="clear" w:color="auto" w:fill="CCEEFF"/>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Adjusted EPS (non-GAAP measure)</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3"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6.57</w:t>
            </w:r>
          </w:p>
        </w:tc>
        <w:tc>
          <w:tcPr>
            <w:tcW w:w="203"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3"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6.10</w:t>
            </w:r>
          </w:p>
        </w:tc>
        <w:tc>
          <w:tcPr>
            <w:tcW w:w="203"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b/>
                <w:bCs/>
                <w:color w:val="333333"/>
                <w:kern w:val="0"/>
                <w:sz w:val="24"/>
                <w:szCs w:val="24"/>
              </w:rPr>
              <w:t>Reconciliation of free cash flow</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6"/>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GAAP net cash provided by operating activities</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3"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3,457</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3"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3,289</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shd w:val="clear" w:color="auto" w:fill="CCEEFF"/>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Purchases of property, plant and equipment</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(465</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(480</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Proceeds from sale of property, plant and equipment</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27</w:t>
            </w:r>
          </w:p>
        </w:tc>
        <w:tc>
          <w:tcPr>
            <w:tcW w:w="20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17</w:t>
            </w:r>
          </w:p>
        </w:tc>
        <w:tc>
          <w:tcPr>
            <w:tcW w:w="20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shd w:val="clear" w:color="auto" w:fill="CCEEFF"/>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Free cash flow (non-GAAP measure)</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3"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3,018</w:t>
            </w:r>
          </w:p>
        </w:tc>
        <w:tc>
          <w:tcPr>
            <w:tcW w:w="203"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3"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2,826</w:t>
            </w:r>
          </w:p>
        </w:tc>
        <w:tc>
          <w:tcPr>
            <w:tcW w:w="203"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54"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25"/>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54"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b/>
                <w:bCs/>
                <w:color w:val="333333"/>
                <w:kern w:val="0"/>
                <w:sz w:val="24"/>
                <w:szCs w:val="24"/>
              </w:rPr>
              <w:t>Business Segment Information</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25"/>
            <w:tcBorders>
              <w:top w:val="nil"/>
              <w:left w:val="nil"/>
              <w:bottom w:val="single" w:sz="8" w:space="0" w:color="000000"/>
              <w:right w:val="nil"/>
            </w:tcBorders>
            <w:vAlign w:val="bottom"/>
            <w:hideMark/>
          </w:tcPr>
          <w:p w:rsidR="00C950DB" w:rsidRPr="00C950DB" w:rsidRDefault="00C950DB" w:rsidP="00C950DB">
            <w:pPr>
              <w:widowControl/>
              <w:jc w:val="center"/>
              <w:rPr>
                <w:rFonts w:ascii="Arial" w:eastAsia="宋体" w:hAnsi="Arial" w:cs="Arial"/>
                <w:color w:val="333333"/>
                <w:kern w:val="0"/>
                <w:sz w:val="24"/>
                <w:szCs w:val="24"/>
              </w:rPr>
            </w:pPr>
            <w:r w:rsidRPr="00C950DB">
              <w:rPr>
                <w:rFonts w:ascii="Arial" w:eastAsia="宋体" w:hAnsi="Arial" w:cs="Arial"/>
                <w:color w:val="333333"/>
                <w:kern w:val="0"/>
                <w:sz w:val="24"/>
                <w:szCs w:val="24"/>
              </w:rPr>
              <w:t>Three months ended</w:t>
            </w:r>
          </w:p>
        </w:tc>
      </w:tr>
      <w:tr w:rsidR="00C950DB" w:rsidRPr="00C950DB" w:rsidTr="00C950DB">
        <w:tc>
          <w:tcPr>
            <w:tcW w:w="10954"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nil"/>
              <w:right w:val="nil"/>
            </w:tcBorders>
            <w:noWrap/>
            <w:vAlign w:val="bottom"/>
            <w:hideMark/>
          </w:tcPr>
          <w:p w:rsidR="00C950DB" w:rsidRPr="00C950DB" w:rsidRDefault="00C950DB" w:rsidP="00C950DB">
            <w:pPr>
              <w:widowControl/>
              <w:jc w:val="center"/>
              <w:rPr>
                <w:rFonts w:ascii="Arial" w:eastAsia="宋体" w:hAnsi="Arial" w:cs="Arial"/>
                <w:color w:val="333333"/>
                <w:kern w:val="0"/>
                <w:sz w:val="24"/>
                <w:szCs w:val="24"/>
              </w:rPr>
            </w:pPr>
            <w:r w:rsidRPr="00C950DB">
              <w:rPr>
                <w:rFonts w:ascii="Arial" w:eastAsia="宋体" w:hAnsi="Arial" w:cs="Arial"/>
                <w:color w:val="333333"/>
                <w:kern w:val="0"/>
                <w:sz w:val="24"/>
                <w:szCs w:val="24"/>
              </w:rPr>
              <w:t>December 31,</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4"/>
            <w:tcBorders>
              <w:top w:val="nil"/>
              <w:left w:val="nil"/>
              <w:bottom w:val="nil"/>
              <w:right w:val="nil"/>
            </w:tcBorders>
            <w:vAlign w:val="bottom"/>
            <w:hideMark/>
          </w:tcPr>
          <w:p w:rsidR="00C950DB" w:rsidRPr="00C950DB" w:rsidRDefault="00C950DB" w:rsidP="00C950DB">
            <w:pPr>
              <w:widowControl/>
              <w:jc w:val="center"/>
              <w:rPr>
                <w:rFonts w:ascii="Arial" w:eastAsia="宋体" w:hAnsi="Arial" w:cs="Arial"/>
                <w:color w:val="333333"/>
                <w:kern w:val="0"/>
                <w:sz w:val="24"/>
                <w:szCs w:val="24"/>
              </w:rPr>
            </w:pPr>
            <w:r w:rsidRPr="00C950DB">
              <w:rPr>
                <w:rFonts w:ascii="Arial" w:eastAsia="宋体" w:hAnsi="Arial" w:cs="Arial"/>
                <w:color w:val="333333"/>
                <w:kern w:val="0"/>
                <w:sz w:val="24"/>
                <w:szCs w:val="24"/>
              </w:rPr>
              <w:t>% of</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6"/>
            <w:tcBorders>
              <w:top w:val="nil"/>
              <w:left w:val="nil"/>
              <w:bottom w:val="nil"/>
              <w:right w:val="nil"/>
            </w:tcBorders>
            <w:noWrap/>
            <w:vAlign w:val="bottom"/>
            <w:hideMark/>
          </w:tcPr>
          <w:p w:rsidR="00C950DB" w:rsidRPr="00C950DB" w:rsidRDefault="00C950DB" w:rsidP="00C950DB">
            <w:pPr>
              <w:widowControl/>
              <w:jc w:val="center"/>
              <w:rPr>
                <w:rFonts w:ascii="Arial" w:eastAsia="宋体" w:hAnsi="Arial" w:cs="Arial"/>
                <w:color w:val="333333"/>
                <w:kern w:val="0"/>
                <w:sz w:val="24"/>
                <w:szCs w:val="24"/>
              </w:rPr>
            </w:pPr>
            <w:r w:rsidRPr="00C950DB">
              <w:rPr>
                <w:rFonts w:ascii="Arial" w:eastAsia="宋体" w:hAnsi="Arial" w:cs="Arial"/>
                <w:color w:val="333333"/>
                <w:kern w:val="0"/>
                <w:sz w:val="24"/>
                <w:szCs w:val="24"/>
              </w:rPr>
              <w:t>December 31,</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3"/>
            <w:tcBorders>
              <w:top w:val="nil"/>
              <w:left w:val="nil"/>
              <w:bottom w:val="nil"/>
              <w:right w:val="nil"/>
            </w:tcBorders>
            <w:vAlign w:val="bottom"/>
            <w:hideMark/>
          </w:tcPr>
          <w:p w:rsidR="00C950DB" w:rsidRPr="00C950DB" w:rsidRDefault="00C950DB" w:rsidP="00C950DB">
            <w:pPr>
              <w:widowControl/>
              <w:jc w:val="center"/>
              <w:rPr>
                <w:rFonts w:ascii="Arial" w:eastAsia="宋体" w:hAnsi="Arial" w:cs="Arial"/>
                <w:color w:val="333333"/>
                <w:kern w:val="0"/>
                <w:sz w:val="24"/>
                <w:szCs w:val="24"/>
              </w:rPr>
            </w:pPr>
            <w:r w:rsidRPr="00C950DB">
              <w:rPr>
                <w:rFonts w:ascii="Arial" w:eastAsia="宋体" w:hAnsi="Arial" w:cs="Arial"/>
                <w:color w:val="333333"/>
                <w:kern w:val="0"/>
                <w:sz w:val="24"/>
                <w:szCs w:val="24"/>
              </w:rPr>
              <w:t>% of</w:t>
            </w:r>
          </w:p>
        </w:tc>
      </w:tr>
      <w:tr w:rsidR="00C950DB" w:rsidRPr="00C950DB" w:rsidTr="00C950DB">
        <w:tc>
          <w:tcPr>
            <w:tcW w:w="10954" w:type="dxa"/>
            <w:gridSpan w:val="2"/>
            <w:tcBorders>
              <w:top w:val="nil"/>
              <w:left w:val="nil"/>
              <w:bottom w:val="single" w:sz="8" w:space="0" w:color="000000"/>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(Dollars in millions)</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4"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center"/>
              <w:rPr>
                <w:rFonts w:ascii="Arial" w:eastAsia="宋体" w:hAnsi="Arial" w:cs="Arial"/>
                <w:color w:val="333333"/>
                <w:kern w:val="0"/>
                <w:sz w:val="24"/>
                <w:szCs w:val="24"/>
              </w:rPr>
            </w:pPr>
            <w:r w:rsidRPr="00C950DB">
              <w:rPr>
                <w:rFonts w:ascii="Arial" w:eastAsia="宋体" w:hAnsi="Arial" w:cs="Arial"/>
                <w:color w:val="333333"/>
                <w:kern w:val="0"/>
                <w:sz w:val="24"/>
                <w:szCs w:val="24"/>
              </w:rPr>
              <w:t>2025</w:t>
            </w:r>
          </w:p>
        </w:tc>
        <w:tc>
          <w:tcPr>
            <w:tcW w:w="20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single" w:sz="8" w:space="0" w:color="000000"/>
              <w:right w:val="nil"/>
            </w:tcBorders>
            <w:vAlign w:val="bottom"/>
            <w:hideMark/>
          </w:tcPr>
          <w:p w:rsidR="00C950DB" w:rsidRPr="00C950DB" w:rsidRDefault="00C950DB" w:rsidP="00C950DB">
            <w:pPr>
              <w:widowControl/>
              <w:jc w:val="center"/>
              <w:rPr>
                <w:rFonts w:ascii="Arial" w:eastAsia="宋体" w:hAnsi="Arial" w:cs="Arial"/>
                <w:color w:val="333333"/>
                <w:kern w:val="0"/>
                <w:sz w:val="24"/>
                <w:szCs w:val="24"/>
              </w:rPr>
            </w:pPr>
            <w:r w:rsidRPr="00C950DB">
              <w:rPr>
                <w:rFonts w:ascii="Arial" w:eastAsia="宋体" w:hAnsi="Arial" w:cs="Arial"/>
                <w:color w:val="333333"/>
                <w:kern w:val="0"/>
                <w:sz w:val="24"/>
                <w:szCs w:val="24"/>
              </w:rPr>
              <w:t>Revenues</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4"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center"/>
              <w:rPr>
                <w:rFonts w:ascii="Arial" w:eastAsia="宋体" w:hAnsi="Arial" w:cs="Arial"/>
                <w:color w:val="333333"/>
                <w:kern w:val="0"/>
                <w:sz w:val="24"/>
                <w:szCs w:val="24"/>
              </w:rPr>
            </w:pPr>
            <w:r w:rsidRPr="00C950DB">
              <w:rPr>
                <w:rFonts w:ascii="Arial" w:eastAsia="宋体" w:hAnsi="Arial" w:cs="Arial"/>
                <w:color w:val="333333"/>
                <w:kern w:val="0"/>
                <w:sz w:val="24"/>
                <w:szCs w:val="24"/>
              </w:rPr>
              <w:t>2024</w:t>
            </w:r>
          </w:p>
        </w:tc>
        <w:tc>
          <w:tcPr>
            <w:tcW w:w="20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single" w:sz="8" w:space="0" w:color="000000"/>
              <w:right w:val="nil"/>
            </w:tcBorders>
            <w:vAlign w:val="bottom"/>
            <w:hideMark/>
          </w:tcPr>
          <w:p w:rsidR="00C950DB" w:rsidRPr="00C950DB" w:rsidRDefault="00C950DB" w:rsidP="00C950DB">
            <w:pPr>
              <w:widowControl/>
              <w:jc w:val="center"/>
              <w:rPr>
                <w:rFonts w:ascii="Arial" w:eastAsia="宋体" w:hAnsi="Arial" w:cs="Arial"/>
                <w:color w:val="333333"/>
                <w:kern w:val="0"/>
                <w:sz w:val="24"/>
                <w:szCs w:val="24"/>
              </w:rPr>
            </w:pPr>
            <w:r w:rsidRPr="00C950DB">
              <w:rPr>
                <w:rFonts w:ascii="Arial" w:eastAsia="宋体" w:hAnsi="Arial" w:cs="Arial"/>
                <w:color w:val="333333"/>
                <w:kern w:val="0"/>
                <w:sz w:val="24"/>
                <w:szCs w:val="24"/>
              </w:rPr>
              <w:t>Revenues</w:t>
            </w:r>
          </w:p>
        </w:tc>
      </w:tr>
      <w:tr w:rsidR="00C950DB" w:rsidRPr="00C950DB" w:rsidTr="00C950DB">
        <w:tc>
          <w:tcPr>
            <w:tcW w:w="10954"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5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b/>
                <w:bCs/>
                <w:color w:val="333333"/>
                <w:kern w:val="0"/>
                <w:sz w:val="24"/>
                <w:szCs w:val="24"/>
              </w:rPr>
              <w:t>Revenues</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6"/>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54" w:type="dxa"/>
            <w:gridSpan w:val="2"/>
            <w:tcBorders>
              <w:top w:val="nil"/>
              <w:left w:val="nil"/>
              <w:bottom w:val="nil"/>
              <w:right w:val="nil"/>
            </w:tcBorders>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Life Sciences Solutions</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4"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2,946</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6"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24.1</w:t>
            </w:r>
          </w:p>
        </w:tc>
        <w:tc>
          <w:tcPr>
            <w:tcW w:w="250"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4"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2,604</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6"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22.9</w:t>
            </w:r>
          </w:p>
        </w:tc>
        <w:tc>
          <w:tcPr>
            <w:tcW w:w="251"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0954" w:type="dxa"/>
            <w:gridSpan w:val="2"/>
            <w:tcBorders>
              <w:top w:val="nil"/>
              <w:left w:val="nil"/>
              <w:bottom w:val="nil"/>
              <w:right w:val="nil"/>
            </w:tcBorders>
            <w:shd w:val="clear" w:color="auto" w:fill="CCEEFF"/>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Analytical Instruments</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4"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2,215</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6"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18.1</w:t>
            </w:r>
          </w:p>
        </w:tc>
        <w:tc>
          <w:tcPr>
            <w:tcW w:w="250"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4"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2,186</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6"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19.2</w:t>
            </w:r>
          </w:p>
        </w:tc>
        <w:tc>
          <w:tcPr>
            <w:tcW w:w="251"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0954" w:type="dxa"/>
            <w:gridSpan w:val="2"/>
            <w:tcBorders>
              <w:top w:val="nil"/>
              <w:left w:val="nil"/>
              <w:bottom w:val="nil"/>
              <w:right w:val="nil"/>
            </w:tcBorders>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Specialty Diagnostics</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4"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1,220</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6"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10.0</w:t>
            </w:r>
          </w:p>
        </w:tc>
        <w:tc>
          <w:tcPr>
            <w:tcW w:w="250"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4"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1,157</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6"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10.2</w:t>
            </w:r>
          </w:p>
        </w:tc>
        <w:tc>
          <w:tcPr>
            <w:tcW w:w="251"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0954" w:type="dxa"/>
            <w:gridSpan w:val="2"/>
            <w:tcBorders>
              <w:top w:val="nil"/>
              <w:left w:val="nil"/>
              <w:bottom w:val="nil"/>
              <w:right w:val="nil"/>
            </w:tcBorders>
            <w:shd w:val="clear" w:color="auto" w:fill="CCEEFF"/>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 xml:space="preserve">Laboratory Products and </w:t>
            </w:r>
            <w:proofErr w:type="spellStart"/>
            <w:r w:rsidRPr="00C950DB">
              <w:rPr>
                <w:rFonts w:ascii="Arial" w:eastAsia="宋体" w:hAnsi="Arial" w:cs="Arial"/>
                <w:color w:val="333333"/>
                <w:kern w:val="0"/>
                <w:sz w:val="24"/>
                <w:szCs w:val="24"/>
              </w:rPr>
              <w:t>Biopharma</w:t>
            </w:r>
            <w:proofErr w:type="spellEnd"/>
            <w:r w:rsidRPr="00C950DB">
              <w:rPr>
                <w:rFonts w:ascii="Arial" w:eastAsia="宋体" w:hAnsi="Arial" w:cs="Arial"/>
                <w:color w:val="333333"/>
                <w:kern w:val="0"/>
                <w:sz w:val="24"/>
                <w:szCs w:val="24"/>
              </w:rPr>
              <w:t xml:space="preserve"> Services</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4"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6,379</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6"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52.2</w:t>
            </w:r>
          </w:p>
        </w:tc>
        <w:tc>
          <w:tcPr>
            <w:tcW w:w="250"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4"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5,936</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6"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52.1</w:t>
            </w:r>
          </w:p>
        </w:tc>
        <w:tc>
          <w:tcPr>
            <w:tcW w:w="251"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0954" w:type="dxa"/>
            <w:gridSpan w:val="2"/>
            <w:tcBorders>
              <w:top w:val="nil"/>
              <w:left w:val="nil"/>
              <w:bottom w:val="nil"/>
              <w:right w:val="nil"/>
            </w:tcBorders>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Eliminations</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4"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(546</w:t>
            </w:r>
          </w:p>
        </w:tc>
        <w:tc>
          <w:tcPr>
            <w:tcW w:w="20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1626"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-4.5</w:t>
            </w:r>
          </w:p>
        </w:tc>
        <w:tc>
          <w:tcPr>
            <w:tcW w:w="250"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4"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(487</w:t>
            </w:r>
          </w:p>
        </w:tc>
        <w:tc>
          <w:tcPr>
            <w:tcW w:w="20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1626"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-4.3</w:t>
            </w:r>
          </w:p>
        </w:tc>
        <w:tc>
          <w:tcPr>
            <w:tcW w:w="251" w:type="dxa"/>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0954" w:type="dxa"/>
            <w:gridSpan w:val="2"/>
            <w:tcBorders>
              <w:top w:val="nil"/>
              <w:left w:val="nil"/>
              <w:bottom w:val="nil"/>
              <w:right w:val="nil"/>
            </w:tcBorders>
            <w:shd w:val="clear" w:color="auto" w:fill="CCEEFF"/>
            <w:tcMar>
              <w:top w:w="0" w:type="dxa"/>
              <w:left w:w="6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Consolidated revenues</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4"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12,215</w:t>
            </w:r>
          </w:p>
        </w:tc>
        <w:tc>
          <w:tcPr>
            <w:tcW w:w="203"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6"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100.0</w:t>
            </w:r>
          </w:p>
        </w:tc>
        <w:tc>
          <w:tcPr>
            <w:tcW w:w="250"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4"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11,395</w:t>
            </w:r>
          </w:p>
        </w:tc>
        <w:tc>
          <w:tcPr>
            <w:tcW w:w="203"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6"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100.0</w:t>
            </w:r>
          </w:p>
        </w:tc>
        <w:tc>
          <w:tcPr>
            <w:tcW w:w="25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0954"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5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b/>
                <w:bCs/>
                <w:color w:val="333333"/>
                <w:kern w:val="0"/>
                <w:sz w:val="24"/>
                <w:szCs w:val="24"/>
              </w:rPr>
              <w:t>Segment income and segment income margin</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6"/>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54" w:type="dxa"/>
            <w:gridSpan w:val="2"/>
            <w:tcBorders>
              <w:top w:val="nil"/>
              <w:left w:val="nil"/>
              <w:bottom w:val="nil"/>
              <w:right w:val="nil"/>
            </w:tcBorders>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Life Sciences Solutions</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4"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1,046</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6"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35.5</w:t>
            </w:r>
          </w:p>
        </w:tc>
        <w:tc>
          <w:tcPr>
            <w:tcW w:w="250"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4"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952</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6"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36.6</w:t>
            </w:r>
          </w:p>
        </w:tc>
        <w:tc>
          <w:tcPr>
            <w:tcW w:w="251"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0954" w:type="dxa"/>
            <w:gridSpan w:val="2"/>
            <w:tcBorders>
              <w:top w:val="nil"/>
              <w:left w:val="nil"/>
              <w:bottom w:val="nil"/>
              <w:right w:val="nil"/>
            </w:tcBorders>
            <w:shd w:val="clear" w:color="auto" w:fill="CCEEFF"/>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Analytical Instruments</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4"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583</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6"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26.3</w:t>
            </w:r>
          </w:p>
        </w:tc>
        <w:tc>
          <w:tcPr>
            <w:tcW w:w="250"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4"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666</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6"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30.5</w:t>
            </w:r>
          </w:p>
        </w:tc>
        <w:tc>
          <w:tcPr>
            <w:tcW w:w="251"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0954" w:type="dxa"/>
            <w:gridSpan w:val="2"/>
            <w:tcBorders>
              <w:top w:val="nil"/>
              <w:left w:val="nil"/>
              <w:bottom w:val="nil"/>
              <w:right w:val="nil"/>
            </w:tcBorders>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Specialty Diagnostics</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4"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324</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6"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26.6</w:t>
            </w:r>
          </w:p>
        </w:tc>
        <w:tc>
          <w:tcPr>
            <w:tcW w:w="250"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4"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273</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6"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23.6</w:t>
            </w:r>
          </w:p>
        </w:tc>
        <w:tc>
          <w:tcPr>
            <w:tcW w:w="251"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0954" w:type="dxa"/>
            <w:gridSpan w:val="2"/>
            <w:tcBorders>
              <w:top w:val="nil"/>
              <w:left w:val="nil"/>
              <w:bottom w:val="nil"/>
              <w:right w:val="nil"/>
            </w:tcBorders>
            <w:shd w:val="clear" w:color="auto" w:fill="CCEEFF"/>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 xml:space="preserve">Laboratory Products and </w:t>
            </w:r>
            <w:proofErr w:type="spellStart"/>
            <w:r w:rsidRPr="00C950DB">
              <w:rPr>
                <w:rFonts w:ascii="Arial" w:eastAsia="宋体" w:hAnsi="Arial" w:cs="Arial"/>
                <w:color w:val="333333"/>
                <w:kern w:val="0"/>
                <w:sz w:val="24"/>
                <w:szCs w:val="24"/>
              </w:rPr>
              <w:t>Biopharma</w:t>
            </w:r>
            <w:proofErr w:type="spellEnd"/>
            <w:r w:rsidRPr="00C950DB">
              <w:rPr>
                <w:rFonts w:ascii="Arial" w:eastAsia="宋体" w:hAnsi="Arial" w:cs="Arial"/>
                <w:color w:val="333333"/>
                <w:kern w:val="0"/>
                <w:sz w:val="24"/>
                <w:szCs w:val="24"/>
              </w:rPr>
              <w:t xml:space="preserve"> Services</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4"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925</w:t>
            </w:r>
          </w:p>
        </w:tc>
        <w:tc>
          <w:tcPr>
            <w:tcW w:w="203"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6"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14.5</w:t>
            </w:r>
          </w:p>
        </w:tc>
        <w:tc>
          <w:tcPr>
            <w:tcW w:w="250"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4"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828</w:t>
            </w:r>
          </w:p>
        </w:tc>
        <w:tc>
          <w:tcPr>
            <w:tcW w:w="203"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6"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14.0</w:t>
            </w:r>
          </w:p>
        </w:tc>
        <w:tc>
          <w:tcPr>
            <w:tcW w:w="251"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0954" w:type="dxa"/>
            <w:gridSpan w:val="2"/>
            <w:tcBorders>
              <w:top w:val="nil"/>
              <w:left w:val="nil"/>
              <w:bottom w:val="nil"/>
              <w:right w:val="nil"/>
            </w:tcBorders>
            <w:tcMar>
              <w:top w:w="0" w:type="dxa"/>
              <w:left w:w="45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Subtotal reportable segments</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4"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2,878</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6"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23.6</w:t>
            </w:r>
          </w:p>
        </w:tc>
        <w:tc>
          <w:tcPr>
            <w:tcW w:w="250"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4"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2,720</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6"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23.9</w:t>
            </w:r>
          </w:p>
        </w:tc>
        <w:tc>
          <w:tcPr>
            <w:tcW w:w="251"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0954" w:type="dxa"/>
            <w:gridSpan w:val="2"/>
            <w:tcBorders>
              <w:top w:val="nil"/>
              <w:left w:val="nil"/>
              <w:bottom w:val="nil"/>
              <w:right w:val="nil"/>
            </w:tcBorders>
            <w:shd w:val="clear" w:color="auto" w:fill="CCEEFF"/>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Cost of revenues adjustments (a)</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4"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(33</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1626"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-0.3</w:t>
            </w:r>
          </w:p>
        </w:tc>
        <w:tc>
          <w:tcPr>
            <w:tcW w:w="250"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4"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(22</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1626"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-0.2</w:t>
            </w:r>
          </w:p>
        </w:tc>
        <w:tc>
          <w:tcPr>
            <w:tcW w:w="251"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0954" w:type="dxa"/>
            <w:gridSpan w:val="2"/>
            <w:tcBorders>
              <w:top w:val="nil"/>
              <w:left w:val="nil"/>
              <w:bottom w:val="nil"/>
              <w:right w:val="nil"/>
            </w:tcBorders>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Selling, general and administrative expenses adjustments (b)</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4"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(107</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1626"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-0.9</w:t>
            </w:r>
          </w:p>
        </w:tc>
        <w:tc>
          <w:tcPr>
            <w:tcW w:w="250"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4"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(16</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1626"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-0.1</w:t>
            </w:r>
          </w:p>
        </w:tc>
        <w:tc>
          <w:tcPr>
            <w:tcW w:w="251"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0954" w:type="dxa"/>
            <w:gridSpan w:val="2"/>
            <w:tcBorders>
              <w:top w:val="nil"/>
              <w:left w:val="nil"/>
              <w:bottom w:val="nil"/>
              <w:right w:val="nil"/>
            </w:tcBorders>
            <w:shd w:val="clear" w:color="auto" w:fill="CCEEFF"/>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Restructuring and other costs (c)</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4"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(46</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1626"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-0.4</w:t>
            </w:r>
          </w:p>
        </w:tc>
        <w:tc>
          <w:tcPr>
            <w:tcW w:w="250"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4"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(228</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1626"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-2.0</w:t>
            </w:r>
          </w:p>
        </w:tc>
        <w:tc>
          <w:tcPr>
            <w:tcW w:w="251"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0954" w:type="dxa"/>
            <w:gridSpan w:val="2"/>
            <w:tcBorders>
              <w:top w:val="nil"/>
              <w:left w:val="nil"/>
              <w:bottom w:val="nil"/>
              <w:right w:val="nil"/>
            </w:tcBorders>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Amortization of acquisition-related intangible assets</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4"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(436</w:t>
            </w:r>
          </w:p>
        </w:tc>
        <w:tc>
          <w:tcPr>
            <w:tcW w:w="20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1626"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-3.6</w:t>
            </w:r>
          </w:p>
        </w:tc>
        <w:tc>
          <w:tcPr>
            <w:tcW w:w="250"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4"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(438</w:t>
            </w:r>
          </w:p>
        </w:tc>
        <w:tc>
          <w:tcPr>
            <w:tcW w:w="20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1626"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-3.8</w:t>
            </w:r>
          </w:p>
        </w:tc>
        <w:tc>
          <w:tcPr>
            <w:tcW w:w="251" w:type="dxa"/>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0954" w:type="dxa"/>
            <w:gridSpan w:val="2"/>
            <w:tcBorders>
              <w:top w:val="nil"/>
              <w:left w:val="nil"/>
              <w:bottom w:val="nil"/>
              <w:right w:val="nil"/>
            </w:tcBorders>
            <w:shd w:val="clear" w:color="auto" w:fill="CCEEFF"/>
            <w:tcMar>
              <w:top w:w="0" w:type="dxa"/>
              <w:left w:w="45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Consolidated GAAP operating income</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4"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2,255</w:t>
            </w:r>
          </w:p>
        </w:tc>
        <w:tc>
          <w:tcPr>
            <w:tcW w:w="203"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6"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18.5</w:t>
            </w:r>
          </w:p>
        </w:tc>
        <w:tc>
          <w:tcPr>
            <w:tcW w:w="250"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4"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2,016</w:t>
            </w:r>
          </w:p>
        </w:tc>
        <w:tc>
          <w:tcPr>
            <w:tcW w:w="203"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6"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17.7</w:t>
            </w:r>
          </w:p>
        </w:tc>
        <w:tc>
          <w:tcPr>
            <w:tcW w:w="25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bl>
    <w:p w:rsidR="00C950DB" w:rsidRPr="00C950DB" w:rsidRDefault="00C950DB" w:rsidP="00C950DB">
      <w:pPr>
        <w:widowControl/>
        <w:jc w:val="left"/>
        <w:rPr>
          <w:rFonts w:ascii="Arial" w:eastAsia="宋体" w:hAnsi="Arial" w:cs="Arial"/>
          <w:vanish/>
          <w:color w:val="333333"/>
          <w:kern w:val="0"/>
          <w:sz w:val="24"/>
          <w:szCs w:val="24"/>
        </w:rPr>
      </w:pPr>
    </w:p>
    <w:tbl>
      <w:tblPr>
        <w:tblW w:w="0" w:type="auto"/>
        <w:tblCellMar>
          <w:left w:w="0" w:type="dxa"/>
          <w:right w:w="0" w:type="dxa"/>
        </w:tblCellMar>
        <w:tblLook w:val="04A0" w:firstRow="1" w:lastRow="0" w:firstColumn="1" w:lastColumn="0" w:noHBand="0" w:noVBand="1"/>
      </w:tblPr>
      <w:tblGrid>
        <w:gridCol w:w="8306"/>
        <w:gridCol w:w="6586"/>
        <w:gridCol w:w="204"/>
        <w:gridCol w:w="4488"/>
        <w:gridCol w:w="816"/>
      </w:tblGrid>
      <w:tr w:rsidR="00C950DB" w:rsidRPr="00C950DB" w:rsidTr="00C950DB">
        <w:trPr>
          <w:gridAfter w:val="4"/>
          <w:wAfter w:w="12094" w:type="dxa"/>
        </w:trPr>
        <w:tc>
          <w:tcPr>
            <w:tcW w:w="0" w:type="auto"/>
            <w:tcBorders>
              <w:top w:val="nil"/>
              <w:left w:val="nil"/>
              <w:bottom w:val="nil"/>
              <w:right w:val="nil"/>
            </w:tcBorders>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(a) Adjusted results exclude accelerated depreciation on manufacturing assets to be abandoned due to facility consolidations, charges for the sale of inventory revalued at the date of acquisition, and in 2025, $4 of transaction-related costs.</w:t>
            </w:r>
          </w:p>
        </w:tc>
      </w:tr>
      <w:tr w:rsidR="00C950DB" w:rsidRPr="00C950DB" w:rsidTr="00C950DB">
        <w:trPr>
          <w:gridAfter w:val="4"/>
          <w:wAfter w:w="12094" w:type="dxa"/>
        </w:trPr>
        <w:tc>
          <w:tcPr>
            <w:tcW w:w="0" w:type="auto"/>
            <w:tcBorders>
              <w:top w:val="nil"/>
              <w:left w:val="nil"/>
              <w:bottom w:val="nil"/>
              <w:right w:val="nil"/>
            </w:tcBorders>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(b) Adjusted results exclude certain third-party expenses, principally transaction/integration costs, charges/credits for changes in estimates of contingent acquisition consideration, and accelerated depreciation on fixed assets to be abandoned due to facility consolidations. Adjusted results in 2024 also exclude $3 of charges associated with product liability litigation.</w:t>
            </w:r>
          </w:p>
        </w:tc>
      </w:tr>
      <w:tr w:rsidR="00C950DB" w:rsidRPr="00C950DB" w:rsidTr="00C950DB">
        <w:trPr>
          <w:gridAfter w:val="4"/>
          <w:wAfter w:w="12094" w:type="dxa"/>
        </w:trPr>
        <w:tc>
          <w:tcPr>
            <w:tcW w:w="0" w:type="auto"/>
            <w:tcBorders>
              <w:top w:val="nil"/>
              <w:left w:val="nil"/>
              <w:bottom w:val="nil"/>
              <w:right w:val="nil"/>
            </w:tcBorders>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(c) Adjusted results exclude restructuring and other costs consisting principally of severance, impairments of long-lived assets, net charges/credits for pre-acquisition litigation and other matters, gains/losses on the sale of real estate, charges for environmental-related matters, and abandoned facility and other expenses of headcount reductions and real estate consolidations.</w:t>
            </w:r>
          </w:p>
        </w:tc>
      </w:tr>
      <w:tr w:rsidR="00C950DB" w:rsidRPr="00C950DB" w:rsidTr="00C950DB">
        <w:trPr>
          <w:gridAfter w:val="4"/>
          <w:wAfter w:w="12094" w:type="dxa"/>
        </w:trPr>
        <w:tc>
          <w:tcPr>
            <w:tcW w:w="0" w:type="auto"/>
            <w:tcBorders>
              <w:top w:val="nil"/>
              <w:left w:val="nil"/>
              <w:bottom w:val="nil"/>
              <w:right w:val="nil"/>
            </w:tcBorders>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(d) Adjusted results exclude net gains/losses on investments.</w:t>
            </w:r>
          </w:p>
        </w:tc>
      </w:tr>
      <w:tr w:rsidR="00C950DB" w:rsidRPr="00C950DB" w:rsidTr="00C950DB">
        <w:trPr>
          <w:gridAfter w:val="4"/>
          <w:wAfter w:w="12094" w:type="dxa"/>
        </w:trPr>
        <w:tc>
          <w:tcPr>
            <w:tcW w:w="0" w:type="auto"/>
            <w:tcBorders>
              <w:top w:val="nil"/>
              <w:left w:val="nil"/>
              <w:bottom w:val="nil"/>
              <w:right w:val="nil"/>
            </w:tcBorders>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(e) Adjusted results exclude incremental tax impacts for the reconciling items between GAAP and adjusted net income, incremental tax impacts as a result of tax rate/law changes, and the tax impacts from audit settlements.</w:t>
            </w:r>
          </w:p>
        </w:tc>
      </w:tr>
      <w:tr w:rsidR="00C950DB" w:rsidRPr="00C950DB" w:rsidTr="00C950DB">
        <w:trPr>
          <w:gridAfter w:val="4"/>
          <w:wAfter w:w="12094" w:type="dxa"/>
        </w:trPr>
        <w:tc>
          <w:tcPr>
            <w:tcW w:w="0" w:type="auto"/>
            <w:tcBorders>
              <w:top w:val="nil"/>
              <w:left w:val="nil"/>
              <w:bottom w:val="nil"/>
              <w:right w:val="nil"/>
            </w:tcBorders>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 xml:space="preserve">(f) Adjusted results exclude the incremental impacts for the reconciling items between GAAP and adjusted net income attributable to </w:t>
            </w:r>
            <w:proofErr w:type="spellStart"/>
            <w:r w:rsidRPr="00C950DB">
              <w:rPr>
                <w:rFonts w:ascii="Arial" w:eastAsia="宋体" w:hAnsi="Arial" w:cs="Arial"/>
                <w:color w:val="333333"/>
                <w:kern w:val="0"/>
                <w:sz w:val="24"/>
                <w:szCs w:val="24"/>
              </w:rPr>
              <w:t>noncontrolling</w:t>
            </w:r>
            <w:proofErr w:type="spellEnd"/>
            <w:r w:rsidRPr="00C950DB">
              <w:rPr>
                <w:rFonts w:ascii="Arial" w:eastAsia="宋体" w:hAnsi="Arial" w:cs="Arial"/>
                <w:color w:val="333333"/>
                <w:kern w:val="0"/>
                <w:sz w:val="24"/>
                <w:szCs w:val="24"/>
              </w:rPr>
              <w:t xml:space="preserve"> interests.</w:t>
            </w:r>
          </w:p>
        </w:tc>
      </w:tr>
      <w:tr w:rsidR="00C950DB" w:rsidRPr="00C950DB" w:rsidTr="00C950DB">
        <w:trPr>
          <w:gridAfter w:val="4"/>
          <w:wAfter w:w="12094" w:type="dxa"/>
        </w:trPr>
        <w:tc>
          <w:tcPr>
            <w:tcW w:w="0" w:type="auto"/>
            <w:tcBorders>
              <w:top w:val="nil"/>
              <w:left w:val="nil"/>
              <w:bottom w:val="nil"/>
              <w:right w:val="nil"/>
            </w:tcBorders>
            <w:hideMark/>
          </w:tcPr>
          <w:p w:rsidR="00C950DB" w:rsidRPr="00C950DB" w:rsidRDefault="00C950DB" w:rsidP="00C950DB">
            <w:pPr>
              <w:widowControl/>
              <w:jc w:val="left"/>
              <w:rPr>
                <w:rFonts w:ascii="Arial" w:eastAsia="宋体" w:hAnsi="Arial" w:cs="Arial"/>
                <w:color w:val="333333"/>
                <w:kern w:val="0"/>
                <w:sz w:val="24"/>
                <w:szCs w:val="24"/>
              </w:rPr>
            </w:pPr>
          </w:p>
        </w:tc>
      </w:tr>
      <w:tr w:rsidR="00C950DB" w:rsidRPr="00C950DB" w:rsidTr="00C950DB">
        <w:trPr>
          <w:gridAfter w:val="4"/>
          <w:wAfter w:w="12094" w:type="dxa"/>
        </w:trPr>
        <w:tc>
          <w:tcPr>
            <w:tcW w:w="0" w:type="auto"/>
            <w:tcBorders>
              <w:top w:val="nil"/>
              <w:left w:val="nil"/>
              <w:bottom w:val="nil"/>
              <w:right w:val="nil"/>
            </w:tcBorders>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Note:</w:t>
            </w:r>
          </w:p>
        </w:tc>
      </w:tr>
      <w:tr w:rsidR="00C950DB" w:rsidRPr="00C950DB" w:rsidTr="00C950DB">
        <w:trPr>
          <w:gridAfter w:val="4"/>
          <w:wAfter w:w="12094" w:type="dxa"/>
        </w:trPr>
        <w:tc>
          <w:tcPr>
            <w:tcW w:w="0" w:type="auto"/>
            <w:tcBorders>
              <w:top w:val="nil"/>
              <w:left w:val="nil"/>
              <w:bottom w:val="nil"/>
              <w:right w:val="nil"/>
            </w:tcBorders>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Consolidated depreciation expense is $291 and $304 in 2025 and 2024, respectively.</w:t>
            </w:r>
          </w:p>
        </w:tc>
      </w:tr>
      <w:tr w:rsidR="00C950DB" w:rsidRPr="00C950DB" w:rsidTr="00C950DB">
        <w:tc>
          <w:tcPr>
            <w:tcW w:w="1489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489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b/>
                <w:bCs/>
                <w:color w:val="333333"/>
                <w:kern w:val="0"/>
                <w:sz w:val="24"/>
                <w:szCs w:val="24"/>
              </w:rPr>
              <w:t>Organic revenue growth</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2"/>
            <w:tcBorders>
              <w:top w:val="nil"/>
              <w:left w:val="nil"/>
              <w:bottom w:val="nil"/>
              <w:right w:val="nil"/>
            </w:tcBorders>
            <w:noWrap/>
            <w:vAlign w:val="bottom"/>
            <w:hideMark/>
          </w:tcPr>
          <w:p w:rsidR="00C950DB" w:rsidRPr="00C950DB" w:rsidRDefault="00C950DB" w:rsidP="00C950DB">
            <w:pPr>
              <w:widowControl/>
              <w:jc w:val="center"/>
              <w:rPr>
                <w:rFonts w:ascii="Arial" w:eastAsia="宋体" w:hAnsi="Arial" w:cs="Arial"/>
                <w:color w:val="333333"/>
                <w:kern w:val="0"/>
                <w:sz w:val="24"/>
                <w:szCs w:val="24"/>
              </w:rPr>
            </w:pPr>
            <w:r w:rsidRPr="00C950DB">
              <w:rPr>
                <w:rFonts w:ascii="Arial" w:eastAsia="宋体" w:hAnsi="Arial" w:cs="Arial"/>
                <w:color w:val="333333"/>
                <w:kern w:val="0"/>
                <w:sz w:val="24"/>
                <w:szCs w:val="24"/>
              </w:rPr>
              <w:t>Three months ended</w:t>
            </w:r>
          </w:p>
        </w:tc>
      </w:tr>
      <w:tr w:rsidR="00C950DB" w:rsidRPr="00C950DB" w:rsidTr="00C950DB">
        <w:tc>
          <w:tcPr>
            <w:tcW w:w="1489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single" w:sz="8" w:space="0" w:color="000000"/>
              <w:right w:val="nil"/>
            </w:tcBorders>
            <w:noWrap/>
            <w:vAlign w:val="bottom"/>
            <w:hideMark/>
          </w:tcPr>
          <w:p w:rsidR="00C950DB" w:rsidRPr="00C950DB" w:rsidRDefault="00C950DB" w:rsidP="00C950DB">
            <w:pPr>
              <w:widowControl/>
              <w:jc w:val="center"/>
              <w:rPr>
                <w:rFonts w:ascii="Arial" w:eastAsia="宋体" w:hAnsi="Arial" w:cs="Arial"/>
                <w:color w:val="333333"/>
                <w:kern w:val="0"/>
                <w:sz w:val="24"/>
                <w:szCs w:val="24"/>
              </w:rPr>
            </w:pPr>
            <w:r w:rsidRPr="00C950DB">
              <w:rPr>
                <w:rFonts w:ascii="Arial" w:eastAsia="宋体" w:hAnsi="Arial" w:cs="Arial"/>
                <w:color w:val="333333"/>
                <w:kern w:val="0"/>
                <w:sz w:val="24"/>
                <w:szCs w:val="24"/>
              </w:rPr>
              <w:t>December 31, 2025</w:t>
            </w:r>
          </w:p>
        </w:tc>
      </w:tr>
      <w:tr w:rsidR="00C950DB" w:rsidRPr="00C950DB" w:rsidTr="00C950DB">
        <w:tc>
          <w:tcPr>
            <w:tcW w:w="1489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b/>
                <w:bCs/>
                <w:color w:val="333333"/>
                <w:kern w:val="0"/>
                <w:sz w:val="24"/>
                <w:szCs w:val="24"/>
              </w:rPr>
              <w:t>Revenue growth</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4488" w:type="dxa"/>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7</w:t>
            </w:r>
          </w:p>
        </w:tc>
        <w:tc>
          <w:tcPr>
            <w:tcW w:w="816"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489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Acquisitions</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4488" w:type="dxa"/>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w:t>
            </w:r>
          </w:p>
        </w:tc>
        <w:tc>
          <w:tcPr>
            <w:tcW w:w="816"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489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Currency translation</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4488"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w:t>
            </w:r>
          </w:p>
        </w:tc>
        <w:tc>
          <w:tcPr>
            <w:tcW w:w="816"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489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b/>
                <w:bCs/>
                <w:color w:val="333333"/>
                <w:kern w:val="0"/>
                <w:sz w:val="24"/>
                <w:szCs w:val="24"/>
              </w:rPr>
              <w:t>Organic revenue growth (non-GAAP measure)</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4488" w:type="dxa"/>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w:t>
            </w:r>
          </w:p>
        </w:tc>
        <w:tc>
          <w:tcPr>
            <w:tcW w:w="816" w:type="dxa"/>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489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0" w:type="auto"/>
            <w:gridSpan w:val="5"/>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Note:</w:t>
            </w:r>
          </w:p>
        </w:tc>
      </w:tr>
      <w:tr w:rsidR="00C950DB" w:rsidRPr="00C950DB" w:rsidTr="00C950DB">
        <w:tc>
          <w:tcPr>
            <w:tcW w:w="0" w:type="auto"/>
            <w:gridSpan w:val="5"/>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For more information related to non-GAAP financial measures, refer to the section titled “Supplemental Information Regarding Non-GAAP Financial Measures” of this release.</w:t>
            </w:r>
          </w:p>
        </w:tc>
      </w:tr>
    </w:tbl>
    <w:p w:rsidR="00C950DB" w:rsidRPr="00C950DB" w:rsidRDefault="00C950DB" w:rsidP="00C950DB">
      <w:pPr>
        <w:widowControl/>
        <w:jc w:val="left"/>
        <w:rPr>
          <w:rFonts w:ascii="Arial" w:eastAsia="宋体" w:hAnsi="Arial" w:cs="Arial"/>
          <w:vanish/>
          <w:color w:val="333333"/>
          <w:kern w:val="0"/>
          <w:sz w:val="24"/>
          <w:szCs w:val="24"/>
        </w:rPr>
      </w:pPr>
    </w:p>
    <w:tbl>
      <w:tblPr>
        <w:tblW w:w="20400" w:type="dxa"/>
        <w:tblCellMar>
          <w:left w:w="0" w:type="dxa"/>
          <w:right w:w="0" w:type="dxa"/>
        </w:tblCellMar>
        <w:tblLook w:val="04A0" w:firstRow="1" w:lastRow="0" w:firstColumn="1" w:lastColumn="0" w:noHBand="0" w:noVBand="1"/>
      </w:tblPr>
      <w:tblGrid>
        <w:gridCol w:w="10934"/>
        <w:gridCol w:w="19"/>
        <w:gridCol w:w="183"/>
        <w:gridCol w:w="20"/>
        <w:gridCol w:w="184"/>
        <w:gridCol w:w="20"/>
        <w:gridCol w:w="2013"/>
        <w:gridCol w:w="21"/>
        <w:gridCol w:w="182"/>
        <w:gridCol w:w="21"/>
        <w:gridCol w:w="181"/>
        <w:gridCol w:w="22"/>
        <w:gridCol w:w="1602"/>
        <w:gridCol w:w="24"/>
        <w:gridCol w:w="241"/>
        <w:gridCol w:w="9"/>
        <w:gridCol w:w="193"/>
        <w:gridCol w:w="10"/>
        <w:gridCol w:w="194"/>
        <w:gridCol w:w="10"/>
        <w:gridCol w:w="2023"/>
        <w:gridCol w:w="11"/>
        <w:gridCol w:w="192"/>
        <w:gridCol w:w="11"/>
        <w:gridCol w:w="191"/>
        <w:gridCol w:w="12"/>
        <w:gridCol w:w="1612"/>
        <w:gridCol w:w="14"/>
        <w:gridCol w:w="251"/>
      </w:tblGrid>
      <w:tr w:rsidR="00C950DB" w:rsidRPr="00C950DB" w:rsidTr="00C950DB">
        <w:tc>
          <w:tcPr>
            <w:tcW w:w="0" w:type="auto"/>
            <w:gridSpan w:val="29"/>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r>
      <w:tr w:rsidR="00C950DB" w:rsidRPr="00C950DB" w:rsidTr="00C950DB">
        <w:tc>
          <w:tcPr>
            <w:tcW w:w="20400" w:type="dxa"/>
            <w:gridSpan w:val="29"/>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b/>
                <w:bCs/>
                <w:color w:val="333333"/>
                <w:kern w:val="0"/>
                <w:sz w:val="24"/>
                <w:szCs w:val="24"/>
              </w:rPr>
              <w:t>Condensed Consolidated Statements of Income (unaudited)</w:t>
            </w:r>
          </w:p>
        </w:tc>
      </w:tr>
      <w:tr w:rsidR="00C950DB" w:rsidRPr="00C950DB" w:rsidTr="00C950DB">
        <w:tc>
          <w:tcPr>
            <w:tcW w:w="10935"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26"/>
            <w:tcBorders>
              <w:top w:val="nil"/>
              <w:left w:val="nil"/>
              <w:bottom w:val="single" w:sz="8" w:space="0" w:color="000000"/>
              <w:right w:val="nil"/>
            </w:tcBorders>
            <w:vAlign w:val="bottom"/>
            <w:hideMark/>
          </w:tcPr>
          <w:p w:rsidR="00C950DB" w:rsidRPr="00C950DB" w:rsidRDefault="00C950DB" w:rsidP="00C950DB">
            <w:pPr>
              <w:widowControl/>
              <w:jc w:val="center"/>
              <w:rPr>
                <w:rFonts w:ascii="Arial" w:eastAsia="宋体" w:hAnsi="Arial" w:cs="Arial"/>
                <w:color w:val="333333"/>
                <w:kern w:val="0"/>
                <w:sz w:val="24"/>
                <w:szCs w:val="24"/>
              </w:rPr>
            </w:pPr>
            <w:r w:rsidRPr="00C950DB">
              <w:rPr>
                <w:rFonts w:ascii="Arial" w:eastAsia="宋体" w:hAnsi="Arial" w:cs="Arial"/>
                <w:color w:val="333333"/>
                <w:kern w:val="0"/>
                <w:sz w:val="24"/>
                <w:szCs w:val="24"/>
              </w:rPr>
              <w:t>Year ended</w:t>
            </w:r>
          </w:p>
        </w:tc>
      </w:tr>
      <w:tr w:rsidR="00C950DB" w:rsidRPr="00C950DB" w:rsidTr="00C950DB">
        <w:tc>
          <w:tcPr>
            <w:tcW w:w="10935"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nil"/>
              <w:right w:val="nil"/>
            </w:tcBorders>
            <w:noWrap/>
            <w:vAlign w:val="bottom"/>
            <w:hideMark/>
          </w:tcPr>
          <w:p w:rsidR="00C950DB" w:rsidRPr="00C950DB" w:rsidRDefault="00C950DB" w:rsidP="00C950DB">
            <w:pPr>
              <w:widowControl/>
              <w:jc w:val="center"/>
              <w:rPr>
                <w:rFonts w:ascii="Arial" w:eastAsia="宋体" w:hAnsi="Arial" w:cs="Arial"/>
                <w:color w:val="333333"/>
                <w:kern w:val="0"/>
                <w:sz w:val="24"/>
                <w:szCs w:val="24"/>
              </w:rPr>
            </w:pPr>
            <w:r w:rsidRPr="00C950DB">
              <w:rPr>
                <w:rFonts w:ascii="Arial" w:eastAsia="宋体" w:hAnsi="Arial" w:cs="Arial"/>
                <w:color w:val="333333"/>
                <w:kern w:val="0"/>
                <w:sz w:val="24"/>
                <w:szCs w:val="24"/>
              </w:rPr>
              <w:t>December 31,</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4"/>
            <w:tcBorders>
              <w:top w:val="nil"/>
              <w:left w:val="nil"/>
              <w:bottom w:val="nil"/>
              <w:right w:val="nil"/>
            </w:tcBorders>
            <w:vAlign w:val="bottom"/>
            <w:hideMark/>
          </w:tcPr>
          <w:p w:rsidR="00C950DB" w:rsidRPr="00C950DB" w:rsidRDefault="00C950DB" w:rsidP="00C950DB">
            <w:pPr>
              <w:widowControl/>
              <w:jc w:val="center"/>
              <w:rPr>
                <w:rFonts w:ascii="Arial" w:eastAsia="宋体" w:hAnsi="Arial" w:cs="Arial"/>
                <w:color w:val="333333"/>
                <w:kern w:val="0"/>
                <w:sz w:val="24"/>
                <w:szCs w:val="24"/>
              </w:rPr>
            </w:pPr>
            <w:r w:rsidRPr="00C950DB">
              <w:rPr>
                <w:rFonts w:ascii="Arial" w:eastAsia="宋体" w:hAnsi="Arial" w:cs="Arial"/>
                <w:color w:val="333333"/>
                <w:kern w:val="0"/>
                <w:sz w:val="24"/>
                <w:szCs w:val="24"/>
              </w:rPr>
              <w:t>% of</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6"/>
            <w:tcBorders>
              <w:top w:val="nil"/>
              <w:left w:val="nil"/>
              <w:bottom w:val="nil"/>
              <w:right w:val="nil"/>
            </w:tcBorders>
            <w:noWrap/>
            <w:vAlign w:val="bottom"/>
            <w:hideMark/>
          </w:tcPr>
          <w:p w:rsidR="00C950DB" w:rsidRPr="00C950DB" w:rsidRDefault="00C950DB" w:rsidP="00C950DB">
            <w:pPr>
              <w:widowControl/>
              <w:jc w:val="center"/>
              <w:rPr>
                <w:rFonts w:ascii="Arial" w:eastAsia="宋体" w:hAnsi="Arial" w:cs="Arial"/>
                <w:color w:val="333333"/>
                <w:kern w:val="0"/>
                <w:sz w:val="24"/>
                <w:szCs w:val="24"/>
              </w:rPr>
            </w:pPr>
            <w:r w:rsidRPr="00C950DB">
              <w:rPr>
                <w:rFonts w:ascii="Arial" w:eastAsia="宋体" w:hAnsi="Arial" w:cs="Arial"/>
                <w:color w:val="333333"/>
                <w:kern w:val="0"/>
                <w:sz w:val="24"/>
                <w:szCs w:val="24"/>
              </w:rPr>
              <w:t>December 31,</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4"/>
            <w:tcBorders>
              <w:top w:val="nil"/>
              <w:left w:val="nil"/>
              <w:bottom w:val="nil"/>
              <w:right w:val="nil"/>
            </w:tcBorders>
            <w:vAlign w:val="bottom"/>
            <w:hideMark/>
          </w:tcPr>
          <w:p w:rsidR="00C950DB" w:rsidRPr="00C950DB" w:rsidRDefault="00C950DB" w:rsidP="00C950DB">
            <w:pPr>
              <w:widowControl/>
              <w:jc w:val="center"/>
              <w:rPr>
                <w:rFonts w:ascii="Arial" w:eastAsia="宋体" w:hAnsi="Arial" w:cs="Arial"/>
                <w:color w:val="333333"/>
                <w:kern w:val="0"/>
                <w:sz w:val="24"/>
                <w:szCs w:val="24"/>
              </w:rPr>
            </w:pPr>
            <w:r w:rsidRPr="00C950DB">
              <w:rPr>
                <w:rFonts w:ascii="Arial" w:eastAsia="宋体" w:hAnsi="Arial" w:cs="Arial"/>
                <w:color w:val="333333"/>
                <w:kern w:val="0"/>
                <w:sz w:val="24"/>
                <w:szCs w:val="24"/>
              </w:rPr>
              <w:t>% of</w:t>
            </w:r>
          </w:p>
        </w:tc>
      </w:tr>
      <w:tr w:rsidR="00C950DB" w:rsidRPr="00C950DB" w:rsidTr="00C950DB">
        <w:tc>
          <w:tcPr>
            <w:tcW w:w="10935" w:type="dxa"/>
            <w:tcBorders>
              <w:top w:val="nil"/>
              <w:left w:val="nil"/>
              <w:bottom w:val="single" w:sz="8" w:space="0" w:color="000000"/>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(Dollars in millions except per share amounts)</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center"/>
              <w:rPr>
                <w:rFonts w:ascii="Arial" w:eastAsia="宋体" w:hAnsi="Arial" w:cs="Arial"/>
                <w:color w:val="333333"/>
                <w:kern w:val="0"/>
                <w:sz w:val="24"/>
                <w:szCs w:val="24"/>
              </w:rPr>
            </w:pPr>
            <w:r w:rsidRPr="00C950DB">
              <w:rPr>
                <w:rFonts w:ascii="Arial" w:eastAsia="宋体" w:hAnsi="Arial" w:cs="Arial"/>
                <w:color w:val="333333"/>
                <w:kern w:val="0"/>
                <w:sz w:val="24"/>
                <w:szCs w:val="24"/>
              </w:rPr>
              <w:t>2025</w:t>
            </w:r>
          </w:p>
        </w:tc>
        <w:tc>
          <w:tcPr>
            <w:tcW w:w="20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single" w:sz="8" w:space="0" w:color="000000"/>
              <w:right w:val="nil"/>
            </w:tcBorders>
            <w:vAlign w:val="bottom"/>
            <w:hideMark/>
          </w:tcPr>
          <w:p w:rsidR="00C950DB" w:rsidRPr="00C950DB" w:rsidRDefault="00C950DB" w:rsidP="00C950DB">
            <w:pPr>
              <w:widowControl/>
              <w:jc w:val="center"/>
              <w:rPr>
                <w:rFonts w:ascii="Arial" w:eastAsia="宋体" w:hAnsi="Arial" w:cs="Arial"/>
                <w:color w:val="333333"/>
                <w:kern w:val="0"/>
                <w:sz w:val="24"/>
                <w:szCs w:val="24"/>
              </w:rPr>
            </w:pPr>
            <w:r w:rsidRPr="00C950DB">
              <w:rPr>
                <w:rFonts w:ascii="Arial" w:eastAsia="宋体" w:hAnsi="Arial" w:cs="Arial"/>
                <w:color w:val="333333"/>
                <w:kern w:val="0"/>
                <w:sz w:val="24"/>
                <w:szCs w:val="24"/>
              </w:rPr>
              <w:t>Revenues</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center"/>
              <w:rPr>
                <w:rFonts w:ascii="Arial" w:eastAsia="宋体" w:hAnsi="Arial" w:cs="Arial"/>
                <w:color w:val="333333"/>
                <w:kern w:val="0"/>
                <w:sz w:val="24"/>
                <w:szCs w:val="24"/>
              </w:rPr>
            </w:pPr>
            <w:r w:rsidRPr="00C950DB">
              <w:rPr>
                <w:rFonts w:ascii="Arial" w:eastAsia="宋体" w:hAnsi="Arial" w:cs="Arial"/>
                <w:color w:val="333333"/>
                <w:kern w:val="0"/>
                <w:sz w:val="24"/>
                <w:szCs w:val="24"/>
              </w:rPr>
              <w:t>2024</w:t>
            </w:r>
          </w:p>
        </w:tc>
        <w:tc>
          <w:tcPr>
            <w:tcW w:w="20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single" w:sz="8" w:space="0" w:color="000000"/>
              <w:right w:val="nil"/>
            </w:tcBorders>
            <w:vAlign w:val="bottom"/>
            <w:hideMark/>
          </w:tcPr>
          <w:p w:rsidR="00C950DB" w:rsidRPr="00C950DB" w:rsidRDefault="00C950DB" w:rsidP="00C950DB">
            <w:pPr>
              <w:widowControl/>
              <w:jc w:val="center"/>
              <w:rPr>
                <w:rFonts w:ascii="Arial" w:eastAsia="宋体" w:hAnsi="Arial" w:cs="Arial"/>
                <w:color w:val="333333"/>
                <w:kern w:val="0"/>
                <w:sz w:val="24"/>
                <w:szCs w:val="24"/>
              </w:rPr>
            </w:pPr>
            <w:r w:rsidRPr="00C950DB">
              <w:rPr>
                <w:rFonts w:ascii="Arial" w:eastAsia="宋体" w:hAnsi="Arial" w:cs="Arial"/>
                <w:color w:val="333333"/>
                <w:kern w:val="0"/>
                <w:sz w:val="24"/>
                <w:szCs w:val="24"/>
              </w:rPr>
              <w:t>Revenues</w:t>
            </w:r>
          </w:p>
        </w:tc>
      </w:tr>
      <w:tr w:rsidR="00C950DB" w:rsidRPr="00C950DB" w:rsidTr="00C950DB">
        <w:tc>
          <w:tcPr>
            <w:tcW w:w="10935"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Revenues</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3"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44,556</w:t>
            </w:r>
          </w:p>
        </w:tc>
        <w:tc>
          <w:tcPr>
            <w:tcW w:w="203"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3"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42,879</w:t>
            </w:r>
          </w:p>
        </w:tc>
        <w:tc>
          <w:tcPr>
            <w:tcW w:w="203"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Costs and operating expenses:</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6"/>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shd w:val="clear" w:color="auto" w:fill="CCEEFF"/>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Cost of revenues (a)</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26,048</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4"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58.5</w:t>
            </w:r>
          </w:p>
        </w:tc>
        <w:tc>
          <w:tcPr>
            <w:tcW w:w="265"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24,818</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4"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57.9</w:t>
            </w:r>
          </w:p>
        </w:tc>
        <w:tc>
          <w:tcPr>
            <w:tcW w:w="265"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0935" w:type="dxa"/>
            <w:tcBorders>
              <w:top w:val="nil"/>
              <w:left w:val="nil"/>
              <w:bottom w:val="nil"/>
              <w:right w:val="nil"/>
            </w:tcBorders>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Selling, general and administrative expenses (b)</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7,272</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4"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16.3</w:t>
            </w:r>
          </w:p>
        </w:tc>
        <w:tc>
          <w:tcPr>
            <w:tcW w:w="265"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7,003</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4"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16.3</w:t>
            </w:r>
          </w:p>
        </w:tc>
        <w:tc>
          <w:tcPr>
            <w:tcW w:w="265"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0935" w:type="dxa"/>
            <w:tcBorders>
              <w:top w:val="nil"/>
              <w:left w:val="nil"/>
              <w:bottom w:val="nil"/>
              <w:right w:val="nil"/>
            </w:tcBorders>
            <w:shd w:val="clear" w:color="auto" w:fill="CCEEFF"/>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Amortization of acquisition-related intangible assets</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1,730</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4"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3.9</w:t>
            </w:r>
          </w:p>
        </w:tc>
        <w:tc>
          <w:tcPr>
            <w:tcW w:w="265"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1,952</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4"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4.6</w:t>
            </w:r>
          </w:p>
        </w:tc>
        <w:tc>
          <w:tcPr>
            <w:tcW w:w="265"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0935" w:type="dxa"/>
            <w:tcBorders>
              <w:top w:val="nil"/>
              <w:left w:val="nil"/>
              <w:bottom w:val="nil"/>
              <w:right w:val="nil"/>
            </w:tcBorders>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Research and development expenses</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1,397</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4"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3.1</w:t>
            </w:r>
          </w:p>
        </w:tc>
        <w:tc>
          <w:tcPr>
            <w:tcW w:w="265"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1,390</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4"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3.2</w:t>
            </w:r>
          </w:p>
        </w:tc>
        <w:tc>
          <w:tcPr>
            <w:tcW w:w="265"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0935" w:type="dxa"/>
            <w:tcBorders>
              <w:top w:val="nil"/>
              <w:left w:val="nil"/>
              <w:bottom w:val="nil"/>
              <w:right w:val="nil"/>
            </w:tcBorders>
            <w:shd w:val="clear" w:color="auto" w:fill="CCEEFF"/>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Restructuring and other costs (c)</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362</w:t>
            </w:r>
          </w:p>
        </w:tc>
        <w:tc>
          <w:tcPr>
            <w:tcW w:w="203"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4"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0.8</w:t>
            </w:r>
          </w:p>
        </w:tc>
        <w:tc>
          <w:tcPr>
            <w:tcW w:w="265"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379</w:t>
            </w:r>
          </w:p>
        </w:tc>
        <w:tc>
          <w:tcPr>
            <w:tcW w:w="203"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4"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0.9</w:t>
            </w:r>
          </w:p>
        </w:tc>
        <w:tc>
          <w:tcPr>
            <w:tcW w:w="265"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0935" w:type="dxa"/>
            <w:tcBorders>
              <w:top w:val="nil"/>
              <w:left w:val="nil"/>
              <w:bottom w:val="nil"/>
              <w:right w:val="nil"/>
            </w:tcBorders>
            <w:tcMar>
              <w:top w:w="0" w:type="dxa"/>
              <w:left w:w="45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Total costs and operating expenses</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36,810</w:t>
            </w:r>
          </w:p>
        </w:tc>
        <w:tc>
          <w:tcPr>
            <w:tcW w:w="20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4"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82.6</w:t>
            </w:r>
          </w:p>
        </w:tc>
        <w:tc>
          <w:tcPr>
            <w:tcW w:w="265"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35,542</w:t>
            </w:r>
          </w:p>
        </w:tc>
        <w:tc>
          <w:tcPr>
            <w:tcW w:w="20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4"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82.9</w:t>
            </w:r>
          </w:p>
        </w:tc>
        <w:tc>
          <w:tcPr>
            <w:tcW w:w="265"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0935"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Operating income</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7,746</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4"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17.4</w:t>
            </w:r>
          </w:p>
        </w:tc>
        <w:tc>
          <w:tcPr>
            <w:tcW w:w="265"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7,337</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4"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17.1</w:t>
            </w:r>
          </w:p>
        </w:tc>
        <w:tc>
          <w:tcPr>
            <w:tcW w:w="265"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0935"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Interest income</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993</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1,078</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Interest expense</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(1,419</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(1,390</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Other income/(expense) (d)</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(12</w:t>
            </w:r>
          </w:p>
        </w:tc>
        <w:tc>
          <w:tcPr>
            <w:tcW w:w="20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12</w:t>
            </w:r>
          </w:p>
        </w:tc>
        <w:tc>
          <w:tcPr>
            <w:tcW w:w="20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Income before income taxes</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7,308</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7,037</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Benefit from/(provision for) income taxes (e)</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(547</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(657</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Equity in earnings/(losses) of unconsolidated entities</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(41</w:t>
            </w:r>
          </w:p>
        </w:tc>
        <w:tc>
          <w:tcPr>
            <w:tcW w:w="203"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(42</w:t>
            </w:r>
          </w:p>
        </w:tc>
        <w:tc>
          <w:tcPr>
            <w:tcW w:w="203"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Net income</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6,721</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6,338</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 xml:space="preserve">Less: net income/(loss) attributable to </w:t>
            </w:r>
            <w:proofErr w:type="spellStart"/>
            <w:r w:rsidRPr="00C950DB">
              <w:rPr>
                <w:rFonts w:ascii="Arial" w:eastAsia="宋体" w:hAnsi="Arial" w:cs="Arial"/>
                <w:color w:val="333333"/>
                <w:kern w:val="0"/>
                <w:sz w:val="24"/>
                <w:szCs w:val="24"/>
              </w:rPr>
              <w:t>noncontrolling</w:t>
            </w:r>
            <w:proofErr w:type="spellEnd"/>
            <w:r w:rsidRPr="00C950DB">
              <w:rPr>
                <w:rFonts w:ascii="Arial" w:eastAsia="宋体" w:hAnsi="Arial" w:cs="Arial"/>
                <w:color w:val="333333"/>
                <w:kern w:val="0"/>
                <w:sz w:val="24"/>
                <w:szCs w:val="24"/>
              </w:rPr>
              <w:t xml:space="preserve"> interests and redeemable </w:t>
            </w:r>
            <w:proofErr w:type="spellStart"/>
            <w:r w:rsidRPr="00C950DB">
              <w:rPr>
                <w:rFonts w:ascii="Arial" w:eastAsia="宋体" w:hAnsi="Arial" w:cs="Arial"/>
                <w:color w:val="333333"/>
                <w:kern w:val="0"/>
                <w:sz w:val="24"/>
                <w:szCs w:val="24"/>
              </w:rPr>
              <w:t>noncontrolling</w:t>
            </w:r>
            <w:proofErr w:type="spellEnd"/>
            <w:r w:rsidRPr="00C950DB">
              <w:rPr>
                <w:rFonts w:ascii="Arial" w:eastAsia="宋体" w:hAnsi="Arial" w:cs="Arial"/>
                <w:color w:val="333333"/>
                <w:kern w:val="0"/>
                <w:sz w:val="24"/>
                <w:szCs w:val="24"/>
              </w:rPr>
              <w:t xml:space="preserve"> interest (f)</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17</w:t>
            </w:r>
          </w:p>
        </w:tc>
        <w:tc>
          <w:tcPr>
            <w:tcW w:w="203"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w:t>
            </w:r>
          </w:p>
        </w:tc>
        <w:tc>
          <w:tcPr>
            <w:tcW w:w="203"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Net income attributable to Thermo Fisher Scientific Inc.</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double" w:sz="6" w:space="0" w:color="000000"/>
              <w:right w:val="nil"/>
            </w:tcBorders>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3" w:type="dxa"/>
            <w:gridSpan w:val="2"/>
            <w:tcBorders>
              <w:top w:val="nil"/>
              <w:left w:val="nil"/>
              <w:bottom w:val="double" w:sz="6" w:space="0" w:color="000000"/>
              <w:right w:val="nil"/>
            </w:tcBorders>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6,704</w:t>
            </w:r>
          </w:p>
        </w:tc>
        <w:tc>
          <w:tcPr>
            <w:tcW w:w="203" w:type="dxa"/>
            <w:gridSpan w:val="2"/>
            <w:tcBorders>
              <w:top w:val="nil"/>
              <w:left w:val="nil"/>
              <w:bottom w:val="double" w:sz="6" w:space="0" w:color="000000"/>
              <w:right w:val="nil"/>
            </w:tcBorders>
            <w:tcMar>
              <w:top w:w="0" w:type="dxa"/>
              <w:left w:w="0" w:type="dxa"/>
              <w:bottom w:w="75"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4" w:type="dxa"/>
            <w:gridSpan w:val="2"/>
            <w:tcBorders>
              <w:top w:val="nil"/>
              <w:left w:val="nil"/>
              <w:bottom w:val="double" w:sz="6" w:space="0" w:color="000000"/>
              <w:right w:val="nil"/>
            </w:tcBorders>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15.0</w:t>
            </w:r>
          </w:p>
        </w:tc>
        <w:tc>
          <w:tcPr>
            <w:tcW w:w="265" w:type="dxa"/>
            <w:gridSpan w:val="2"/>
            <w:tcBorders>
              <w:top w:val="nil"/>
              <w:left w:val="nil"/>
              <w:bottom w:val="double" w:sz="6" w:space="0" w:color="000000"/>
              <w:right w:val="nil"/>
            </w:tcBorders>
            <w:tcMar>
              <w:top w:w="0" w:type="dxa"/>
              <w:left w:w="0" w:type="dxa"/>
              <w:bottom w:w="75"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double" w:sz="6" w:space="0" w:color="000000"/>
              <w:right w:val="nil"/>
            </w:tcBorders>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3" w:type="dxa"/>
            <w:gridSpan w:val="2"/>
            <w:tcBorders>
              <w:top w:val="nil"/>
              <w:left w:val="nil"/>
              <w:bottom w:val="double" w:sz="6" w:space="0" w:color="000000"/>
              <w:right w:val="nil"/>
            </w:tcBorders>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6,335</w:t>
            </w:r>
          </w:p>
        </w:tc>
        <w:tc>
          <w:tcPr>
            <w:tcW w:w="203" w:type="dxa"/>
            <w:gridSpan w:val="2"/>
            <w:tcBorders>
              <w:top w:val="nil"/>
              <w:left w:val="nil"/>
              <w:bottom w:val="double" w:sz="6" w:space="0" w:color="000000"/>
              <w:right w:val="nil"/>
            </w:tcBorders>
            <w:tcMar>
              <w:top w:w="0" w:type="dxa"/>
              <w:left w:w="0" w:type="dxa"/>
              <w:bottom w:w="75"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4" w:type="dxa"/>
            <w:gridSpan w:val="2"/>
            <w:tcBorders>
              <w:top w:val="nil"/>
              <w:left w:val="nil"/>
              <w:bottom w:val="double" w:sz="6" w:space="0" w:color="000000"/>
              <w:right w:val="nil"/>
            </w:tcBorders>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14.8</w:t>
            </w:r>
          </w:p>
        </w:tc>
        <w:tc>
          <w:tcPr>
            <w:tcW w:w="265" w:type="dxa"/>
            <w:gridSpan w:val="2"/>
            <w:tcBorders>
              <w:top w:val="nil"/>
              <w:left w:val="nil"/>
              <w:bottom w:val="double" w:sz="6" w:space="0" w:color="000000"/>
              <w:right w:val="nil"/>
            </w:tcBorders>
            <w:tcMar>
              <w:top w:w="0" w:type="dxa"/>
              <w:left w:w="0" w:type="dxa"/>
              <w:bottom w:w="75"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0935"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Earnings per share attributable to Thermo Fisher Scientific Inc.:</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6"/>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shd w:val="clear" w:color="auto" w:fill="CCEEFF"/>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Basic</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3"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17.77</w:t>
            </w:r>
          </w:p>
        </w:tc>
        <w:tc>
          <w:tcPr>
            <w:tcW w:w="203"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3"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16.58</w:t>
            </w:r>
          </w:p>
        </w:tc>
        <w:tc>
          <w:tcPr>
            <w:tcW w:w="203"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Diluted</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double" w:sz="6" w:space="0" w:color="000000"/>
              <w:right w:val="nil"/>
            </w:tcBorders>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3" w:type="dxa"/>
            <w:gridSpan w:val="2"/>
            <w:tcBorders>
              <w:top w:val="nil"/>
              <w:left w:val="nil"/>
              <w:bottom w:val="double" w:sz="6" w:space="0" w:color="000000"/>
              <w:right w:val="nil"/>
            </w:tcBorders>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17.74</w:t>
            </w:r>
          </w:p>
        </w:tc>
        <w:tc>
          <w:tcPr>
            <w:tcW w:w="203" w:type="dxa"/>
            <w:gridSpan w:val="2"/>
            <w:tcBorders>
              <w:top w:val="nil"/>
              <w:left w:val="nil"/>
              <w:bottom w:val="double" w:sz="6" w:space="0" w:color="000000"/>
              <w:right w:val="nil"/>
            </w:tcBorders>
            <w:tcMar>
              <w:top w:w="0" w:type="dxa"/>
              <w:left w:w="0" w:type="dxa"/>
              <w:bottom w:w="75"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double" w:sz="6" w:space="0" w:color="000000"/>
              <w:right w:val="nil"/>
            </w:tcBorders>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3" w:type="dxa"/>
            <w:gridSpan w:val="2"/>
            <w:tcBorders>
              <w:top w:val="nil"/>
              <w:left w:val="nil"/>
              <w:bottom w:val="double" w:sz="6" w:space="0" w:color="000000"/>
              <w:right w:val="nil"/>
            </w:tcBorders>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16.53</w:t>
            </w:r>
          </w:p>
        </w:tc>
        <w:tc>
          <w:tcPr>
            <w:tcW w:w="203" w:type="dxa"/>
            <w:gridSpan w:val="2"/>
            <w:tcBorders>
              <w:top w:val="nil"/>
              <w:left w:val="nil"/>
              <w:bottom w:val="double" w:sz="6" w:space="0" w:color="000000"/>
              <w:right w:val="nil"/>
            </w:tcBorders>
            <w:tcMar>
              <w:top w:w="0" w:type="dxa"/>
              <w:left w:w="0" w:type="dxa"/>
              <w:bottom w:w="75"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Weighted average shares:</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6"/>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Basic</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double" w:sz="6" w:space="0" w:color="000000"/>
              <w:right w:val="nil"/>
            </w:tcBorders>
            <w:tcMar>
              <w:top w:w="0" w:type="dxa"/>
              <w:left w:w="0" w:type="dxa"/>
              <w:bottom w:w="75"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double" w:sz="6" w:space="0" w:color="000000"/>
              <w:right w:val="nil"/>
            </w:tcBorders>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377</w:t>
            </w:r>
          </w:p>
        </w:tc>
        <w:tc>
          <w:tcPr>
            <w:tcW w:w="203" w:type="dxa"/>
            <w:gridSpan w:val="2"/>
            <w:tcBorders>
              <w:top w:val="nil"/>
              <w:left w:val="nil"/>
              <w:bottom w:val="double" w:sz="6" w:space="0" w:color="000000"/>
              <w:right w:val="nil"/>
            </w:tcBorders>
            <w:tcMar>
              <w:top w:w="0" w:type="dxa"/>
              <w:left w:w="0" w:type="dxa"/>
              <w:bottom w:w="75"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double" w:sz="6" w:space="0" w:color="000000"/>
              <w:right w:val="nil"/>
            </w:tcBorders>
            <w:tcMar>
              <w:top w:w="0" w:type="dxa"/>
              <w:left w:w="0" w:type="dxa"/>
              <w:bottom w:w="75"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double" w:sz="6" w:space="0" w:color="000000"/>
              <w:right w:val="nil"/>
            </w:tcBorders>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382</w:t>
            </w:r>
          </w:p>
        </w:tc>
        <w:tc>
          <w:tcPr>
            <w:tcW w:w="203" w:type="dxa"/>
            <w:gridSpan w:val="2"/>
            <w:tcBorders>
              <w:top w:val="nil"/>
              <w:left w:val="nil"/>
              <w:bottom w:val="double" w:sz="6" w:space="0" w:color="000000"/>
              <w:right w:val="nil"/>
            </w:tcBorders>
            <w:tcMar>
              <w:top w:w="0" w:type="dxa"/>
              <w:left w:w="0" w:type="dxa"/>
              <w:bottom w:w="75"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shd w:val="clear" w:color="auto" w:fill="CCEEFF"/>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Diluted</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378</w:t>
            </w:r>
          </w:p>
        </w:tc>
        <w:tc>
          <w:tcPr>
            <w:tcW w:w="203"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383</w:t>
            </w:r>
          </w:p>
        </w:tc>
        <w:tc>
          <w:tcPr>
            <w:tcW w:w="203"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b/>
                <w:bCs/>
                <w:color w:val="333333"/>
                <w:kern w:val="0"/>
                <w:sz w:val="24"/>
                <w:szCs w:val="24"/>
              </w:rPr>
              <w:t>Reconciliation of adjusted operating income and adjusted operating margin</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6"/>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GAAP operating income</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3"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7,746</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4"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17.4</w:t>
            </w:r>
          </w:p>
        </w:tc>
        <w:tc>
          <w:tcPr>
            <w:tcW w:w="265"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3"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7,337</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4"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17.1</w:t>
            </w:r>
          </w:p>
        </w:tc>
        <w:tc>
          <w:tcPr>
            <w:tcW w:w="265"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0935" w:type="dxa"/>
            <w:tcBorders>
              <w:top w:val="nil"/>
              <w:left w:val="nil"/>
              <w:bottom w:val="nil"/>
              <w:right w:val="nil"/>
            </w:tcBorders>
            <w:shd w:val="clear" w:color="auto" w:fill="CCEEFF"/>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Cost of revenues adjustments (a)</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64</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4"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0.1</w:t>
            </w:r>
          </w:p>
        </w:tc>
        <w:tc>
          <w:tcPr>
            <w:tcW w:w="265"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47</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4"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0.1</w:t>
            </w:r>
          </w:p>
        </w:tc>
        <w:tc>
          <w:tcPr>
            <w:tcW w:w="265"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0935" w:type="dxa"/>
            <w:tcBorders>
              <w:top w:val="nil"/>
              <w:left w:val="nil"/>
              <w:bottom w:val="nil"/>
              <w:right w:val="nil"/>
            </w:tcBorders>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Selling, general and administrative expenses adjustments (b)</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207</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4"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0.5</w:t>
            </w:r>
          </w:p>
        </w:tc>
        <w:tc>
          <w:tcPr>
            <w:tcW w:w="265"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(8</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1624"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0.0</w:t>
            </w:r>
          </w:p>
        </w:tc>
        <w:tc>
          <w:tcPr>
            <w:tcW w:w="265"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0935" w:type="dxa"/>
            <w:tcBorders>
              <w:top w:val="nil"/>
              <w:left w:val="nil"/>
              <w:bottom w:val="nil"/>
              <w:right w:val="nil"/>
            </w:tcBorders>
            <w:shd w:val="clear" w:color="auto" w:fill="CCEEFF"/>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Restructuring and other costs (c)</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362</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4"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0.8</w:t>
            </w:r>
          </w:p>
        </w:tc>
        <w:tc>
          <w:tcPr>
            <w:tcW w:w="265"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379</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4"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0.9</w:t>
            </w:r>
          </w:p>
        </w:tc>
        <w:tc>
          <w:tcPr>
            <w:tcW w:w="265"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0935" w:type="dxa"/>
            <w:tcBorders>
              <w:top w:val="nil"/>
              <w:left w:val="nil"/>
              <w:bottom w:val="nil"/>
              <w:right w:val="nil"/>
            </w:tcBorders>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Amortization of acquisition-related intangible assets</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1,730</w:t>
            </w:r>
          </w:p>
        </w:tc>
        <w:tc>
          <w:tcPr>
            <w:tcW w:w="20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4"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3.9</w:t>
            </w:r>
          </w:p>
        </w:tc>
        <w:tc>
          <w:tcPr>
            <w:tcW w:w="265"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1,952</w:t>
            </w:r>
          </w:p>
        </w:tc>
        <w:tc>
          <w:tcPr>
            <w:tcW w:w="20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4"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4.6</w:t>
            </w:r>
          </w:p>
        </w:tc>
        <w:tc>
          <w:tcPr>
            <w:tcW w:w="265"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0935" w:type="dxa"/>
            <w:tcBorders>
              <w:top w:val="nil"/>
              <w:left w:val="nil"/>
              <w:bottom w:val="nil"/>
              <w:right w:val="nil"/>
            </w:tcBorders>
            <w:shd w:val="clear" w:color="auto" w:fill="CCEEFF"/>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Adjusted operating income (non-GAAP measure)</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3"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10,109</w:t>
            </w:r>
          </w:p>
        </w:tc>
        <w:tc>
          <w:tcPr>
            <w:tcW w:w="203"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4"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22.7</w:t>
            </w:r>
          </w:p>
        </w:tc>
        <w:tc>
          <w:tcPr>
            <w:tcW w:w="265"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3"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9,707</w:t>
            </w:r>
          </w:p>
        </w:tc>
        <w:tc>
          <w:tcPr>
            <w:tcW w:w="203"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4"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22.6</w:t>
            </w:r>
          </w:p>
        </w:tc>
        <w:tc>
          <w:tcPr>
            <w:tcW w:w="265"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0935"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b/>
                <w:bCs/>
                <w:color w:val="333333"/>
                <w:kern w:val="0"/>
                <w:sz w:val="24"/>
                <w:szCs w:val="24"/>
              </w:rPr>
              <w:t>Reconciliation of adjusted net income</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6"/>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GAAP net income attributable to Thermo Fisher Scientific Inc.</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3"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6,704</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3"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6,335</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shd w:val="clear" w:color="auto" w:fill="CCEEFF"/>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Cost of revenues adjustments (a)</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64</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47</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Selling, general and administrative expenses adjustments (b)</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207</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(8</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shd w:val="clear" w:color="auto" w:fill="CCEEFF"/>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Restructuring and other costs (c)</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362</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379</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Amortization of acquisition-related intangible assets</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1,730</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1,952</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shd w:val="clear" w:color="auto" w:fill="CCEEFF"/>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Other income/expense adjustments (d)</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(6</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(19</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Income taxes adjustments (e)</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(458</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(329</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shd w:val="clear" w:color="auto" w:fill="CCEEFF"/>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Equity in earnings/losses of unconsolidated entities</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41</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42</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roofErr w:type="spellStart"/>
            <w:r w:rsidRPr="00C950DB">
              <w:rPr>
                <w:rFonts w:ascii="Arial" w:eastAsia="宋体" w:hAnsi="Arial" w:cs="Arial"/>
                <w:color w:val="333333"/>
                <w:kern w:val="0"/>
                <w:sz w:val="24"/>
                <w:szCs w:val="24"/>
              </w:rPr>
              <w:t>Noncontrolling</w:t>
            </w:r>
            <w:proofErr w:type="spellEnd"/>
            <w:r w:rsidRPr="00C950DB">
              <w:rPr>
                <w:rFonts w:ascii="Arial" w:eastAsia="宋体" w:hAnsi="Arial" w:cs="Arial"/>
                <w:color w:val="333333"/>
                <w:kern w:val="0"/>
                <w:sz w:val="24"/>
                <w:szCs w:val="24"/>
              </w:rPr>
              <w:t xml:space="preserve"> interests adjustments (f)</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w:t>
            </w:r>
          </w:p>
        </w:tc>
        <w:tc>
          <w:tcPr>
            <w:tcW w:w="20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(19</w:t>
            </w:r>
          </w:p>
        </w:tc>
        <w:tc>
          <w:tcPr>
            <w:tcW w:w="20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shd w:val="clear" w:color="auto" w:fill="CCEEFF"/>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Adjusted net income (non-GAAP measure)</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3"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8,642</w:t>
            </w:r>
          </w:p>
        </w:tc>
        <w:tc>
          <w:tcPr>
            <w:tcW w:w="203"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3"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8,380</w:t>
            </w:r>
          </w:p>
        </w:tc>
        <w:tc>
          <w:tcPr>
            <w:tcW w:w="203"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b/>
                <w:bCs/>
                <w:color w:val="333333"/>
                <w:kern w:val="0"/>
                <w:sz w:val="24"/>
                <w:szCs w:val="24"/>
              </w:rPr>
              <w:t>Reconciliation of adjusted earnings per share</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6"/>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GAAP diluted EPS attributable to Thermo Fisher Scientific Inc.</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3"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17.74</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3"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16.53</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shd w:val="clear" w:color="auto" w:fill="CCEEFF"/>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Cost of revenues adjustments (a)</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0.17</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0.12</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Selling, general and administrative expenses adjustments (b)</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0.55</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(0.02</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shd w:val="clear" w:color="auto" w:fill="CCEEFF"/>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Restructuring and other costs (c)</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0.96</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0.99</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Amortization of acquisition-related intangible assets</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4.58</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5.09</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shd w:val="clear" w:color="auto" w:fill="CCEEFF"/>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Other income/expense adjustments (d)</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(0.02</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(0.05</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Income taxes adjustments (e)</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(1.21</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(0.86</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shd w:val="clear" w:color="auto" w:fill="CCEEFF"/>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Equity in earnings/losses of unconsolidated entities</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0.11</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0.11</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roofErr w:type="spellStart"/>
            <w:r w:rsidRPr="00C950DB">
              <w:rPr>
                <w:rFonts w:ascii="Arial" w:eastAsia="宋体" w:hAnsi="Arial" w:cs="Arial"/>
                <w:color w:val="333333"/>
                <w:kern w:val="0"/>
                <w:sz w:val="24"/>
                <w:szCs w:val="24"/>
              </w:rPr>
              <w:t>Noncontrolling</w:t>
            </w:r>
            <w:proofErr w:type="spellEnd"/>
            <w:r w:rsidRPr="00C950DB">
              <w:rPr>
                <w:rFonts w:ascii="Arial" w:eastAsia="宋体" w:hAnsi="Arial" w:cs="Arial"/>
                <w:color w:val="333333"/>
                <w:kern w:val="0"/>
                <w:sz w:val="24"/>
                <w:szCs w:val="24"/>
              </w:rPr>
              <w:t xml:space="preserve"> interests adjustments (f)</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0.00</w:t>
            </w:r>
          </w:p>
        </w:tc>
        <w:tc>
          <w:tcPr>
            <w:tcW w:w="20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(0.05</w:t>
            </w:r>
          </w:p>
        </w:tc>
        <w:tc>
          <w:tcPr>
            <w:tcW w:w="20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shd w:val="clear" w:color="auto" w:fill="CCEEFF"/>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Adjusted EPS (non-GAAP measure)</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3"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22.87</w:t>
            </w:r>
          </w:p>
        </w:tc>
        <w:tc>
          <w:tcPr>
            <w:tcW w:w="203"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3"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21.86</w:t>
            </w:r>
          </w:p>
        </w:tc>
        <w:tc>
          <w:tcPr>
            <w:tcW w:w="203"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b/>
                <w:bCs/>
                <w:color w:val="333333"/>
                <w:kern w:val="0"/>
                <w:sz w:val="24"/>
                <w:szCs w:val="24"/>
              </w:rPr>
              <w:t>Reconciliation of free cash flow</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6"/>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GAAP net cash provided by operating activities</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3"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7,818</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3"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8,667</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shd w:val="clear" w:color="auto" w:fill="CCEEFF"/>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Purchases of property, plant and equipment</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(1,525</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(1,400</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Proceeds from sale of property, plant and equipment</w:t>
            </w: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44</w:t>
            </w:r>
          </w:p>
        </w:tc>
        <w:tc>
          <w:tcPr>
            <w:tcW w:w="20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57</w:t>
            </w:r>
          </w:p>
        </w:tc>
        <w:tc>
          <w:tcPr>
            <w:tcW w:w="20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35" w:type="dxa"/>
            <w:tcBorders>
              <w:top w:val="nil"/>
              <w:left w:val="nil"/>
              <w:bottom w:val="nil"/>
              <w:right w:val="nil"/>
            </w:tcBorders>
            <w:shd w:val="clear" w:color="auto" w:fill="CCEEFF"/>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Free cash flow (non-GAAP measure)</w:t>
            </w: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3"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6,337</w:t>
            </w:r>
          </w:p>
        </w:tc>
        <w:tc>
          <w:tcPr>
            <w:tcW w:w="203"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3"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7,324</w:t>
            </w:r>
          </w:p>
        </w:tc>
        <w:tc>
          <w:tcPr>
            <w:tcW w:w="203" w:type="dxa"/>
            <w:gridSpan w:val="2"/>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54"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25"/>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54"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b/>
                <w:bCs/>
                <w:color w:val="333333"/>
                <w:kern w:val="0"/>
                <w:sz w:val="24"/>
                <w:szCs w:val="24"/>
              </w:rPr>
              <w:t>Business Segment Information</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25"/>
            <w:tcBorders>
              <w:top w:val="nil"/>
              <w:left w:val="nil"/>
              <w:bottom w:val="single" w:sz="8" w:space="0" w:color="000000"/>
              <w:right w:val="nil"/>
            </w:tcBorders>
            <w:vAlign w:val="bottom"/>
            <w:hideMark/>
          </w:tcPr>
          <w:p w:rsidR="00C950DB" w:rsidRPr="00C950DB" w:rsidRDefault="00C950DB" w:rsidP="00C950DB">
            <w:pPr>
              <w:widowControl/>
              <w:jc w:val="center"/>
              <w:rPr>
                <w:rFonts w:ascii="Arial" w:eastAsia="宋体" w:hAnsi="Arial" w:cs="Arial"/>
                <w:color w:val="333333"/>
                <w:kern w:val="0"/>
                <w:sz w:val="24"/>
                <w:szCs w:val="24"/>
              </w:rPr>
            </w:pPr>
            <w:r w:rsidRPr="00C950DB">
              <w:rPr>
                <w:rFonts w:ascii="Arial" w:eastAsia="宋体" w:hAnsi="Arial" w:cs="Arial"/>
                <w:color w:val="333333"/>
                <w:kern w:val="0"/>
                <w:sz w:val="24"/>
                <w:szCs w:val="24"/>
              </w:rPr>
              <w:t>Year ended</w:t>
            </w:r>
          </w:p>
        </w:tc>
      </w:tr>
      <w:tr w:rsidR="00C950DB" w:rsidRPr="00C950DB" w:rsidTr="00C950DB">
        <w:tc>
          <w:tcPr>
            <w:tcW w:w="10954"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nil"/>
              <w:right w:val="nil"/>
            </w:tcBorders>
            <w:noWrap/>
            <w:vAlign w:val="bottom"/>
            <w:hideMark/>
          </w:tcPr>
          <w:p w:rsidR="00C950DB" w:rsidRPr="00C950DB" w:rsidRDefault="00C950DB" w:rsidP="00C950DB">
            <w:pPr>
              <w:widowControl/>
              <w:jc w:val="center"/>
              <w:rPr>
                <w:rFonts w:ascii="Arial" w:eastAsia="宋体" w:hAnsi="Arial" w:cs="Arial"/>
                <w:color w:val="333333"/>
                <w:kern w:val="0"/>
                <w:sz w:val="24"/>
                <w:szCs w:val="24"/>
              </w:rPr>
            </w:pPr>
            <w:r w:rsidRPr="00C950DB">
              <w:rPr>
                <w:rFonts w:ascii="Arial" w:eastAsia="宋体" w:hAnsi="Arial" w:cs="Arial"/>
                <w:color w:val="333333"/>
                <w:kern w:val="0"/>
                <w:sz w:val="24"/>
                <w:szCs w:val="24"/>
              </w:rPr>
              <w:t>December 31,</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4"/>
            <w:tcBorders>
              <w:top w:val="nil"/>
              <w:left w:val="nil"/>
              <w:bottom w:val="nil"/>
              <w:right w:val="nil"/>
            </w:tcBorders>
            <w:vAlign w:val="bottom"/>
            <w:hideMark/>
          </w:tcPr>
          <w:p w:rsidR="00C950DB" w:rsidRPr="00C950DB" w:rsidRDefault="00C950DB" w:rsidP="00C950DB">
            <w:pPr>
              <w:widowControl/>
              <w:jc w:val="center"/>
              <w:rPr>
                <w:rFonts w:ascii="Arial" w:eastAsia="宋体" w:hAnsi="Arial" w:cs="Arial"/>
                <w:color w:val="333333"/>
                <w:kern w:val="0"/>
                <w:sz w:val="24"/>
                <w:szCs w:val="24"/>
              </w:rPr>
            </w:pPr>
            <w:r w:rsidRPr="00C950DB">
              <w:rPr>
                <w:rFonts w:ascii="Arial" w:eastAsia="宋体" w:hAnsi="Arial" w:cs="Arial"/>
                <w:color w:val="333333"/>
                <w:kern w:val="0"/>
                <w:sz w:val="24"/>
                <w:szCs w:val="24"/>
              </w:rPr>
              <w:t>% of</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6"/>
            <w:tcBorders>
              <w:top w:val="nil"/>
              <w:left w:val="nil"/>
              <w:bottom w:val="nil"/>
              <w:right w:val="nil"/>
            </w:tcBorders>
            <w:noWrap/>
            <w:vAlign w:val="bottom"/>
            <w:hideMark/>
          </w:tcPr>
          <w:p w:rsidR="00C950DB" w:rsidRPr="00C950DB" w:rsidRDefault="00C950DB" w:rsidP="00C950DB">
            <w:pPr>
              <w:widowControl/>
              <w:jc w:val="center"/>
              <w:rPr>
                <w:rFonts w:ascii="Arial" w:eastAsia="宋体" w:hAnsi="Arial" w:cs="Arial"/>
                <w:color w:val="333333"/>
                <w:kern w:val="0"/>
                <w:sz w:val="24"/>
                <w:szCs w:val="24"/>
              </w:rPr>
            </w:pPr>
            <w:r w:rsidRPr="00C950DB">
              <w:rPr>
                <w:rFonts w:ascii="Arial" w:eastAsia="宋体" w:hAnsi="Arial" w:cs="Arial"/>
                <w:color w:val="333333"/>
                <w:kern w:val="0"/>
                <w:sz w:val="24"/>
                <w:szCs w:val="24"/>
              </w:rPr>
              <w:t>December 31,</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3"/>
            <w:tcBorders>
              <w:top w:val="nil"/>
              <w:left w:val="nil"/>
              <w:bottom w:val="nil"/>
              <w:right w:val="nil"/>
            </w:tcBorders>
            <w:vAlign w:val="bottom"/>
            <w:hideMark/>
          </w:tcPr>
          <w:p w:rsidR="00C950DB" w:rsidRPr="00C950DB" w:rsidRDefault="00C950DB" w:rsidP="00C950DB">
            <w:pPr>
              <w:widowControl/>
              <w:jc w:val="center"/>
              <w:rPr>
                <w:rFonts w:ascii="Arial" w:eastAsia="宋体" w:hAnsi="Arial" w:cs="Arial"/>
                <w:color w:val="333333"/>
                <w:kern w:val="0"/>
                <w:sz w:val="24"/>
                <w:szCs w:val="24"/>
              </w:rPr>
            </w:pPr>
            <w:r w:rsidRPr="00C950DB">
              <w:rPr>
                <w:rFonts w:ascii="Arial" w:eastAsia="宋体" w:hAnsi="Arial" w:cs="Arial"/>
                <w:color w:val="333333"/>
                <w:kern w:val="0"/>
                <w:sz w:val="24"/>
                <w:szCs w:val="24"/>
              </w:rPr>
              <w:t>% of</w:t>
            </w:r>
          </w:p>
        </w:tc>
      </w:tr>
      <w:tr w:rsidR="00C950DB" w:rsidRPr="00C950DB" w:rsidTr="00C950DB">
        <w:tc>
          <w:tcPr>
            <w:tcW w:w="10954" w:type="dxa"/>
            <w:gridSpan w:val="2"/>
            <w:tcBorders>
              <w:top w:val="nil"/>
              <w:left w:val="nil"/>
              <w:bottom w:val="single" w:sz="8" w:space="0" w:color="000000"/>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(Dollars in millions)</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4"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center"/>
              <w:rPr>
                <w:rFonts w:ascii="Arial" w:eastAsia="宋体" w:hAnsi="Arial" w:cs="Arial"/>
                <w:color w:val="333333"/>
                <w:kern w:val="0"/>
                <w:sz w:val="24"/>
                <w:szCs w:val="24"/>
              </w:rPr>
            </w:pPr>
            <w:r w:rsidRPr="00C950DB">
              <w:rPr>
                <w:rFonts w:ascii="Arial" w:eastAsia="宋体" w:hAnsi="Arial" w:cs="Arial"/>
                <w:color w:val="333333"/>
                <w:kern w:val="0"/>
                <w:sz w:val="24"/>
                <w:szCs w:val="24"/>
              </w:rPr>
              <w:t>2025</w:t>
            </w:r>
          </w:p>
        </w:tc>
        <w:tc>
          <w:tcPr>
            <w:tcW w:w="20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single" w:sz="8" w:space="0" w:color="000000"/>
              <w:right w:val="nil"/>
            </w:tcBorders>
            <w:vAlign w:val="bottom"/>
            <w:hideMark/>
          </w:tcPr>
          <w:p w:rsidR="00C950DB" w:rsidRPr="00C950DB" w:rsidRDefault="00C950DB" w:rsidP="00C950DB">
            <w:pPr>
              <w:widowControl/>
              <w:jc w:val="center"/>
              <w:rPr>
                <w:rFonts w:ascii="Arial" w:eastAsia="宋体" w:hAnsi="Arial" w:cs="Arial"/>
                <w:color w:val="333333"/>
                <w:kern w:val="0"/>
                <w:sz w:val="24"/>
                <w:szCs w:val="24"/>
              </w:rPr>
            </w:pPr>
            <w:r w:rsidRPr="00C950DB">
              <w:rPr>
                <w:rFonts w:ascii="Arial" w:eastAsia="宋体" w:hAnsi="Arial" w:cs="Arial"/>
                <w:color w:val="333333"/>
                <w:kern w:val="0"/>
                <w:sz w:val="24"/>
                <w:szCs w:val="24"/>
              </w:rPr>
              <w:t>Revenues</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4"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center"/>
              <w:rPr>
                <w:rFonts w:ascii="Arial" w:eastAsia="宋体" w:hAnsi="Arial" w:cs="Arial"/>
                <w:color w:val="333333"/>
                <w:kern w:val="0"/>
                <w:sz w:val="24"/>
                <w:szCs w:val="24"/>
              </w:rPr>
            </w:pPr>
            <w:r w:rsidRPr="00C950DB">
              <w:rPr>
                <w:rFonts w:ascii="Arial" w:eastAsia="宋体" w:hAnsi="Arial" w:cs="Arial"/>
                <w:color w:val="333333"/>
                <w:kern w:val="0"/>
                <w:sz w:val="24"/>
                <w:szCs w:val="24"/>
              </w:rPr>
              <w:t>2024</w:t>
            </w:r>
          </w:p>
        </w:tc>
        <w:tc>
          <w:tcPr>
            <w:tcW w:w="20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single" w:sz="8" w:space="0" w:color="000000"/>
              <w:right w:val="nil"/>
            </w:tcBorders>
            <w:vAlign w:val="bottom"/>
            <w:hideMark/>
          </w:tcPr>
          <w:p w:rsidR="00C950DB" w:rsidRPr="00C950DB" w:rsidRDefault="00C950DB" w:rsidP="00C950DB">
            <w:pPr>
              <w:widowControl/>
              <w:jc w:val="center"/>
              <w:rPr>
                <w:rFonts w:ascii="Arial" w:eastAsia="宋体" w:hAnsi="Arial" w:cs="Arial"/>
                <w:color w:val="333333"/>
                <w:kern w:val="0"/>
                <w:sz w:val="24"/>
                <w:szCs w:val="24"/>
              </w:rPr>
            </w:pPr>
            <w:r w:rsidRPr="00C950DB">
              <w:rPr>
                <w:rFonts w:ascii="Arial" w:eastAsia="宋体" w:hAnsi="Arial" w:cs="Arial"/>
                <w:color w:val="333333"/>
                <w:kern w:val="0"/>
                <w:sz w:val="24"/>
                <w:szCs w:val="24"/>
              </w:rPr>
              <w:t>Revenues</w:t>
            </w:r>
          </w:p>
        </w:tc>
      </w:tr>
      <w:tr w:rsidR="00C950DB" w:rsidRPr="00C950DB" w:rsidTr="00C950DB">
        <w:tc>
          <w:tcPr>
            <w:tcW w:w="10954"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5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b/>
                <w:bCs/>
                <w:color w:val="333333"/>
                <w:kern w:val="0"/>
                <w:sz w:val="24"/>
                <w:szCs w:val="24"/>
              </w:rPr>
              <w:t>Revenues</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6"/>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54" w:type="dxa"/>
            <w:gridSpan w:val="2"/>
            <w:tcBorders>
              <w:top w:val="nil"/>
              <w:left w:val="nil"/>
              <w:bottom w:val="nil"/>
              <w:right w:val="nil"/>
            </w:tcBorders>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Life Sciences Solutions</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4"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10,374</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6"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23.3</w:t>
            </w:r>
          </w:p>
        </w:tc>
        <w:tc>
          <w:tcPr>
            <w:tcW w:w="250"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4"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9,631</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6"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22.5</w:t>
            </w:r>
          </w:p>
        </w:tc>
        <w:tc>
          <w:tcPr>
            <w:tcW w:w="251"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0954" w:type="dxa"/>
            <w:gridSpan w:val="2"/>
            <w:tcBorders>
              <w:top w:val="nil"/>
              <w:left w:val="nil"/>
              <w:bottom w:val="nil"/>
              <w:right w:val="nil"/>
            </w:tcBorders>
            <w:shd w:val="clear" w:color="auto" w:fill="CCEEFF"/>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Analytical Instruments</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4"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7,554</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6"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17.0</w:t>
            </w:r>
          </w:p>
        </w:tc>
        <w:tc>
          <w:tcPr>
            <w:tcW w:w="250"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4"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7,463</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6"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17.4</w:t>
            </w:r>
          </w:p>
        </w:tc>
        <w:tc>
          <w:tcPr>
            <w:tcW w:w="251"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0954" w:type="dxa"/>
            <w:gridSpan w:val="2"/>
            <w:tcBorders>
              <w:top w:val="nil"/>
              <w:left w:val="nil"/>
              <w:bottom w:val="nil"/>
              <w:right w:val="nil"/>
            </w:tcBorders>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Specialty Diagnostics</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4"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4,676</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6"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10.5</w:t>
            </w:r>
          </w:p>
        </w:tc>
        <w:tc>
          <w:tcPr>
            <w:tcW w:w="250"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4"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4,512</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6"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10.5</w:t>
            </w:r>
          </w:p>
        </w:tc>
        <w:tc>
          <w:tcPr>
            <w:tcW w:w="251"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0954" w:type="dxa"/>
            <w:gridSpan w:val="2"/>
            <w:tcBorders>
              <w:top w:val="nil"/>
              <w:left w:val="nil"/>
              <w:bottom w:val="nil"/>
              <w:right w:val="nil"/>
            </w:tcBorders>
            <w:shd w:val="clear" w:color="auto" w:fill="CCEEFF"/>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 xml:space="preserve">Laboratory Products and </w:t>
            </w:r>
            <w:proofErr w:type="spellStart"/>
            <w:r w:rsidRPr="00C950DB">
              <w:rPr>
                <w:rFonts w:ascii="Arial" w:eastAsia="宋体" w:hAnsi="Arial" w:cs="Arial"/>
                <w:color w:val="333333"/>
                <w:kern w:val="0"/>
                <w:sz w:val="24"/>
                <w:szCs w:val="24"/>
              </w:rPr>
              <w:t>Biopharma</w:t>
            </w:r>
            <w:proofErr w:type="spellEnd"/>
            <w:r w:rsidRPr="00C950DB">
              <w:rPr>
                <w:rFonts w:ascii="Arial" w:eastAsia="宋体" w:hAnsi="Arial" w:cs="Arial"/>
                <w:color w:val="333333"/>
                <w:kern w:val="0"/>
                <w:sz w:val="24"/>
                <w:szCs w:val="24"/>
              </w:rPr>
              <w:t xml:space="preserve"> Services</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4"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23,984</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6"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53.8</w:t>
            </w:r>
          </w:p>
        </w:tc>
        <w:tc>
          <w:tcPr>
            <w:tcW w:w="250"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4"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23,157</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6"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54.0</w:t>
            </w:r>
          </w:p>
        </w:tc>
        <w:tc>
          <w:tcPr>
            <w:tcW w:w="251"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0954" w:type="dxa"/>
            <w:gridSpan w:val="2"/>
            <w:tcBorders>
              <w:top w:val="nil"/>
              <w:left w:val="nil"/>
              <w:bottom w:val="nil"/>
              <w:right w:val="nil"/>
            </w:tcBorders>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Eliminations</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4"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(2,033</w:t>
            </w:r>
          </w:p>
        </w:tc>
        <w:tc>
          <w:tcPr>
            <w:tcW w:w="20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1626"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-4.6</w:t>
            </w:r>
          </w:p>
        </w:tc>
        <w:tc>
          <w:tcPr>
            <w:tcW w:w="250"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4"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(1,885</w:t>
            </w:r>
          </w:p>
        </w:tc>
        <w:tc>
          <w:tcPr>
            <w:tcW w:w="20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1626"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-4.4</w:t>
            </w:r>
          </w:p>
        </w:tc>
        <w:tc>
          <w:tcPr>
            <w:tcW w:w="251" w:type="dxa"/>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0954" w:type="dxa"/>
            <w:gridSpan w:val="2"/>
            <w:tcBorders>
              <w:top w:val="nil"/>
              <w:left w:val="nil"/>
              <w:bottom w:val="nil"/>
              <w:right w:val="nil"/>
            </w:tcBorders>
            <w:shd w:val="clear" w:color="auto" w:fill="CCEEFF"/>
            <w:tcMar>
              <w:top w:w="0" w:type="dxa"/>
              <w:left w:w="45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Consolidated revenues</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4"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44,556</w:t>
            </w:r>
          </w:p>
        </w:tc>
        <w:tc>
          <w:tcPr>
            <w:tcW w:w="203"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6"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100.0</w:t>
            </w:r>
          </w:p>
        </w:tc>
        <w:tc>
          <w:tcPr>
            <w:tcW w:w="250"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4"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42,879</w:t>
            </w:r>
          </w:p>
        </w:tc>
        <w:tc>
          <w:tcPr>
            <w:tcW w:w="203"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6"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100.0</w:t>
            </w:r>
          </w:p>
        </w:tc>
        <w:tc>
          <w:tcPr>
            <w:tcW w:w="25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0954"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5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b/>
                <w:bCs/>
                <w:color w:val="333333"/>
                <w:kern w:val="0"/>
                <w:sz w:val="24"/>
                <w:szCs w:val="24"/>
              </w:rPr>
              <w:t>Segment income and segment income margin</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6"/>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0954" w:type="dxa"/>
            <w:gridSpan w:val="2"/>
            <w:tcBorders>
              <w:top w:val="nil"/>
              <w:left w:val="nil"/>
              <w:bottom w:val="nil"/>
              <w:right w:val="nil"/>
            </w:tcBorders>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Life Sciences Solutions</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4"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3,768</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6"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36.3</w:t>
            </w:r>
          </w:p>
        </w:tc>
        <w:tc>
          <w:tcPr>
            <w:tcW w:w="250"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4"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3,503</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6"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36.4</w:t>
            </w:r>
          </w:p>
        </w:tc>
        <w:tc>
          <w:tcPr>
            <w:tcW w:w="251"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0954" w:type="dxa"/>
            <w:gridSpan w:val="2"/>
            <w:tcBorders>
              <w:top w:val="nil"/>
              <w:left w:val="nil"/>
              <w:bottom w:val="nil"/>
              <w:right w:val="nil"/>
            </w:tcBorders>
            <w:shd w:val="clear" w:color="auto" w:fill="CCEEFF"/>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Analytical Instruments</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4"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1,736</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6"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23.0</w:t>
            </w:r>
          </w:p>
        </w:tc>
        <w:tc>
          <w:tcPr>
            <w:tcW w:w="250"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4"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1,955</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6"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26.2</w:t>
            </w:r>
          </w:p>
        </w:tc>
        <w:tc>
          <w:tcPr>
            <w:tcW w:w="251"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0954" w:type="dxa"/>
            <w:gridSpan w:val="2"/>
            <w:tcBorders>
              <w:top w:val="nil"/>
              <w:left w:val="nil"/>
              <w:bottom w:val="nil"/>
              <w:right w:val="nil"/>
            </w:tcBorders>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Specialty Diagnostics</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4"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1,256</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6"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26.9</w:t>
            </w:r>
          </w:p>
        </w:tc>
        <w:tc>
          <w:tcPr>
            <w:tcW w:w="250"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4"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1,159</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6"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25.7</w:t>
            </w:r>
          </w:p>
        </w:tc>
        <w:tc>
          <w:tcPr>
            <w:tcW w:w="251"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0954" w:type="dxa"/>
            <w:gridSpan w:val="2"/>
            <w:tcBorders>
              <w:top w:val="nil"/>
              <w:left w:val="nil"/>
              <w:bottom w:val="nil"/>
              <w:right w:val="nil"/>
            </w:tcBorders>
            <w:shd w:val="clear" w:color="auto" w:fill="CCEEFF"/>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 xml:space="preserve">Laboratory Products and </w:t>
            </w:r>
            <w:proofErr w:type="spellStart"/>
            <w:r w:rsidRPr="00C950DB">
              <w:rPr>
                <w:rFonts w:ascii="Arial" w:eastAsia="宋体" w:hAnsi="Arial" w:cs="Arial"/>
                <w:color w:val="333333"/>
                <w:kern w:val="0"/>
                <w:sz w:val="24"/>
                <w:szCs w:val="24"/>
              </w:rPr>
              <w:t>Biopharma</w:t>
            </w:r>
            <w:proofErr w:type="spellEnd"/>
            <w:r w:rsidRPr="00C950DB">
              <w:rPr>
                <w:rFonts w:ascii="Arial" w:eastAsia="宋体" w:hAnsi="Arial" w:cs="Arial"/>
                <w:color w:val="333333"/>
                <w:kern w:val="0"/>
                <w:sz w:val="24"/>
                <w:szCs w:val="24"/>
              </w:rPr>
              <w:t xml:space="preserve"> Services</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4"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3,350</w:t>
            </w:r>
          </w:p>
        </w:tc>
        <w:tc>
          <w:tcPr>
            <w:tcW w:w="203"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6"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14.0</w:t>
            </w:r>
          </w:p>
        </w:tc>
        <w:tc>
          <w:tcPr>
            <w:tcW w:w="250"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4"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3,090</w:t>
            </w:r>
          </w:p>
        </w:tc>
        <w:tc>
          <w:tcPr>
            <w:tcW w:w="203"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6"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13.3</w:t>
            </w:r>
          </w:p>
        </w:tc>
        <w:tc>
          <w:tcPr>
            <w:tcW w:w="251"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0954" w:type="dxa"/>
            <w:gridSpan w:val="2"/>
            <w:tcBorders>
              <w:top w:val="nil"/>
              <w:left w:val="nil"/>
              <w:bottom w:val="nil"/>
              <w:right w:val="nil"/>
            </w:tcBorders>
            <w:tcMar>
              <w:top w:w="0" w:type="dxa"/>
              <w:left w:w="45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Subtotal reportable segments</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4"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10,109</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6"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22.7</w:t>
            </w:r>
          </w:p>
        </w:tc>
        <w:tc>
          <w:tcPr>
            <w:tcW w:w="250"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4"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9,707</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6"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22.6</w:t>
            </w:r>
          </w:p>
        </w:tc>
        <w:tc>
          <w:tcPr>
            <w:tcW w:w="251"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0954" w:type="dxa"/>
            <w:gridSpan w:val="2"/>
            <w:tcBorders>
              <w:top w:val="nil"/>
              <w:left w:val="nil"/>
              <w:bottom w:val="nil"/>
              <w:right w:val="nil"/>
            </w:tcBorders>
            <w:shd w:val="clear" w:color="auto" w:fill="CCEEFF"/>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Cost of revenues adjustments (a)</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4"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(64</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1626"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-0.1</w:t>
            </w:r>
          </w:p>
        </w:tc>
        <w:tc>
          <w:tcPr>
            <w:tcW w:w="250"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4"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(47</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1626"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-0.1</w:t>
            </w:r>
          </w:p>
        </w:tc>
        <w:tc>
          <w:tcPr>
            <w:tcW w:w="251"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0954" w:type="dxa"/>
            <w:gridSpan w:val="2"/>
            <w:tcBorders>
              <w:top w:val="nil"/>
              <w:left w:val="nil"/>
              <w:bottom w:val="nil"/>
              <w:right w:val="nil"/>
            </w:tcBorders>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Selling, general and administrative expenses adjustments (b)</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4"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(207</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1626"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-0.5</w:t>
            </w:r>
          </w:p>
        </w:tc>
        <w:tc>
          <w:tcPr>
            <w:tcW w:w="250"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4"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8</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6" w:type="dxa"/>
            <w:gridSpan w:val="2"/>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0.0</w:t>
            </w:r>
          </w:p>
        </w:tc>
        <w:tc>
          <w:tcPr>
            <w:tcW w:w="251"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0954" w:type="dxa"/>
            <w:gridSpan w:val="2"/>
            <w:tcBorders>
              <w:top w:val="nil"/>
              <w:left w:val="nil"/>
              <w:bottom w:val="nil"/>
              <w:right w:val="nil"/>
            </w:tcBorders>
            <w:shd w:val="clear" w:color="auto" w:fill="CCEEFF"/>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Restructuring and other costs (c)</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4"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(362</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1626"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-0.8</w:t>
            </w:r>
          </w:p>
        </w:tc>
        <w:tc>
          <w:tcPr>
            <w:tcW w:w="250"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4"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(379</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1626" w:type="dxa"/>
            <w:gridSpan w:val="2"/>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-0.9</w:t>
            </w:r>
          </w:p>
        </w:tc>
        <w:tc>
          <w:tcPr>
            <w:tcW w:w="251"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0954" w:type="dxa"/>
            <w:gridSpan w:val="2"/>
            <w:tcBorders>
              <w:top w:val="nil"/>
              <w:left w:val="nil"/>
              <w:bottom w:val="nil"/>
              <w:right w:val="nil"/>
            </w:tcBorders>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Amortization of acquisition-related intangible assets</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4"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(1,730</w:t>
            </w:r>
          </w:p>
        </w:tc>
        <w:tc>
          <w:tcPr>
            <w:tcW w:w="20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1626"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-3.9</w:t>
            </w:r>
          </w:p>
        </w:tc>
        <w:tc>
          <w:tcPr>
            <w:tcW w:w="250"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34"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(1,952</w:t>
            </w:r>
          </w:p>
        </w:tc>
        <w:tc>
          <w:tcPr>
            <w:tcW w:w="203"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1626" w:type="dxa"/>
            <w:gridSpan w:val="2"/>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-4.6</w:t>
            </w:r>
          </w:p>
        </w:tc>
        <w:tc>
          <w:tcPr>
            <w:tcW w:w="251" w:type="dxa"/>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0954" w:type="dxa"/>
            <w:gridSpan w:val="2"/>
            <w:tcBorders>
              <w:top w:val="nil"/>
              <w:left w:val="nil"/>
              <w:bottom w:val="nil"/>
              <w:right w:val="nil"/>
            </w:tcBorders>
            <w:shd w:val="clear" w:color="auto" w:fill="CCEEFF"/>
            <w:tcMar>
              <w:top w:w="0" w:type="dxa"/>
              <w:left w:w="45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Consolidated GAAP operating income</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4"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7,746</w:t>
            </w:r>
          </w:p>
        </w:tc>
        <w:tc>
          <w:tcPr>
            <w:tcW w:w="203"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6"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17.4</w:t>
            </w:r>
          </w:p>
        </w:tc>
        <w:tc>
          <w:tcPr>
            <w:tcW w:w="250"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34"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7,337</w:t>
            </w:r>
          </w:p>
        </w:tc>
        <w:tc>
          <w:tcPr>
            <w:tcW w:w="203"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3"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1626" w:type="dxa"/>
            <w:gridSpan w:val="2"/>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17.1</w:t>
            </w:r>
          </w:p>
        </w:tc>
        <w:tc>
          <w:tcPr>
            <w:tcW w:w="25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bl>
    <w:p w:rsidR="00C950DB" w:rsidRPr="00C950DB" w:rsidRDefault="00C950DB" w:rsidP="00C950DB">
      <w:pPr>
        <w:widowControl/>
        <w:jc w:val="left"/>
        <w:rPr>
          <w:rFonts w:ascii="Arial" w:eastAsia="宋体" w:hAnsi="Arial" w:cs="Arial"/>
          <w:vanish/>
          <w:color w:val="333333"/>
          <w:kern w:val="0"/>
          <w:sz w:val="24"/>
          <w:szCs w:val="24"/>
        </w:rPr>
      </w:pPr>
    </w:p>
    <w:tbl>
      <w:tblPr>
        <w:tblW w:w="0" w:type="auto"/>
        <w:tblCellMar>
          <w:left w:w="0" w:type="dxa"/>
          <w:right w:w="0" w:type="dxa"/>
        </w:tblCellMar>
        <w:tblLook w:val="04A0" w:firstRow="1" w:lastRow="0" w:firstColumn="1" w:lastColumn="0" w:noHBand="0" w:noVBand="1"/>
      </w:tblPr>
      <w:tblGrid>
        <w:gridCol w:w="8306"/>
        <w:gridCol w:w="6586"/>
        <w:gridCol w:w="204"/>
        <w:gridCol w:w="4488"/>
        <w:gridCol w:w="816"/>
      </w:tblGrid>
      <w:tr w:rsidR="00C950DB" w:rsidRPr="00C950DB" w:rsidTr="00C950DB">
        <w:trPr>
          <w:gridAfter w:val="4"/>
          <w:wAfter w:w="12094" w:type="dxa"/>
        </w:trPr>
        <w:tc>
          <w:tcPr>
            <w:tcW w:w="0" w:type="auto"/>
            <w:tcBorders>
              <w:top w:val="nil"/>
              <w:left w:val="nil"/>
              <w:bottom w:val="nil"/>
              <w:right w:val="nil"/>
            </w:tcBorders>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(a) Adjusted results exclude accelerated depreciation on manufacturing assets to be abandoned due to facility consolidations and charges for the sale of inventory revalued at the date of acquisition. Adjusted results in 2025 exclude $4 of transaction-related costs. Adjusted results in 2024 also exclude $13 of charges for inventory write-downs associated with large-scale abandonment of product lines.</w:t>
            </w:r>
          </w:p>
        </w:tc>
      </w:tr>
      <w:tr w:rsidR="00C950DB" w:rsidRPr="00C950DB" w:rsidTr="00C950DB">
        <w:trPr>
          <w:gridAfter w:val="4"/>
          <w:wAfter w:w="12094" w:type="dxa"/>
        </w:trPr>
        <w:tc>
          <w:tcPr>
            <w:tcW w:w="0" w:type="auto"/>
            <w:tcBorders>
              <w:top w:val="nil"/>
              <w:left w:val="nil"/>
              <w:bottom w:val="nil"/>
              <w:right w:val="nil"/>
            </w:tcBorders>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(b) Adjusted results exclude certain third-party expenses, principally transaction/integration costs, charges/credits for changes in estimates of contingent acquisition consideration, charges associated with product liability litigation, and accelerated depreciation on fixed assets to be abandoned due to facility consolidations.</w:t>
            </w:r>
          </w:p>
        </w:tc>
      </w:tr>
      <w:tr w:rsidR="00C950DB" w:rsidRPr="00C950DB" w:rsidTr="00C950DB">
        <w:trPr>
          <w:gridAfter w:val="4"/>
          <w:wAfter w:w="12094" w:type="dxa"/>
        </w:trPr>
        <w:tc>
          <w:tcPr>
            <w:tcW w:w="0" w:type="auto"/>
            <w:tcBorders>
              <w:top w:val="nil"/>
              <w:left w:val="nil"/>
              <w:bottom w:val="nil"/>
              <w:right w:val="nil"/>
            </w:tcBorders>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(c) Adjusted results exclude restructuring and other costs consisting principally of severance, impairments of long-lived assets, net charges/credits for pre-acquisition litigation and other matters, net gains/losses on the sale of real estate, charges for environmental-related matters, and abandoned facility and other expenses of headcount reductions and real estate consolidations. Adjusted results in 2025 also exclude $51 of charges for disposition of a consolidated joint venture.</w:t>
            </w:r>
          </w:p>
        </w:tc>
      </w:tr>
      <w:tr w:rsidR="00C950DB" w:rsidRPr="00C950DB" w:rsidTr="00C950DB">
        <w:trPr>
          <w:gridAfter w:val="4"/>
          <w:wAfter w:w="12094" w:type="dxa"/>
        </w:trPr>
        <w:tc>
          <w:tcPr>
            <w:tcW w:w="0" w:type="auto"/>
            <w:tcBorders>
              <w:top w:val="nil"/>
              <w:left w:val="nil"/>
              <w:bottom w:val="nil"/>
              <w:right w:val="nil"/>
            </w:tcBorders>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(d) Adjusted results exclude net gains/losses on investments. Adjusted results in 2025 also exclude $8 of settlement charges for pension plans.</w:t>
            </w:r>
          </w:p>
        </w:tc>
      </w:tr>
      <w:tr w:rsidR="00C950DB" w:rsidRPr="00C950DB" w:rsidTr="00C950DB">
        <w:trPr>
          <w:gridAfter w:val="4"/>
          <w:wAfter w:w="12094" w:type="dxa"/>
        </w:trPr>
        <w:tc>
          <w:tcPr>
            <w:tcW w:w="0" w:type="auto"/>
            <w:tcBorders>
              <w:top w:val="nil"/>
              <w:left w:val="nil"/>
              <w:bottom w:val="nil"/>
              <w:right w:val="nil"/>
            </w:tcBorders>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(e) Adjusted results exclude incremental tax impacts for the reconciling items between GAAP and adjusted net income, incremental tax impacts as a result of tax rate/law changes and the tax impacts from audit settlements.</w:t>
            </w:r>
          </w:p>
        </w:tc>
      </w:tr>
      <w:tr w:rsidR="00C950DB" w:rsidRPr="00C950DB" w:rsidTr="00C950DB">
        <w:trPr>
          <w:gridAfter w:val="4"/>
          <w:wAfter w:w="12094" w:type="dxa"/>
        </w:trPr>
        <w:tc>
          <w:tcPr>
            <w:tcW w:w="0" w:type="auto"/>
            <w:tcBorders>
              <w:top w:val="nil"/>
              <w:left w:val="nil"/>
              <w:bottom w:val="nil"/>
              <w:right w:val="nil"/>
            </w:tcBorders>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 xml:space="preserve">(f) Adjusted results exclude the incremental impacts for the reconciling items between GAAP and adjusted net income attributable to </w:t>
            </w:r>
            <w:proofErr w:type="spellStart"/>
            <w:r w:rsidRPr="00C950DB">
              <w:rPr>
                <w:rFonts w:ascii="Arial" w:eastAsia="宋体" w:hAnsi="Arial" w:cs="Arial"/>
                <w:color w:val="333333"/>
                <w:kern w:val="0"/>
                <w:sz w:val="24"/>
                <w:szCs w:val="24"/>
              </w:rPr>
              <w:t>noncontrolling</w:t>
            </w:r>
            <w:proofErr w:type="spellEnd"/>
            <w:r w:rsidRPr="00C950DB">
              <w:rPr>
                <w:rFonts w:ascii="Arial" w:eastAsia="宋体" w:hAnsi="Arial" w:cs="Arial"/>
                <w:color w:val="333333"/>
                <w:kern w:val="0"/>
                <w:sz w:val="24"/>
                <w:szCs w:val="24"/>
              </w:rPr>
              <w:t xml:space="preserve"> interests.</w:t>
            </w:r>
          </w:p>
        </w:tc>
      </w:tr>
      <w:tr w:rsidR="00C950DB" w:rsidRPr="00C950DB" w:rsidTr="00C950DB">
        <w:trPr>
          <w:gridAfter w:val="4"/>
          <w:wAfter w:w="12094" w:type="dxa"/>
        </w:trPr>
        <w:tc>
          <w:tcPr>
            <w:tcW w:w="0" w:type="auto"/>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r>
      <w:tr w:rsidR="00C950DB" w:rsidRPr="00C950DB" w:rsidTr="00C950DB">
        <w:trPr>
          <w:gridAfter w:val="4"/>
          <w:wAfter w:w="12094" w:type="dxa"/>
        </w:trPr>
        <w:tc>
          <w:tcPr>
            <w:tcW w:w="0" w:type="auto"/>
            <w:tcBorders>
              <w:top w:val="nil"/>
              <w:left w:val="nil"/>
              <w:bottom w:val="nil"/>
              <w:right w:val="nil"/>
            </w:tcBorders>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Note:</w:t>
            </w:r>
          </w:p>
        </w:tc>
      </w:tr>
      <w:tr w:rsidR="00C950DB" w:rsidRPr="00C950DB" w:rsidTr="00C950DB">
        <w:trPr>
          <w:gridAfter w:val="4"/>
          <w:wAfter w:w="12094" w:type="dxa"/>
        </w:trPr>
        <w:tc>
          <w:tcPr>
            <w:tcW w:w="0" w:type="auto"/>
            <w:tcBorders>
              <w:top w:val="nil"/>
              <w:left w:val="nil"/>
              <w:bottom w:val="nil"/>
              <w:right w:val="nil"/>
            </w:tcBorders>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Consolidated depreciation expense is $1,050 and $1,156 in 2025 and 2024, respectively.</w:t>
            </w:r>
          </w:p>
        </w:tc>
      </w:tr>
      <w:tr w:rsidR="00C950DB" w:rsidRPr="00C950DB" w:rsidTr="00C950DB">
        <w:tc>
          <w:tcPr>
            <w:tcW w:w="1489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489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b/>
                <w:bCs/>
                <w:color w:val="333333"/>
                <w:kern w:val="0"/>
                <w:sz w:val="24"/>
                <w:szCs w:val="24"/>
              </w:rPr>
              <w:t>Organic revenue growth</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2"/>
            <w:tcBorders>
              <w:top w:val="nil"/>
              <w:left w:val="nil"/>
              <w:bottom w:val="nil"/>
              <w:right w:val="nil"/>
            </w:tcBorders>
            <w:vAlign w:val="bottom"/>
            <w:hideMark/>
          </w:tcPr>
          <w:p w:rsidR="00C950DB" w:rsidRPr="00C950DB" w:rsidRDefault="00C950DB" w:rsidP="00C950DB">
            <w:pPr>
              <w:widowControl/>
              <w:jc w:val="center"/>
              <w:rPr>
                <w:rFonts w:ascii="Arial" w:eastAsia="宋体" w:hAnsi="Arial" w:cs="Arial"/>
                <w:color w:val="333333"/>
                <w:kern w:val="0"/>
                <w:sz w:val="24"/>
                <w:szCs w:val="24"/>
              </w:rPr>
            </w:pPr>
            <w:r w:rsidRPr="00C950DB">
              <w:rPr>
                <w:rFonts w:ascii="Arial" w:eastAsia="宋体" w:hAnsi="Arial" w:cs="Arial"/>
                <w:color w:val="333333"/>
                <w:kern w:val="0"/>
                <w:sz w:val="24"/>
                <w:szCs w:val="24"/>
              </w:rPr>
              <w:t>Year ended</w:t>
            </w:r>
          </w:p>
        </w:tc>
      </w:tr>
      <w:tr w:rsidR="00C950DB" w:rsidRPr="00C950DB" w:rsidTr="00C950DB">
        <w:tc>
          <w:tcPr>
            <w:tcW w:w="1489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single" w:sz="8" w:space="0" w:color="000000"/>
              <w:right w:val="nil"/>
            </w:tcBorders>
            <w:noWrap/>
            <w:vAlign w:val="bottom"/>
            <w:hideMark/>
          </w:tcPr>
          <w:p w:rsidR="00C950DB" w:rsidRPr="00C950DB" w:rsidRDefault="00C950DB" w:rsidP="00C950DB">
            <w:pPr>
              <w:widowControl/>
              <w:jc w:val="center"/>
              <w:rPr>
                <w:rFonts w:ascii="Arial" w:eastAsia="宋体" w:hAnsi="Arial" w:cs="Arial"/>
                <w:color w:val="333333"/>
                <w:kern w:val="0"/>
                <w:sz w:val="24"/>
                <w:szCs w:val="24"/>
              </w:rPr>
            </w:pPr>
            <w:r w:rsidRPr="00C950DB">
              <w:rPr>
                <w:rFonts w:ascii="Arial" w:eastAsia="宋体" w:hAnsi="Arial" w:cs="Arial"/>
                <w:color w:val="333333"/>
                <w:kern w:val="0"/>
                <w:sz w:val="24"/>
                <w:szCs w:val="24"/>
              </w:rPr>
              <w:t>December 31, 2025</w:t>
            </w:r>
          </w:p>
        </w:tc>
      </w:tr>
      <w:tr w:rsidR="00C950DB" w:rsidRPr="00C950DB" w:rsidTr="00C950DB">
        <w:tc>
          <w:tcPr>
            <w:tcW w:w="1489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b/>
                <w:bCs/>
                <w:color w:val="333333"/>
                <w:kern w:val="0"/>
                <w:sz w:val="24"/>
                <w:szCs w:val="24"/>
              </w:rPr>
              <w:t>Revenue growth</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4488" w:type="dxa"/>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4</w:t>
            </w:r>
          </w:p>
        </w:tc>
        <w:tc>
          <w:tcPr>
            <w:tcW w:w="816"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489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Acquisitions</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4488" w:type="dxa"/>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w:t>
            </w:r>
          </w:p>
        </w:tc>
        <w:tc>
          <w:tcPr>
            <w:tcW w:w="816"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4892" w:type="dxa"/>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Currency translation</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4488"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w:t>
            </w:r>
          </w:p>
        </w:tc>
        <w:tc>
          <w:tcPr>
            <w:tcW w:w="816"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489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b/>
                <w:bCs/>
                <w:color w:val="333333"/>
                <w:kern w:val="0"/>
                <w:sz w:val="24"/>
                <w:szCs w:val="24"/>
              </w:rPr>
              <w:t>Organic revenue growth (non-GAAP measure)</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4488" w:type="dxa"/>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w:t>
            </w:r>
          </w:p>
        </w:tc>
        <w:tc>
          <w:tcPr>
            <w:tcW w:w="816" w:type="dxa"/>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4892" w:type="dxa"/>
            <w:gridSpan w:val="2"/>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0" w:type="auto"/>
            <w:gridSpan w:val="5"/>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Note:</w:t>
            </w:r>
          </w:p>
        </w:tc>
      </w:tr>
      <w:tr w:rsidR="00C950DB" w:rsidRPr="00C950DB" w:rsidTr="00C950DB">
        <w:tc>
          <w:tcPr>
            <w:tcW w:w="0" w:type="auto"/>
            <w:gridSpan w:val="5"/>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For more information related to non-GAAP financial measures, refer to the section titled “Supplemental Information Regarding Non-GAAP Financial Measures” of this release.</w:t>
            </w:r>
          </w:p>
        </w:tc>
      </w:tr>
    </w:tbl>
    <w:p w:rsidR="00C950DB" w:rsidRPr="00C950DB" w:rsidRDefault="00C950DB" w:rsidP="00C950DB">
      <w:pPr>
        <w:widowControl/>
        <w:jc w:val="left"/>
        <w:rPr>
          <w:rFonts w:ascii="Arial" w:eastAsia="宋体" w:hAnsi="Arial" w:cs="Arial"/>
          <w:vanish/>
          <w:color w:val="333333"/>
          <w:kern w:val="0"/>
          <w:sz w:val="24"/>
          <w:szCs w:val="24"/>
        </w:rPr>
      </w:pPr>
    </w:p>
    <w:tbl>
      <w:tblPr>
        <w:tblW w:w="20400" w:type="dxa"/>
        <w:tblCellMar>
          <w:left w:w="0" w:type="dxa"/>
          <w:right w:w="0" w:type="dxa"/>
        </w:tblCellMar>
        <w:tblLook w:val="04A0" w:firstRow="1" w:lastRow="0" w:firstColumn="1" w:lastColumn="0" w:noHBand="0" w:noVBand="1"/>
      </w:tblPr>
      <w:tblGrid>
        <w:gridCol w:w="15096"/>
        <w:gridCol w:w="204"/>
        <w:gridCol w:w="204"/>
        <w:gridCol w:w="2040"/>
        <w:gridCol w:w="204"/>
        <w:gridCol w:w="204"/>
        <w:gridCol w:w="204"/>
        <w:gridCol w:w="2040"/>
        <w:gridCol w:w="204"/>
      </w:tblGrid>
      <w:tr w:rsidR="00C950DB" w:rsidRPr="00C950DB" w:rsidTr="00C950DB">
        <w:tc>
          <w:tcPr>
            <w:tcW w:w="15096"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5096"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b/>
                <w:bCs/>
                <w:color w:val="333333"/>
                <w:kern w:val="0"/>
                <w:sz w:val="24"/>
                <w:szCs w:val="24"/>
              </w:rPr>
              <w:t>Condensed Consolidated Balance Sheets (unaudited)</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5096"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5096"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noWrap/>
            <w:vAlign w:val="bottom"/>
            <w:hideMark/>
          </w:tcPr>
          <w:p w:rsidR="00C950DB" w:rsidRPr="00C950DB" w:rsidRDefault="00C950DB" w:rsidP="00C950DB">
            <w:pPr>
              <w:widowControl/>
              <w:jc w:val="center"/>
              <w:rPr>
                <w:rFonts w:ascii="Arial" w:eastAsia="宋体" w:hAnsi="Arial" w:cs="Arial"/>
                <w:color w:val="333333"/>
                <w:kern w:val="0"/>
                <w:sz w:val="24"/>
                <w:szCs w:val="24"/>
              </w:rPr>
            </w:pPr>
            <w:r w:rsidRPr="00C950DB">
              <w:rPr>
                <w:rFonts w:ascii="Arial" w:eastAsia="宋体" w:hAnsi="Arial" w:cs="Arial"/>
                <w:color w:val="333333"/>
                <w:kern w:val="0"/>
                <w:sz w:val="24"/>
                <w:szCs w:val="24"/>
              </w:rPr>
              <w:t>December 31,</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3"/>
            <w:tcBorders>
              <w:top w:val="nil"/>
              <w:left w:val="nil"/>
              <w:bottom w:val="nil"/>
              <w:right w:val="nil"/>
            </w:tcBorders>
            <w:noWrap/>
            <w:vAlign w:val="bottom"/>
            <w:hideMark/>
          </w:tcPr>
          <w:p w:rsidR="00C950DB" w:rsidRPr="00C950DB" w:rsidRDefault="00C950DB" w:rsidP="00C950DB">
            <w:pPr>
              <w:widowControl/>
              <w:jc w:val="center"/>
              <w:rPr>
                <w:rFonts w:ascii="Arial" w:eastAsia="宋体" w:hAnsi="Arial" w:cs="Arial"/>
                <w:color w:val="333333"/>
                <w:kern w:val="0"/>
                <w:sz w:val="24"/>
                <w:szCs w:val="24"/>
              </w:rPr>
            </w:pPr>
            <w:r w:rsidRPr="00C950DB">
              <w:rPr>
                <w:rFonts w:ascii="Arial" w:eastAsia="宋体" w:hAnsi="Arial" w:cs="Arial"/>
                <w:color w:val="333333"/>
                <w:kern w:val="0"/>
                <w:sz w:val="24"/>
                <w:szCs w:val="24"/>
              </w:rPr>
              <w:t>December 31,</w:t>
            </w:r>
          </w:p>
        </w:tc>
      </w:tr>
      <w:tr w:rsidR="00C950DB" w:rsidRPr="00C950DB" w:rsidTr="00C950DB">
        <w:tc>
          <w:tcPr>
            <w:tcW w:w="15096" w:type="dxa"/>
            <w:tcBorders>
              <w:top w:val="nil"/>
              <w:left w:val="nil"/>
              <w:bottom w:val="single" w:sz="8" w:space="0" w:color="000000"/>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(In millions)</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center"/>
              <w:rPr>
                <w:rFonts w:ascii="Arial" w:eastAsia="宋体" w:hAnsi="Arial" w:cs="Arial"/>
                <w:color w:val="333333"/>
                <w:kern w:val="0"/>
                <w:sz w:val="24"/>
                <w:szCs w:val="24"/>
              </w:rPr>
            </w:pPr>
            <w:r w:rsidRPr="00C950DB">
              <w:rPr>
                <w:rFonts w:ascii="Arial" w:eastAsia="宋体" w:hAnsi="Arial" w:cs="Arial"/>
                <w:color w:val="333333"/>
                <w:kern w:val="0"/>
                <w:sz w:val="24"/>
                <w:szCs w:val="24"/>
              </w:rPr>
              <w:t>2025</w:t>
            </w:r>
          </w:p>
        </w:tc>
        <w:tc>
          <w:tcPr>
            <w:tcW w:w="204" w:type="dxa"/>
            <w:tcBorders>
              <w:top w:val="nil"/>
              <w:left w:val="nil"/>
              <w:bottom w:val="single" w:sz="8" w:space="0" w:color="000000"/>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center"/>
              <w:rPr>
                <w:rFonts w:ascii="Arial" w:eastAsia="宋体" w:hAnsi="Arial" w:cs="Arial"/>
                <w:color w:val="333333"/>
                <w:kern w:val="0"/>
                <w:sz w:val="24"/>
                <w:szCs w:val="24"/>
              </w:rPr>
            </w:pPr>
            <w:r w:rsidRPr="00C950DB">
              <w:rPr>
                <w:rFonts w:ascii="Arial" w:eastAsia="宋体" w:hAnsi="Arial" w:cs="Arial"/>
                <w:color w:val="333333"/>
                <w:kern w:val="0"/>
                <w:sz w:val="24"/>
                <w:szCs w:val="24"/>
              </w:rPr>
              <w:t>2024</w:t>
            </w:r>
          </w:p>
        </w:tc>
        <w:tc>
          <w:tcPr>
            <w:tcW w:w="204" w:type="dxa"/>
            <w:tcBorders>
              <w:top w:val="nil"/>
              <w:left w:val="nil"/>
              <w:bottom w:val="single" w:sz="8" w:space="0" w:color="000000"/>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r>
      <w:tr w:rsidR="00C950DB" w:rsidRPr="00C950DB" w:rsidTr="00C950DB">
        <w:tc>
          <w:tcPr>
            <w:tcW w:w="15096"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5096"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b/>
                <w:bCs/>
                <w:color w:val="333333"/>
                <w:kern w:val="0"/>
                <w:sz w:val="24"/>
                <w:szCs w:val="24"/>
              </w:rPr>
              <w:t>Assets</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5096"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Current assets:</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5096" w:type="dxa"/>
            <w:tcBorders>
              <w:top w:val="nil"/>
              <w:left w:val="nil"/>
              <w:bottom w:val="nil"/>
              <w:right w:val="nil"/>
            </w:tcBorders>
            <w:shd w:val="clear" w:color="auto" w:fill="CCEEFF"/>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Cash and cash equivalents</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40" w:type="dxa"/>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9,852</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40" w:type="dxa"/>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4,009</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r>
      <w:tr w:rsidR="00C950DB" w:rsidRPr="00C950DB" w:rsidTr="00C950DB">
        <w:tc>
          <w:tcPr>
            <w:tcW w:w="15096" w:type="dxa"/>
            <w:tcBorders>
              <w:top w:val="nil"/>
              <w:left w:val="nil"/>
              <w:bottom w:val="nil"/>
              <w:right w:val="nil"/>
            </w:tcBorders>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Short-term investments</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253</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1,561</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r>
      <w:tr w:rsidR="00C950DB" w:rsidRPr="00C950DB" w:rsidTr="00C950DB">
        <w:tc>
          <w:tcPr>
            <w:tcW w:w="15096" w:type="dxa"/>
            <w:tcBorders>
              <w:top w:val="nil"/>
              <w:left w:val="nil"/>
              <w:bottom w:val="nil"/>
              <w:right w:val="nil"/>
            </w:tcBorders>
            <w:shd w:val="clear" w:color="auto" w:fill="CCEEFF"/>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Accounts receivable, net</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8,900</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8,191</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r>
      <w:tr w:rsidR="00C950DB" w:rsidRPr="00C950DB" w:rsidTr="00C950DB">
        <w:tc>
          <w:tcPr>
            <w:tcW w:w="15096" w:type="dxa"/>
            <w:tcBorders>
              <w:top w:val="nil"/>
              <w:left w:val="nil"/>
              <w:bottom w:val="nil"/>
              <w:right w:val="nil"/>
            </w:tcBorders>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Inventories</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5,425</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4,978</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r>
      <w:tr w:rsidR="00C950DB" w:rsidRPr="00C950DB" w:rsidTr="00C950DB">
        <w:tc>
          <w:tcPr>
            <w:tcW w:w="15096" w:type="dxa"/>
            <w:tcBorders>
              <w:top w:val="nil"/>
              <w:left w:val="nil"/>
              <w:bottom w:val="nil"/>
              <w:right w:val="nil"/>
            </w:tcBorders>
            <w:shd w:val="clear" w:color="auto" w:fill="CCEEFF"/>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Other current assets</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4,278</w:t>
            </w:r>
          </w:p>
        </w:tc>
        <w:tc>
          <w:tcPr>
            <w:tcW w:w="204" w:type="dxa"/>
            <w:tcBorders>
              <w:top w:val="nil"/>
              <w:left w:val="nil"/>
              <w:bottom w:val="single" w:sz="8" w:space="0" w:color="000000"/>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3,399</w:t>
            </w:r>
          </w:p>
        </w:tc>
        <w:tc>
          <w:tcPr>
            <w:tcW w:w="204" w:type="dxa"/>
            <w:tcBorders>
              <w:top w:val="nil"/>
              <w:left w:val="nil"/>
              <w:bottom w:val="single" w:sz="8" w:space="0" w:color="000000"/>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r>
      <w:tr w:rsidR="00C950DB" w:rsidRPr="00C950DB" w:rsidTr="00C950DB">
        <w:tc>
          <w:tcPr>
            <w:tcW w:w="15096" w:type="dxa"/>
            <w:tcBorders>
              <w:top w:val="nil"/>
              <w:left w:val="nil"/>
              <w:bottom w:val="nil"/>
              <w:right w:val="nil"/>
            </w:tcBorders>
            <w:tcMar>
              <w:top w:w="0" w:type="dxa"/>
              <w:left w:w="45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Total current assets</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28,707</w:t>
            </w:r>
          </w:p>
        </w:tc>
        <w:tc>
          <w:tcPr>
            <w:tcW w:w="204" w:type="dxa"/>
            <w:tcBorders>
              <w:top w:val="nil"/>
              <w:left w:val="nil"/>
              <w:bottom w:val="single" w:sz="8" w:space="0" w:color="000000"/>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22,137</w:t>
            </w:r>
          </w:p>
        </w:tc>
        <w:tc>
          <w:tcPr>
            <w:tcW w:w="204" w:type="dxa"/>
            <w:tcBorders>
              <w:top w:val="nil"/>
              <w:left w:val="nil"/>
              <w:bottom w:val="single" w:sz="8" w:space="0" w:color="000000"/>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r>
      <w:tr w:rsidR="00C950DB" w:rsidRPr="00C950DB" w:rsidTr="00C950DB">
        <w:tc>
          <w:tcPr>
            <w:tcW w:w="15096"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Property, plant and equipment, net</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10,565</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9,306</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r>
      <w:tr w:rsidR="00C950DB" w:rsidRPr="00C950DB" w:rsidTr="00C950DB">
        <w:tc>
          <w:tcPr>
            <w:tcW w:w="15096"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Acquisition-related intangible assets, net</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15,838</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15,533</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r>
      <w:tr w:rsidR="00C950DB" w:rsidRPr="00C950DB" w:rsidTr="00C950DB">
        <w:tc>
          <w:tcPr>
            <w:tcW w:w="15096"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Other assets</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5,871</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4,492</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r>
      <w:tr w:rsidR="00C950DB" w:rsidRPr="00C950DB" w:rsidTr="00C950DB">
        <w:tc>
          <w:tcPr>
            <w:tcW w:w="15096"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Goodwill</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49,362</w:t>
            </w:r>
          </w:p>
        </w:tc>
        <w:tc>
          <w:tcPr>
            <w:tcW w:w="204" w:type="dxa"/>
            <w:tcBorders>
              <w:top w:val="nil"/>
              <w:left w:val="nil"/>
              <w:bottom w:val="single" w:sz="8" w:space="0" w:color="000000"/>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45,853</w:t>
            </w:r>
          </w:p>
        </w:tc>
        <w:tc>
          <w:tcPr>
            <w:tcW w:w="204" w:type="dxa"/>
            <w:tcBorders>
              <w:top w:val="nil"/>
              <w:left w:val="nil"/>
              <w:bottom w:val="single" w:sz="8" w:space="0" w:color="000000"/>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r>
      <w:tr w:rsidR="00C950DB" w:rsidRPr="00C950DB" w:rsidTr="00C950DB">
        <w:tc>
          <w:tcPr>
            <w:tcW w:w="15096"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b/>
                <w:bCs/>
                <w:color w:val="333333"/>
                <w:kern w:val="0"/>
                <w:sz w:val="24"/>
                <w:szCs w:val="24"/>
              </w:rPr>
              <w:t>Total assets</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40"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110,343</w:t>
            </w:r>
          </w:p>
        </w:tc>
        <w:tc>
          <w:tcPr>
            <w:tcW w:w="204" w:type="dxa"/>
            <w:tcBorders>
              <w:top w:val="nil"/>
              <w:left w:val="nil"/>
              <w:bottom w:val="double" w:sz="6" w:space="0" w:color="000000"/>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40"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97,321</w:t>
            </w:r>
          </w:p>
        </w:tc>
        <w:tc>
          <w:tcPr>
            <w:tcW w:w="204" w:type="dxa"/>
            <w:tcBorders>
              <w:top w:val="nil"/>
              <w:left w:val="nil"/>
              <w:bottom w:val="double" w:sz="6" w:space="0" w:color="000000"/>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r>
      <w:tr w:rsidR="00C950DB" w:rsidRPr="00C950DB" w:rsidTr="00C950DB">
        <w:tc>
          <w:tcPr>
            <w:tcW w:w="15096"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5096"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b/>
                <w:bCs/>
                <w:color w:val="333333"/>
                <w:kern w:val="0"/>
                <w:sz w:val="24"/>
                <w:szCs w:val="24"/>
              </w:rPr>
              <w:t xml:space="preserve">Liabilities, redeemable </w:t>
            </w:r>
            <w:proofErr w:type="spellStart"/>
            <w:r w:rsidRPr="00C950DB">
              <w:rPr>
                <w:rFonts w:ascii="Arial" w:eastAsia="宋体" w:hAnsi="Arial" w:cs="Arial"/>
                <w:b/>
                <w:bCs/>
                <w:color w:val="333333"/>
                <w:kern w:val="0"/>
                <w:sz w:val="24"/>
                <w:szCs w:val="24"/>
              </w:rPr>
              <w:t>noncontrolling</w:t>
            </w:r>
            <w:proofErr w:type="spellEnd"/>
            <w:r w:rsidRPr="00C950DB">
              <w:rPr>
                <w:rFonts w:ascii="Arial" w:eastAsia="宋体" w:hAnsi="Arial" w:cs="Arial"/>
                <w:b/>
                <w:bCs/>
                <w:color w:val="333333"/>
                <w:kern w:val="0"/>
                <w:sz w:val="24"/>
                <w:szCs w:val="24"/>
              </w:rPr>
              <w:t xml:space="preserve"> interest and equity</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5096"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Current liabilities:</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5096" w:type="dxa"/>
            <w:tcBorders>
              <w:top w:val="nil"/>
              <w:left w:val="nil"/>
              <w:bottom w:val="nil"/>
              <w:right w:val="nil"/>
            </w:tcBorders>
            <w:shd w:val="clear" w:color="auto" w:fill="CCEEFF"/>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Short-term obligations and current maturities of long-term obligations</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40" w:type="dxa"/>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3,533</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40" w:type="dxa"/>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2,214</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r>
      <w:tr w:rsidR="00C950DB" w:rsidRPr="00C950DB" w:rsidTr="00C950DB">
        <w:tc>
          <w:tcPr>
            <w:tcW w:w="15096" w:type="dxa"/>
            <w:tcBorders>
              <w:top w:val="nil"/>
              <w:left w:val="nil"/>
              <w:bottom w:val="nil"/>
              <w:right w:val="nil"/>
            </w:tcBorders>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Other current liabilities</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11,656</w:t>
            </w:r>
          </w:p>
        </w:tc>
        <w:tc>
          <w:tcPr>
            <w:tcW w:w="204" w:type="dxa"/>
            <w:tcBorders>
              <w:top w:val="nil"/>
              <w:left w:val="nil"/>
              <w:bottom w:val="single" w:sz="8" w:space="0" w:color="000000"/>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11,118</w:t>
            </w:r>
          </w:p>
        </w:tc>
        <w:tc>
          <w:tcPr>
            <w:tcW w:w="204" w:type="dxa"/>
            <w:tcBorders>
              <w:top w:val="nil"/>
              <w:left w:val="nil"/>
              <w:bottom w:val="single" w:sz="8" w:space="0" w:color="000000"/>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r>
      <w:tr w:rsidR="00C950DB" w:rsidRPr="00C950DB" w:rsidTr="00C950DB">
        <w:tc>
          <w:tcPr>
            <w:tcW w:w="15096" w:type="dxa"/>
            <w:tcBorders>
              <w:top w:val="nil"/>
              <w:left w:val="nil"/>
              <w:bottom w:val="nil"/>
              <w:right w:val="nil"/>
            </w:tcBorders>
            <w:shd w:val="clear" w:color="auto" w:fill="CCEEFF"/>
            <w:tcMar>
              <w:top w:w="0" w:type="dxa"/>
              <w:left w:w="45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Total current liabilities</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15,189</w:t>
            </w:r>
          </w:p>
        </w:tc>
        <w:tc>
          <w:tcPr>
            <w:tcW w:w="204" w:type="dxa"/>
            <w:tcBorders>
              <w:top w:val="nil"/>
              <w:left w:val="nil"/>
              <w:bottom w:val="single" w:sz="8" w:space="0" w:color="000000"/>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13,332</w:t>
            </w:r>
          </w:p>
        </w:tc>
        <w:tc>
          <w:tcPr>
            <w:tcW w:w="204" w:type="dxa"/>
            <w:tcBorders>
              <w:top w:val="nil"/>
              <w:left w:val="nil"/>
              <w:bottom w:val="single" w:sz="8" w:space="0" w:color="000000"/>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r>
      <w:tr w:rsidR="00C950DB" w:rsidRPr="00C950DB" w:rsidTr="00C950DB">
        <w:tc>
          <w:tcPr>
            <w:tcW w:w="15096"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Other long-term liabilities</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5,766</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5,257</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r>
      <w:tr w:rsidR="00C950DB" w:rsidRPr="00C950DB" w:rsidTr="00C950DB">
        <w:tc>
          <w:tcPr>
            <w:tcW w:w="15096"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Long-term obligations</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35,852</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29,061</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r>
      <w:tr w:rsidR="00C950DB" w:rsidRPr="00C950DB" w:rsidTr="00C950DB">
        <w:tc>
          <w:tcPr>
            <w:tcW w:w="15096"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 xml:space="preserve">Redeemable </w:t>
            </w:r>
            <w:proofErr w:type="spellStart"/>
            <w:r w:rsidRPr="00C950DB">
              <w:rPr>
                <w:rFonts w:ascii="Arial" w:eastAsia="宋体" w:hAnsi="Arial" w:cs="Arial"/>
                <w:color w:val="333333"/>
                <w:kern w:val="0"/>
                <w:sz w:val="24"/>
                <w:szCs w:val="24"/>
              </w:rPr>
              <w:t>noncontrolling</w:t>
            </w:r>
            <w:proofErr w:type="spellEnd"/>
            <w:r w:rsidRPr="00C950DB">
              <w:rPr>
                <w:rFonts w:ascii="Arial" w:eastAsia="宋体" w:hAnsi="Arial" w:cs="Arial"/>
                <w:color w:val="333333"/>
                <w:kern w:val="0"/>
                <w:sz w:val="24"/>
                <w:szCs w:val="24"/>
              </w:rPr>
              <w:t xml:space="preserve"> interest</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122</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120</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r>
      <w:tr w:rsidR="00C950DB" w:rsidRPr="00C950DB" w:rsidTr="00C950DB">
        <w:tc>
          <w:tcPr>
            <w:tcW w:w="15096"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Total equity</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53,415</w:t>
            </w:r>
          </w:p>
        </w:tc>
        <w:tc>
          <w:tcPr>
            <w:tcW w:w="204" w:type="dxa"/>
            <w:tcBorders>
              <w:top w:val="nil"/>
              <w:left w:val="nil"/>
              <w:bottom w:val="single" w:sz="8" w:space="0" w:color="000000"/>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49,551</w:t>
            </w:r>
          </w:p>
        </w:tc>
        <w:tc>
          <w:tcPr>
            <w:tcW w:w="204" w:type="dxa"/>
            <w:tcBorders>
              <w:top w:val="nil"/>
              <w:left w:val="nil"/>
              <w:bottom w:val="single" w:sz="8" w:space="0" w:color="000000"/>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r>
      <w:tr w:rsidR="00C950DB" w:rsidRPr="00C950DB" w:rsidTr="00C950DB">
        <w:tc>
          <w:tcPr>
            <w:tcW w:w="15096"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b/>
                <w:bCs/>
                <w:color w:val="333333"/>
                <w:kern w:val="0"/>
                <w:sz w:val="24"/>
                <w:szCs w:val="24"/>
              </w:rPr>
              <w:t xml:space="preserve">Total liabilities, redeemable </w:t>
            </w:r>
            <w:proofErr w:type="spellStart"/>
            <w:r w:rsidRPr="00C950DB">
              <w:rPr>
                <w:rFonts w:ascii="Arial" w:eastAsia="宋体" w:hAnsi="Arial" w:cs="Arial"/>
                <w:b/>
                <w:bCs/>
                <w:color w:val="333333"/>
                <w:kern w:val="0"/>
                <w:sz w:val="24"/>
                <w:szCs w:val="24"/>
              </w:rPr>
              <w:t>noncontrolling</w:t>
            </w:r>
            <w:proofErr w:type="spellEnd"/>
            <w:r w:rsidRPr="00C950DB">
              <w:rPr>
                <w:rFonts w:ascii="Arial" w:eastAsia="宋体" w:hAnsi="Arial" w:cs="Arial"/>
                <w:b/>
                <w:bCs/>
                <w:color w:val="333333"/>
                <w:kern w:val="0"/>
                <w:sz w:val="24"/>
                <w:szCs w:val="24"/>
              </w:rPr>
              <w:t xml:space="preserve"> interest and equity</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double" w:sz="6" w:space="0" w:color="000000"/>
              <w:right w:val="nil"/>
            </w:tcBorders>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40" w:type="dxa"/>
            <w:tcBorders>
              <w:top w:val="nil"/>
              <w:left w:val="nil"/>
              <w:bottom w:val="double" w:sz="6" w:space="0" w:color="000000"/>
              <w:right w:val="nil"/>
            </w:tcBorders>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110,343</w:t>
            </w:r>
          </w:p>
        </w:tc>
        <w:tc>
          <w:tcPr>
            <w:tcW w:w="204" w:type="dxa"/>
            <w:tcBorders>
              <w:top w:val="nil"/>
              <w:left w:val="nil"/>
              <w:bottom w:val="double" w:sz="6" w:space="0" w:color="000000"/>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double" w:sz="6" w:space="0" w:color="000000"/>
              <w:right w:val="nil"/>
            </w:tcBorders>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40" w:type="dxa"/>
            <w:tcBorders>
              <w:top w:val="nil"/>
              <w:left w:val="nil"/>
              <w:bottom w:val="double" w:sz="6" w:space="0" w:color="000000"/>
              <w:right w:val="nil"/>
            </w:tcBorders>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97,321</w:t>
            </w:r>
          </w:p>
        </w:tc>
        <w:tc>
          <w:tcPr>
            <w:tcW w:w="204" w:type="dxa"/>
            <w:tcBorders>
              <w:top w:val="nil"/>
              <w:left w:val="nil"/>
              <w:bottom w:val="double" w:sz="6" w:space="0" w:color="000000"/>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r>
      <w:tr w:rsidR="00C950DB" w:rsidRPr="00C950DB" w:rsidTr="00C950DB">
        <w:tc>
          <w:tcPr>
            <w:tcW w:w="0" w:type="auto"/>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20400" w:type="dxa"/>
            <w:gridSpan w:val="9"/>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b/>
                <w:bCs/>
                <w:color w:val="333333"/>
                <w:kern w:val="0"/>
                <w:sz w:val="24"/>
                <w:szCs w:val="24"/>
              </w:rPr>
              <w:t>Condensed Consolidated Statements of Cash Flows (unaudited)</w:t>
            </w:r>
          </w:p>
        </w:tc>
      </w:tr>
      <w:tr w:rsidR="00C950DB" w:rsidRPr="00C950DB" w:rsidTr="00C950DB">
        <w:tc>
          <w:tcPr>
            <w:tcW w:w="15096"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5096"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7"/>
            <w:tcBorders>
              <w:top w:val="nil"/>
              <w:left w:val="nil"/>
              <w:bottom w:val="single" w:sz="8" w:space="0" w:color="000000"/>
              <w:right w:val="nil"/>
            </w:tcBorders>
            <w:vAlign w:val="bottom"/>
            <w:hideMark/>
          </w:tcPr>
          <w:p w:rsidR="00C950DB" w:rsidRPr="00C950DB" w:rsidRDefault="00C950DB" w:rsidP="00C950DB">
            <w:pPr>
              <w:widowControl/>
              <w:jc w:val="center"/>
              <w:rPr>
                <w:rFonts w:ascii="Arial" w:eastAsia="宋体" w:hAnsi="Arial" w:cs="Arial"/>
                <w:color w:val="333333"/>
                <w:kern w:val="0"/>
                <w:sz w:val="24"/>
                <w:szCs w:val="24"/>
              </w:rPr>
            </w:pPr>
            <w:r w:rsidRPr="00C950DB">
              <w:rPr>
                <w:rFonts w:ascii="Arial" w:eastAsia="宋体" w:hAnsi="Arial" w:cs="Arial"/>
                <w:color w:val="333333"/>
                <w:kern w:val="0"/>
                <w:sz w:val="24"/>
                <w:szCs w:val="24"/>
              </w:rPr>
              <w:t>Year ended</w:t>
            </w:r>
          </w:p>
        </w:tc>
      </w:tr>
      <w:tr w:rsidR="00C950DB" w:rsidRPr="00C950DB" w:rsidTr="00C950DB">
        <w:tc>
          <w:tcPr>
            <w:tcW w:w="15096"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noWrap/>
            <w:vAlign w:val="bottom"/>
            <w:hideMark/>
          </w:tcPr>
          <w:p w:rsidR="00C950DB" w:rsidRPr="00C950DB" w:rsidRDefault="00C950DB" w:rsidP="00C950DB">
            <w:pPr>
              <w:widowControl/>
              <w:jc w:val="center"/>
              <w:rPr>
                <w:rFonts w:ascii="Arial" w:eastAsia="宋体" w:hAnsi="Arial" w:cs="Arial"/>
                <w:color w:val="333333"/>
                <w:kern w:val="0"/>
                <w:sz w:val="24"/>
                <w:szCs w:val="24"/>
              </w:rPr>
            </w:pPr>
            <w:r w:rsidRPr="00C950DB">
              <w:rPr>
                <w:rFonts w:ascii="Arial" w:eastAsia="宋体" w:hAnsi="Arial" w:cs="Arial"/>
                <w:color w:val="333333"/>
                <w:kern w:val="0"/>
                <w:sz w:val="24"/>
                <w:szCs w:val="24"/>
              </w:rPr>
              <w:t>December 31,</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3"/>
            <w:tcBorders>
              <w:top w:val="nil"/>
              <w:left w:val="nil"/>
              <w:bottom w:val="nil"/>
              <w:right w:val="nil"/>
            </w:tcBorders>
            <w:noWrap/>
            <w:vAlign w:val="bottom"/>
            <w:hideMark/>
          </w:tcPr>
          <w:p w:rsidR="00C950DB" w:rsidRPr="00C950DB" w:rsidRDefault="00C950DB" w:rsidP="00C950DB">
            <w:pPr>
              <w:widowControl/>
              <w:jc w:val="center"/>
              <w:rPr>
                <w:rFonts w:ascii="Arial" w:eastAsia="宋体" w:hAnsi="Arial" w:cs="Arial"/>
                <w:color w:val="333333"/>
                <w:kern w:val="0"/>
                <w:sz w:val="24"/>
                <w:szCs w:val="24"/>
              </w:rPr>
            </w:pPr>
            <w:r w:rsidRPr="00C950DB">
              <w:rPr>
                <w:rFonts w:ascii="Arial" w:eastAsia="宋体" w:hAnsi="Arial" w:cs="Arial"/>
                <w:color w:val="333333"/>
                <w:kern w:val="0"/>
                <w:sz w:val="24"/>
                <w:szCs w:val="24"/>
              </w:rPr>
              <w:t>December 31,</w:t>
            </w:r>
          </w:p>
        </w:tc>
      </w:tr>
      <w:tr w:rsidR="00C950DB" w:rsidRPr="00C950DB" w:rsidTr="00C950DB">
        <w:tc>
          <w:tcPr>
            <w:tcW w:w="15096" w:type="dxa"/>
            <w:tcBorders>
              <w:top w:val="nil"/>
              <w:left w:val="nil"/>
              <w:bottom w:val="single" w:sz="8" w:space="0" w:color="000000"/>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(In millions)</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center"/>
              <w:rPr>
                <w:rFonts w:ascii="Arial" w:eastAsia="宋体" w:hAnsi="Arial" w:cs="Arial"/>
                <w:color w:val="333333"/>
                <w:kern w:val="0"/>
                <w:sz w:val="24"/>
                <w:szCs w:val="24"/>
              </w:rPr>
            </w:pPr>
            <w:r w:rsidRPr="00C950DB">
              <w:rPr>
                <w:rFonts w:ascii="Arial" w:eastAsia="宋体" w:hAnsi="Arial" w:cs="Arial"/>
                <w:color w:val="333333"/>
                <w:kern w:val="0"/>
                <w:sz w:val="24"/>
                <w:szCs w:val="24"/>
              </w:rPr>
              <w:t>2025</w:t>
            </w:r>
          </w:p>
        </w:tc>
        <w:tc>
          <w:tcPr>
            <w:tcW w:w="204" w:type="dxa"/>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center"/>
              <w:rPr>
                <w:rFonts w:ascii="Arial" w:eastAsia="宋体" w:hAnsi="Arial" w:cs="Arial"/>
                <w:color w:val="333333"/>
                <w:kern w:val="0"/>
                <w:sz w:val="24"/>
                <w:szCs w:val="24"/>
              </w:rPr>
            </w:pPr>
            <w:r w:rsidRPr="00C950DB">
              <w:rPr>
                <w:rFonts w:ascii="Arial" w:eastAsia="宋体" w:hAnsi="Arial" w:cs="Arial"/>
                <w:color w:val="333333"/>
                <w:kern w:val="0"/>
                <w:sz w:val="24"/>
                <w:szCs w:val="24"/>
              </w:rPr>
              <w:t>2024</w:t>
            </w:r>
          </w:p>
        </w:tc>
        <w:tc>
          <w:tcPr>
            <w:tcW w:w="204" w:type="dxa"/>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r>
      <w:tr w:rsidR="00C950DB" w:rsidRPr="00C950DB" w:rsidTr="00C950DB">
        <w:tc>
          <w:tcPr>
            <w:tcW w:w="15096"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5096"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b/>
                <w:bCs/>
                <w:color w:val="333333"/>
                <w:kern w:val="0"/>
                <w:sz w:val="24"/>
                <w:szCs w:val="24"/>
              </w:rPr>
              <w:t>Operating activities</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3"/>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5096" w:type="dxa"/>
            <w:tcBorders>
              <w:top w:val="nil"/>
              <w:left w:val="nil"/>
              <w:bottom w:val="nil"/>
              <w:right w:val="nil"/>
            </w:tcBorders>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Net income</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40" w:type="dxa"/>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6,721</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40" w:type="dxa"/>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6,338</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r>
      <w:tr w:rsidR="00C950DB" w:rsidRPr="00C950DB" w:rsidTr="00C950DB">
        <w:tc>
          <w:tcPr>
            <w:tcW w:w="15096" w:type="dxa"/>
            <w:tcBorders>
              <w:top w:val="nil"/>
              <w:left w:val="nil"/>
              <w:bottom w:val="nil"/>
              <w:right w:val="nil"/>
            </w:tcBorders>
            <w:shd w:val="clear" w:color="auto" w:fill="CCEEFF"/>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Adjustments to reconcile net income to net cash provided by operating activities:</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3"/>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5096" w:type="dxa"/>
            <w:tcBorders>
              <w:top w:val="nil"/>
              <w:left w:val="nil"/>
              <w:bottom w:val="nil"/>
              <w:right w:val="nil"/>
            </w:tcBorders>
            <w:tcMar>
              <w:top w:w="0" w:type="dxa"/>
              <w:left w:w="6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Depreciation and amortization</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2,780</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3,108</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r>
      <w:tr w:rsidR="00C950DB" w:rsidRPr="00C950DB" w:rsidTr="00C950DB">
        <w:tc>
          <w:tcPr>
            <w:tcW w:w="15096" w:type="dxa"/>
            <w:tcBorders>
              <w:top w:val="nil"/>
              <w:left w:val="nil"/>
              <w:bottom w:val="nil"/>
              <w:right w:val="nil"/>
            </w:tcBorders>
            <w:shd w:val="clear" w:color="auto" w:fill="CCEEFF"/>
            <w:tcMar>
              <w:top w:w="0" w:type="dxa"/>
              <w:left w:w="6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Change in deferred income taxes</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(639</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(1,209</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5096" w:type="dxa"/>
            <w:tcBorders>
              <w:top w:val="nil"/>
              <w:left w:val="nil"/>
              <w:bottom w:val="nil"/>
              <w:right w:val="nil"/>
            </w:tcBorders>
            <w:tcMar>
              <w:top w:w="0" w:type="dxa"/>
              <w:left w:w="6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Other non-cash expenses, net</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765</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808</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r>
      <w:tr w:rsidR="00C950DB" w:rsidRPr="00C950DB" w:rsidTr="00C950DB">
        <w:tc>
          <w:tcPr>
            <w:tcW w:w="15096" w:type="dxa"/>
            <w:tcBorders>
              <w:top w:val="nil"/>
              <w:left w:val="nil"/>
              <w:bottom w:val="nil"/>
              <w:right w:val="nil"/>
            </w:tcBorders>
            <w:shd w:val="clear" w:color="auto" w:fill="CCEEFF"/>
            <w:tcMar>
              <w:top w:w="0" w:type="dxa"/>
              <w:left w:w="6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Changes in assets and liabilities, excluding the effects of acquisitions</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(1,808</w:t>
            </w:r>
          </w:p>
        </w:tc>
        <w:tc>
          <w:tcPr>
            <w:tcW w:w="20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(379</w:t>
            </w:r>
          </w:p>
        </w:tc>
        <w:tc>
          <w:tcPr>
            <w:tcW w:w="20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5096" w:type="dxa"/>
            <w:tcBorders>
              <w:top w:val="nil"/>
              <w:left w:val="nil"/>
              <w:bottom w:val="nil"/>
              <w:right w:val="nil"/>
            </w:tcBorders>
            <w:tcMar>
              <w:top w:w="0" w:type="dxa"/>
              <w:left w:w="9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Net cash provided by operating activities</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7,818</w:t>
            </w:r>
          </w:p>
        </w:tc>
        <w:tc>
          <w:tcPr>
            <w:tcW w:w="204" w:type="dxa"/>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8,667</w:t>
            </w:r>
          </w:p>
        </w:tc>
        <w:tc>
          <w:tcPr>
            <w:tcW w:w="204" w:type="dxa"/>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r>
      <w:tr w:rsidR="00C950DB" w:rsidRPr="00C950DB" w:rsidTr="00C950DB">
        <w:tc>
          <w:tcPr>
            <w:tcW w:w="15096"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b/>
                <w:bCs/>
                <w:color w:val="333333"/>
                <w:kern w:val="0"/>
                <w:sz w:val="24"/>
                <w:szCs w:val="24"/>
              </w:rPr>
              <w:t>Investing activities</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3"/>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5096" w:type="dxa"/>
            <w:tcBorders>
              <w:top w:val="nil"/>
              <w:left w:val="nil"/>
              <w:bottom w:val="nil"/>
              <w:right w:val="nil"/>
            </w:tcBorders>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Purchases of property, plant and equipment</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(1,525</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(1,400</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5096" w:type="dxa"/>
            <w:tcBorders>
              <w:top w:val="nil"/>
              <w:left w:val="nil"/>
              <w:bottom w:val="nil"/>
              <w:right w:val="nil"/>
            </w:tcBorders>
            <w:shd w:val="clear" w:color="auto" w:fill="CCEEFF"/>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Proceeds from sale of property, plant and equipment</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44</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57</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r>
      <w:tr w:rsidR="00C950DB" w:rsidRPr="00C950DB" w:rsidTr="00C950DB">
        <w:tc>
          <w:tcPr>
            <w:tcW w:w="15096" w:type="dxa"/>
            <w:tcBorders>
              <w:top w:val="nil"/>
              <w:left w:val="nil"/>
              <w:bottom w:val="nil"/>
              <w:right w:val="nil"/>
            </w:tcBorders>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Proceeds from cross-currency interest rate swap interest settlements</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268</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252</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r>
      <w:tr w:rsidR="00C950DB" w:rsidRPr="00C950DB" w:rsidTr="00C950DB">
        <w:tc>
          <w:tcPr>
            <w:tcW w:w="15096" w:type="dxa"/>
            <w:tcBorders>
              <w:top w:val="nil"/>
              <w:left w:val="nil"/>
              <w:bottom w:val="nil"/>
              <w:right w:val="nil"/>
            </w:tcBorders>
            <w:shd w:val="clear" w:color="auto" w:fill="CCEEFF"/>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Acquisitions, net of cash acquired</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(4,037</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(3,132</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5096" w:type="dxa"/>
            <w:tcBorders>
              <w:top w:val="nil"/>
              <w:left w:val="nil"/>
              <w:bottom w:val="nil"/>
              <w:right w:val="nil"/>
            </w:tcBorders>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Purchases of investments</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(383</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(3,396</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5096" w:type="dxa"/>
            <w:tcBorders>
              <w:top w:val="nil"/>
              <w:left w:val="nil"/>
              <w:bottom w:val="nil"/>
              <w:right w:val="nil"/>
            </w:tcBorders>
            <w:shd w:val="clear" w:color="auto" w:fill="CCEEFF"/>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Proceeds from sales and maturities of investments</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1,565</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1,770</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r>
      <w:tr w:rsidR="00C950DB" w:rsidRPr="00C950DB" w:rsidTr="00C950DB">
        <w:tc>
          <w:tcPr>
            <w:tcW w:w="15096" w:type="dxa"/>
            <w:tcBorders>
              <w:top w:val="nil"/>
              <w:left w:val="nil"/>
              <w:bottom w:val="nil"/>
              <w:right w:val="nil"/>
            </w:tcBorders>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Other investing activities, net</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21</w:t>
            </w:r>
          </w:p>
        </w:tc>
        <w:tc>
          <w:tcPr>
            <w:tcW w:w="204" w:type="dxa"/>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8</w:t>
            </w:r>
          </w:p>
        </w:tc>
        <w:tc>
          <w:tcPr>
            <w:tcW w:w="204" w:type="dxa"/>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r>
      <w:tr w:rsidR="00C950DB" w:rsidRPr="00C950DB" w:rsidTr="00C950DB">
        <w:tc>
          <w:tcPr>
            <w:tcW w:w="15096" w:type="dxa"/>
            <w:tcBorders>
              <w:top w:val="nil"/>
              <w:left w:val="nil"/>
              <w:bottom w:val="nil"/>
              <w:right w:val="nil"/>
            </w:tcBorders>
            <w:shd w:val="clear" w:color="auto" w:fill="CCEEFF"/>
            <w:tcMar>
              <w:top w:w="0" w:type="dxa"/>
              <w:left w:w="9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Net cash used in investing activities</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(4,047</w:t>
            </w:r>
          </w:p>
        </w:tc>
        <w:tc>
          <w:tcPr>
            <w:tcW w:w="20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(5,841</w:t>
            </w:r>
          </w:p>
        </w:tc>
        <w:tc>
          <w:tcPr>
            <w:tcW w:w="20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5096"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b/>
                <w:bCs/>
                <w:color w:val="333333"/>
                <w:kern w:val="0"/>
                <w:sz w:val="24"/>
                <w:szCs w:val="24"/>
              </w:rPr>
              <w:t>Financing activities</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0" w:type="auto"/>
            <w:gridSpan w:val="3"/>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5096" w:type="dxa"/>
            <w:tcBorders>
              <w:top w:val="nil"/>
              <w:left w:val="nil"/>
              <w:bottom w:val="nil"/>
              <w:right w:val="nil"/>
            </w:tcBorders>
            <w:shd w:val="clear" w:color="auto" w:fill="CCEEFF"/>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Net proceeds from issuance of debt</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7,759</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1,204</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r>
      <w:tr w:rsidR="00C950DB" w:rsidRPr="00C950DB" w:rsidTr="00C950DB">
        <w:tc>
          <w:tcPr>
            <w:tcW w:w="15096" w:type="dxa"/>
            <w:tcBorders>
              <w:top w:val="nil"/>
              <w:left w:val="nil"/>
              <w:bottom w:val="nil"/>
              <w:right w:val="nil"/>
            </w:tcBorders>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Repayment of debt</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(2,412</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(3,607</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5096" w:type="dxa"/>
            <w:tcBorders>
              <w:top w:val="nil"/>
              <w:left w:val="nil"/>
              <w:bottom w:val="nil"/>
              <w:right w:val="nil"/>
            </w:tcBorders>
            <w:shd w:val="clear" w:color="auto" w:fill="CCEEFF"/>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Proceeds from issuance of commercial paper</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1,095</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r>
      <w:tr w:rsidR="00C950DB" w:rsidRPr="00C950DB" w:rsidTr="00C950DB">
        <w:tc>
          <w:tcPr>
            <w:tcW w:w="15096" w:type="dxa"/>
            <w:tcBorders>
              <w:top w:val="nil"/>
              <w:left w:val="nil"/>
              <w:bottom w:val="nil"/>
              <w:right w:val="nil"/>
            </w:tcBorders>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Repayment of commercial paper</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(1,095</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r>
      <w:tr w:rsidR="00C950DB" w:rsidRPr="00C950DB" w:rsidTr="00C950DB">
        <w:tc>
          <w:tcPr>
            <w:tcW w:w="15096" w:type="dxa"/>
            <w:tcBorders>
              <w:top w:val="nil"/>
              <w:left w:val="nil"/>
              <w:bottom w:val="nil"/>
              <w:right w:val="nil"/>
            </w:tcBorders>
            <w:shd w:val="clear" w:color="auto" w:fill="CCEEFF"/>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Purchases of company common stock</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(3,000</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(4,000</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5096" w:type="dxa"/>
            <w:tcBorders>
              <w:top w:val="nil"/>
              <w:left w:val="nil"/>
              <w:bottom w:val="nil"/>
              <w:right w:val="nil"/>
            </w:tcBorders>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Dividends paid</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(636</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(583</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5096" w:type="dxa"/>
            <w:tcBorders>
              <w:top w:val="nil"/>
              <w:left w:val="nil"/>
              <w:bottom w:val="nil"/>
              <w:right w:val="nil"/>
            </w:tcBorders>
            <w:shd w:val="clear" w:color="auto" w:fill="CCEEFF"/>
            <w:tcMar>
              <w:top w:w="0" w:type="dxa"/>
              <w:left w:w="3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Other financing activities, net</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90</w:t>
            </w:r>
          </w:p>
        </w:tc>
        <w:tc>
          <w:tcPr>
            <w:tcW w:w="20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195</w:t>
            </w:r>
          </w:p>
        </w:tc>
        <w:tc>
          <w:tcPr>
            <w:tcW w:w="20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r>
      <w:tr w:rsidR="00C950DB" w:rsidRPr="00C950DB" w:rsidTr="00C950DB">
        <w:tc>
          <w:tcPr>
            <w:tcW w:w="15096" w:type="dxa"/>
            <w:tcBorders>
              <w:top w:val="nil"/>
              <w:left w:val="nil"/>
              <w:bottom w:val="nil"/>
              <w:right w:val="nil"/>
            </w:tcBorders>
            <w:tcMar>
              <w:top w:w="0" w:type="dxa"/>
              <w:left w:w="900" w:type="dxa"/>
              <w:bottom w:w="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Net cash provided by (used in) financing activities</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1,801</w:t>
            </w:r>
          </w:p>
        </w:tc>
        <w:tc>
          <w:tcPr>
            <w:tcW w:w="204" w:type="dxa"/>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(6,792</w:t>
            </w:r>
          </w:p>
        </w:tc>
        <w:tc>
          <w:tcPr>
            <w:tcW w:w="204" w:type="dxa"/>
            <w:tcBorders>
              <w:top w:val="nil"/>
              <w:left w:val="nil"/>
              <w:bottom w:val="single" w:sz="8" w:space="0" w:color="000000"/>
              <w:right w:val="nil"/>
            </w:tcBorders>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5096"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Exchange rate effect on cash</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267</w:t>
            </w:r>
          </w:p>
        </w:tc>
        <w:tc>
          <w:tcPr>
            <w:tcW w:w="20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(91</w:t>
            </w:r>
          </w:p>
        </w:tc>
        <w:tc>
          <w:tcPr>
            <w:tcW w:w="20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5096"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Increase/(decrease) in cash, cash equivalents and restricted cash</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5,839</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nil"/>
              <w:right w:val="nil"/>
            </w:tcBorders>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(4,057</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r>
      <w:tr w:rsidR="00C950DB" w:rsidRPr="00C950DB" w:rsidTr="00C950DB">
        <w:tc>
          <w:tcPr>
            <w:tcW w:w="15096"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Cash, cash equivalents and restricted cash at beginning of period</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4,040</w:t>
            </w:r>
          </w:p>
        </w:tc>
        <w:tc>
          <w:tcPr>
            <w:tcW w:w="20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8,097</w:t>
            </w:r>
          </w:p>
        </w:tc>
        <w:tc>
          <w:tcPr>
            <w:tcW w:w="20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r>
      <w:tr w:rsidR="00C950DB" w:rsidRPr="00C950DB" w:rsidTr="00C950DB">
        <w:tc>
          <w:tcPr>
            <w:tcW w:w="15096"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Cash, cash equivalents and restricted cash at end of period</w:t>
            </w:r>
          </w:p>
        </w:tc>
        <w:tc>
          <w:tcPr>
            <w:tcW w:w="204" w:type="dxa"/>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double" w:sz="6" w:space="0" w:color="000000"/>
              <w:right w:val="nil"/>
            </w:tcBorders>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40" w:type="dxa"/>
            <w:tcBorders>
              <w:top w:val="nil"/>
              <w:left w:val="nil"/>
              <w:bottom w:val="double" w:sz="6" w:space="0" w:color="000000"/>
              <w:right w:val="nil"/>
            </w:tcBorders>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9,879</w:t>
            </w:r>
          </w:p>
        </w:tc>
        <w:tc>
          <w:tcPr>
            <w:tcW w:w="204" w:type="dxa"/>
            <w:tcBorders>
              <w:top w:val="nil"/>
              <w:left w:val="nil"/>
              <w:bottom w:val="double" w:sz="6" w:space="0" w:color="000000"/>
              <w:right w:val="nil"/>
            </w:tcBorders>
            <w:tcMar>
              <w:top w:w="0" w:type="dxa"/>
              <w:left w:w="0" w:type="dxa"/>
              <w:bottom w:w="75"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double" w:sz="6" w:space="0" w:color="000000"/>
              <w:right w:val="nil"/>
            </w:tcBorders>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40" w:type="dxa"/>
            <w:tcBorders>
              <w:top w:val="nil"/>
              <w:left w:val="nil"/>
              <w:bottom w:val="double" w:sz="6" w:space="0" w:color="000000"/>
              <w:right w:val="nil"/>
            </w:tcBorders>
            <w:tcMar>
              <w:top w:w="0" w:type="dxa"/>
              <w:left w:w="0" w:type="dxa"/>
              <w:bottom w:w="75" w:type="dxa"/>
              <w:right w:w="0" w:type="dxa"/>
            </w:tcMar>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4,040</w:t>
            </w:r>
          </w:p>
        </w:tc>
        <w:tc>
          <w:tcPr>
            <w:tcW w:w="204" w:type="dxa"/>
            <w:tcBorders>
              <w:top w:val="nil"/>
              <w:left w:val="nil"/>
              <w:bottom w:val="double" w:sz="6" w:space="0" w:color="000000"/>
              <w:right w:val="nil"/>
            </w:tcBorders>
            <w:tcMar>
              <w:top w:w="0" w:type="dxa"/>
              <w:left w:w="0" w:type="dxa"/>
              <w:bottom w:w="75" w:type="dxa"/>
              <w:right w:w="0" w:type="dxa"/>
            </w:tcMar>
            <w:vAlign w:val="bottom"/>
            <w:hideMark/>
          </w:tcPr>
          <w:p w:rsidR="00C950DB" w:rsidRPr="00C950DB" w:rsidRDefault="00C950DB" w:rsidP="00C950DB">
            <w:pPr>
              <w:widowControl/>
              <w:jc w:val="left"/>
              <w:rPr>
                <w:rFonts w:ascii="Arial" w:eastAsia="宋体" w:hAnsi="Arial" w:cs="Arial"/>
                <w:color w:val="333333"/>
                <w:kern w:val="0"/>
                <w:sz w:val="24"/>
                <w:szCs w:val="24"/>
              </w:rPr>
            </w:pPr>
          </w:p>
        </w:tc>
      </w:tr>
      <w:tr w:rsidR="00C950DB" w:rsidRPr="00C950DB" w:rsidTr="00C950DB">
        <w:tc>
          <w:tcPr>
            <w:tcW w:w="15096"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5096"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15096"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Free cash flow (non-GAAP measure)</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40" w:type="dxa"/>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6,337</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w:t>
            </w:r>
          </w:p>
        </w:tc>
        <w:tc>
          <w:tcPr>
            <w:tcW w:w="2040" w:type="dxa"/>
            <w:tcBorders>
              <w:top w:val="nil"/>
              <w:left w:val="nil"/>
              <w:bottom w:val="nil"/>
              <w:right w:val="nil"/>
            </w:tcBorders>
            <w:shd w:val="clear" w:color="auto" w:fill="CCEEFF"/>
            <w:vAlign w:val="bottom"/>
            <w:hideMark/>
          </w:tcPr>
          <w:p w:rsidR="00C950DB" w:rsidRPr="00C950DB" w:rsidRDefault="00C950DB" w:rsidP="00C950DB">
            <w:pPr>
              <w:widowControl/>
              <w:jc w:val="right"/>
              <w:rPr>
                <w:rFonts w:ascii="Arial" w:eastAsia="宋体" w:hAnsi="Arial" w:cs="Arial"/>
                <w:color w:val="333333"/>
                <w:kern w:val="0"/>
                <w:sz w:val="24"/>
                <w:szCs w:val="24"/>
              </w:rPr>
            </w:pPr>
            <w:r w:rsidRPr="00C950DB">
              <w:rPr>
                <w:rFonts w:ascii="Arial" w:eastAsia="宋体" w:hAnsi="Arial" w:cs="Arial"/>
                <w:color w:val="333333"/>
                <w:kern w:val="0"/>
                <w:sz w:val="24"/>
                <w:szCs w:val="24"/>
              </w:rPr>
              <w:t>7,324</w:t>
            </w:r>
          </w:p>
        </w:tc>
        <w:tc>
          <w:tcPr>
            <w:tcW w:w="204" w:type="dxa"/>
            <w:tcBorders>
              <w:top w:val="nil"/>
              <w:left w:val="nil"/>
              <w:bottom w:val="nil"/>
              <w:right w:val="nil"/>
            </w:tcBorders>
            <w:shd w:val="clear" w:color="auto" w:fill="CCEEFF"/>
            <w:vAlign w:val="bottom"/>
            <w:hideMark/>
          </w:tcPr>
          <w:p w:rsidR="00C950DB" w:rsidRPr="00C950DB" w:rsidRDefault="00C950DB" w:rsidP="00C950DB">
            <w:pPr>
              <w:widowControl/>
              <w:jc w:val="left"/>
              <w:rPr>
                <w:rFonts w:ascii="Arial" w:eastAsia="宋体" w:hAnsi="Arial" w:cs="Arial"/>
                <w:color w:val="333333"/>
                <w:kern w:val="0"/>
                <w:sz w:val="24"/>
                <w:szCs w:val="24"/>
              </w:rPr>
            </w:pPr>
          </w:p>
        </w:tc>
      </w:tr>
      <w:tr w:rsidR="00C950DB" w:rsidRPr="00C950DB" w:rsidTr="00C950DB">
        <w:tc>
          <w:tcPr>
            <w:tcW w:w="15096"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204" w:type="dxa"/>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C950DB" w:rsidRPr="00C950DB" w:rsidRDefault="00C950DB" w:rsidP="00C950DB">
            <w:pPr>
              <w:widowControl/>
              <w:jc w:val="left"/>
              <w:rPr>
                <w:rFonts w:ascii="Times New Roman" w:eastAsia="Times New Roman" w:hAnsi="Times New Roman" w:cs="Times New Roman"/>
                <w:kern w:val="0"/>
                <w:sz w:val="20"/>
                <w:szCs w:val="20"/>
              </w:rPr>
            </w:pPr>
          </w:p>
        </w:tc>
      </w:tr>
      <w:tr w:rsidR="00C950DB" w:rsidRPr="00C950DB" w:rsidTr="00C950DB">
        <w:tc>
          <w:tcPr>
            <w:tcW w:w="0" w:type="auto"/>
            <w:gridSpan w:val="9"/>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Note:</w:t>
            </w:r>
          </w:p>
        </w:tc>
      </w:tr>
      <w:tr w:rsidR="00C950DB" w:rsidRPr="00C950DB" w:rsidTr="00C950DB">
        <w:tc>
          <w:tcPr>
            <w:tcW w:w="0" w:type="auto"/>
            <w:gridSpan w:val="9"/>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For more information related to non-GAAP financial measures, refer to the section titled “Supplemental Information Regarding Non-GAAP Financial Measures” of this release.</w:t>
            </w:r>
          </w:p>
        </w:tc>
      </w:tr>
      <w:tr w:rsidR="00C950DB" w:rsidRPr="00C950DB" w:rsidTr="00C950DB">
        <w:tc>
          <w:tcPr>
            <w:tcW w:w="0" w:type="auto"/>
            <w:gridSpan w:val="9"/>
            <w:tcBorders>
              <w:top w:val="nil"/>
              <w:left w:val="nil"/>
              <w:bottom w:val="nil"/>
              <w:right w:val="nil"/>
            </w:tcBorders>
            <w:vAlign w:val="bottom"/>
            <w:hideMark/>
          </w:tcPr>
          <w:p w:rsidR="00C950DB" w:rsidRPr="00C950DB" w:rsidRDefault="00C950DB" w:rsidP="00C950DB">
            <w:pPr>
              <w:widowControl/>
              <w:jc w:val="left"/>
              <w:rPr>
                <w:rFonts w:ascii="Arial" w:eastAsia="宋体" w:hAnsi="Arial" w:cs="Arial"/>
                <w:color w:val="333333"/>
                <w:kern w:val="0"/>
                <w:sz w:val="24"/>
                <w:szCs w:val="24"/>
              </w:rPr>
            </w:pPr>
          </w:p>
        </w:tc>
      </w:tr>
    </w:tbl>
    <w:p w:rsidR="00C950DB" w:rsidRPr="00C950DB" w:rsidRDefault="00C950DB" w:rsidP="00C950DB">
      <w:pPr>
        <w:widowControl/>
        <w:spacing w:before="100" w:beforeAutospacing="1" w:after="100" w:afterAutospacing="1"/>
        <w:jc w:val="left"/>
        <w:rPr>
          <w:rFonts w:ascii="Arial" w:eastAsia="宋体" w:hAnsi="Arial" w:cs="Arial"/>
          <w:color w:val="333333"/>
          <w:kern w:val="0"/>
          <w:sz w:val="24"/>
          <w:szCs w:val="24"/>
        </w:rPr>
      </w:pPr>
      <w:r w:rsidRPr="00C950DB">
        <w:rPr>
          <w:rFonts w:ascii="Arial" w:eastAsia="宋体" w:hAnsi="Arial" w:cs="Arial"/>
          <w:b/>
          <w:bCs/>
          <w:color w:val="333333"/>
          <w:kern w:val="0"/>
          <w:sz w:val="24"/>
          <w:szCs w:val="24"/>
        </w:rPr>
        <w:t>Supplemental Information Regarding Non-GAAP Financial Measures</w:t>
      </w:r>
    </w:p>
    <w:p w:rsidR="00C950DB" w:rsidRPr="00C950DB" w:rsidRDefault="00C950DB" w:rsidP="00C950DB">
      <w:pPr>
        <w:widowControl/>
        <w:spacing w:before="100" w:beforeAutospacing="1" w:after="100" w:afterAutospacing="1"/>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In addition to the financial measures prepared in accordance with generally accepted accounting principles (GAAP), we use certain non-GAAP financial measures such as organic revenue growth, which is reported revenue growth, excluding the impacts of acquisitions/divestitures and the effects of currency translation. We report these measures because Thermo Fisher management believes that in order to understand the company’s short-term and long-term financial trends, investors may wish to consider the impact of acquisitions/divestitures, and/or foreign currency translation on revenues. Thermo Fisher management uses these measures to forecast and evaluate the operational performance of the company as well as to compare revenues of current periods to prior periods.</w:t>
      </w:r>
    </w:p>
    <w:p w:rsidR="00C950DB" w:rsidRPr="00C950DB" w:rsidRDefault="00C950DB" w:rsidP="00C950DB">
      <w:pPr>
        <w:widowControl/>
        <w:spacing w:before="100" w:beforeAutospacing="1" w:after="100" w:afterAutospacing="1"/>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We report adjusted operating income, adjusted operating margin, adjusted net income, and adjusted EPS. We believe that the use of these non-GAAP financial measures, in addition to GAAP financial measures, helps investors to gain a better understanding of our core operating results and future prospects, consistent with how management measures and forecasts the company’s core operating performance, especially when comparing such results to previous periods, forecasts, and to the performance of our competitors. Such measures are also used by management in their financial and operating decision-making and for compensation purposes. To calculate these measures we exclude, as applicable:</w:t>
      </w:r>
    </w:p>
    <w:p w:rsidR="00C950DB" w:rsidRPr="00C950DB" w:rsidRDefault="00C950DB" w:rsidP="00C950DB">
      <w:pPr>
        <w:widowControl/>
        <w:numPr>
          <w:ilvl w:val="0"/>
          <w:numId w:val="7"/>
        </w:numPr>
        <w:spacing w:before="100" w:beforeAutospacing="1" w:after="100" w:afterAutospacing="1"/>
        <w:ind w:left="0"/>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Certain transaction-related costs, including charges for the sale of inventories revalued at the date of acquisition, significant transaction-related third-party costs, changes in estimates of contingent acquisition-related consideration, and other costs associated with obtaining short-term financing commitments for pending/recent acquisitions. We exclude these costs because we do not believe they are indicative of our normal operating costs.</w:t>
      </w:r>
    </w:p>
    <w:p w:rsidR="00C950DB" w:rsidRPr="00C950DB" w:rsidRDefault="00C950DB" w:rsidP="00C950DB">
      <w:pPr>
        <w:widowControl/>
        <w:numPr>
          <w:ilvl w:val="0"/>
          <w:numId w:val="8"/>
        </w:numPr>
        <w:spacing w:before="100" w:beforeAutospacing="1" w:after="100" w:afterAutospacing="1"/>
        <w:ind w:left="0"/>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Costs/income associated with restructuring activities and large-scale abandonments of product lines, such as reducing overhead and consolidating facilities. We exclude these costs because we believe that the costs related to restructuring activities are not indicative of our normal operating costs.</w:t>
      </w:r>
    </w:p>
    <w:p w:rsidR="00C950DB" w:rsidRPr="00C950DB" w:rsidRDefault="00C950DB" w:rsidP="00C950DB">
      <w:pPr>
        <w:widowControl/>
        <w:numPr>
          <w:ilvl w:val="0"/>
          <w:numId w:val="9"/>
        </w:numPr>
        <w:spacing w:before="100" w:beforeAutospacing="1" w:after="100" w:afterAutospacing="1"/>
        <w:ind w:left="0"/>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Equity in earnings/losses of unconsolidated entities; impairments of long-lived assets; and certain other gains and losses that are either isolated or cannot be expected to occur again with any predictability, including gains/losses on investments, the sale of businesses, product lines, and real estate, significant litigation-related matters, curtailments/settlements of pension plans, and the early retirement of debt. We exclude these items because they are outside of our normal operations and/or, in certain cases, are difficult to forecast accurately for future periods.</w:t>
      </w:r>
    </w:p>
    <w:p w:rsidR="00C950DB" w:rsidRPr="00C950DB" w:rsidRDefault="00C950DB" w:rsidP="00C950DB">
      <w:pPr>
        <w:widowControl/>
        <w:numPr>
          <w:ilvl w:val="0"/>
          <w:numId w:val="10"/>
        </w:numPr>
        <w:spacing w:before="100" w:beforeAutospacing="1" w:after="100" w:afterAutospacing="1"/>
        <w:ind w:left="0"/>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The expense associated with the amortization of acquisition-related intangible assets because a significant portion of the purchase price for acquisitions may be allocated to intangible assets that have lives of up to 20 years. Exclusion of the amortization expense allows comparisons of operating results that are consistent over time for both our newly acquired and long-held businesses and with both acquisitive and non-acquisitive peer companies.</w:t>
      </w:r>
    </w:p>
    <w:p w:rsidR="00C950DB" w:rsidRPr="00C950DB" w:rsidRDefault="00C950DB" w:rsidP="00C950DB">
      <w:pPr>
        <w:widowControl/>
        <w:numPr>
          <w:ilvl w:val="0"/>
          <w:numId w:val="11"/>
        </w:numPr>
        <w:spacing w:before="100" w:beforeAutospacing="1" w:after="100" w:afterAutospacing="1"/>
        <w:ind w:left="0"/>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 xml:space="preserve">The </w:t>
      </w:r>
      <w:proofErr w:type="spellStart"/>
      <w:r w:rsidRPr="00C950DB">
        <w:rPr>
          <w:rFonts w:ascii="Arial" w:eastAsia="宋体" w:hAnsi="Arial" w:cs="Arial"/>
          <w:color w:val="333333"/>
          <w:kern w:val="0"/>
          <w:sz w:val="24"/>
          <w:szCs w:val="24"/>
        </w:rPr>
        <w:t>noncontrolling</w:t>
      </w:r>
      <w:proofErr w:type="spellEnd"/>
      <w:r w:rsidRPr="00C950DB">
        <w:rPr>
          <w:rFonts w:ascii="Arial" w:eastAsia="宋体" w:hAnsi="Arial" w:cs="Arial"/>
          <w:color w:val="333333"/>
          <w:kern w:val="0"/>
          <w:sz w:val="24"/>
          <w:szCs w:val="24"/>
        </w:rPr>
        <w:t xml:space="preserve"> interest and tax impacts of the above items and the impact of significant tax audits or events (such as changes in deferred taxes from enacted tax rate/law changes), the latter of which we exclude because they are outside of our normal operations and difficult to forecast accurately for future periods.</w:t>
      </w:r>
    </w:p>
    <w:p w:rsidR="00C950DB" w:rsidRPr="00C950DB" w:rsidRDefault="00C950DB" w:rsidP="00C950DB">
      <w:pPr>
        <w:widowControl/>
        <w:spacing w:before="100" w:beforeAutospacing="1" w:after="100" w:afterAutospacing="1"/>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We report free cash flow, which is operating cash flow less net capital expenditures, to provide a view of the continuing operations’ ability to generate cash for use in acquisitions and other investing and financing activities. The company also uses this measure as an indication of the strength of the company. Free cash flow is not a measure of cash available for discretionary expenditures since we have certain non-discretionary obligations such as debt service that are not deducted from the measure.</w:t>
      </w:r>
    </w:p>
    <w:p w:rsidR="00C950DB" w:rsidRPr="00C950DB" w:rsidRDefault="00C950DB" w:rsidP="00C950DB">
      <w:pPr>
        <w:widowControl/>
        <w:spacing w:before="100" w:beforeAutospacing="1" w:after="100" w:afterAutospacing="1"/>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Thermo Fisher Scientific does not provide GAAP financial measures on a forward-looking basis because we are unable to predict with reasonable certainty and without unreasonable effort items such as the timing and amount of future restructuring actions, transaction-related charges as well as gains or losses from sales of real estate and businesses, the early retirement of debt and the outcome of legal proceedings. The timing and amount of these items are uncertain and could be material to Thermo Fisher Scientific’s results computed in accordance with GAAP.</w:t>
      </w:r>
    </w:p>
    <w:p w:rsidR="00C950DB" w:rsidRPr="00C950DB" w:rsidRDefault="00C950DB" w:rsidP="00C950DB">
      <w:pPr>
        <w:widowControl/>
        <w:spacing w:before="100" w:beforeAutospacing="1" w:after="100" w:afterAutospacing="1"/>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The non-GAAP financial measures of Thermo Fisher Scientific’s results of operations and cash flows included in this press release are not meant to be considered superior to or a substitute for Thermo Fisher Scientific’s results of operations prepared in accordance with GAAP. Reconciliations of such non-GAAP financial measures to the most directly comparable GAAP financial measures are set forth in the tables above.</w:t>
      </w:r>
    </w:p>
    <w:p w:rsidR="00C950DB" w:rsidRPr="00C950DB" w:rsidRDefault="00C950DB" w:rsidP="00C950DB">
      <w:pPr>
        <w:widowControl/>
        <w:spacing w:before="100" w:beforeAutospacing="1" w:after="100" w:afterAutospacing="1"/>
        <w:jc w:val="left"/>
        <w:rPr>
          <w:rFonts w:ascii="Arial" w:eastAsia="宋体" w:hAnsi="Arial" w:cs="Arial"/>
          <w:color w:val="333333"/>
          <w:kern w:val="0"/>
          <w:sz w:val="24"/>
          <w:szCs w:val="24"/>
        </w:rPr>
      </w:pPr>
      <w:r w:rsidRPr="00C950DB">
        <w:rPr>
          <w:rFonts w:ascii="Arial" w:eastAsia="宋体" w:hAnsi="Arial" w:cs="Arial"/>
          <w:noProof/>
          <w:color w:val="333333"/>
          <w:kern w:val="0"/>
          <w:sz w:val="24"/>
          <w:szCs w:val="24"/>
        </w:rPr>
        <w:drawing>
          <wp:inline distT="0" distB="0" distL="0" distR="0">
            <wp:extent cx="9525" cy="9525"/>
            <wp:effectExtent l="0" t="0" r="0" b="0"/>
            <wp:docPr id="1" name="图片 1" descr="https://cts.businesswire.com/ct/CT?id=bwnews&amp;sty=20260129692126r1&amp;sid=q4-prod&amp;distro=nx&amp;lan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ts.businesswire.com/ct/CT?id=bwnews&amp;sty=20260129692126r1&amp;sid=q4-prod&amp;distro=nx&amp;lang=en"/>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C950DB" w:rsidRPr="00C950DB" w:rsidRDefault="00C950DB" w:rsidP="00C950DB">
      <w:pPr>
        <w:widowControl/>
        <w:spacing w:before="100" w:beforeAutospacing="1" w:after="100" w:afterAutospacing="1"/>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Media Contact Information</w:t>
      </w:r>
      <w:proofErr w:type="gramStart"/>
      <w:r w:rsidRPr="00C950DB">
        <w:rPr>
          <w:rFonts w:ascii="Arial" w:eastAsia="宋体" w:hAnsi="Arial" w:cs="Arial"/>
          <w:color w:val="333333"/>
          <w:kern w:val="0"/>
          <w:sz w:val="24"/>
          <w:szCs w:val="24"/>
        </w:rPr>
        <w:t>:</w:t>
      </w:r>
      <w:proofErr w:type="gramEnd"/>
      <w:r w:rsidRPr="00C950DB">
        <w:rPr>
          <w:rFonts w:ascii="Arial" w:eastAsia="宋体" w:hAnsi="Arial" w:cs="Arial"/>
          <w:color w:val="333333"/>
          <w:kern w:val="0"/>
          <w:sz w:val="24"/>
          <w:szCs w:val="24"/>
        </w:rPr>
        <w:br/>
        <w:t>Sandy Pound</w:t>
      </w:r>
      <w:r w:rsidRPr="00C950DB">
        <w:rPr>
          <w:rFonts w:ascii="Arial" w:eastAsia="宋体" w:hAnsi="Arial" w:cs="Arial"/>
          <w:color w:val="333333"/>
          <w:kern w:val="0"/>
          <w:sz w:val="24"/>
          <w:szCs w:val="24"/>
        </w:rPr>
        <w:br/>
        <w:t>Thermo Fisher Scientific</w:t>
      </w:r>
      <w:r w:rsidRPr="00C950DB">
        <w:rPr>
          <w:rFonts w:ascii="Arial" w:eastAsia="宋体" w:hAnsi="Arial" w:cs="Arial"/>
          <w:color w:val="333333"/>
          <w:kern w:val="0"/>
          <w:sz w:val="24"/>
          <w:szCs w:val="24"/>
        </w:rPr>
        <w:br/>
        <w:t>Phone: 781-622-1223</w:t>
      </w:r>
      <w:r w:rsidRPr="00C950DB">
        <w:rPr>
          <w:rFonts w:ascii="Arial" w:eastAsia="宋体" w:hAnsi="Arial" w:cs="Arial"/>
          <w:color w:val="333333"/>
          <w:kern w:val="0"/>
          <w:sz w:val="24"/>
          <w:szCs w:val="24"/>
        </w:rPr>
        <w:br/>
        <w:t>E-mail: </w:t>
      </w:r>
      <w:hyperlink r:id="rId21" w:history="1">
        <w:r w:rsidRPr="00C950DB">
          <w:rPr>
            <w:rFonts w:ascii="Arial" w:eastAsia="宋体" w:hAnsi="Arial" w:cs="Arial"/>
            <w:color w:val="317E8C"/>
            <w:kern w:val="0"/>
            <w:sz w:val="24"/>
            <w:szCs w:val="24"/>
          </w:rPr>
          <w:t>sandy.pound@thermofisher.com</w:t>
        </w:r>
      </w:hyperlink>
    </w:p>
    <w:p w:rsidR="00C950DB" w:rsidRPr="00C950DB" w:rsidRDefault="00C950DB" w:rsidP="00C950DB">
      <w:pPr>
        <w:widowControl/>
        <w:spacing w:before="100" w:beforeAutospacing="1" w:after="100" w:afterAutospacing="1"/>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Investor Contact Information</w:t>
      </w:r>
      <w:proofErr w:type="gramStart"/>
      <w:r w:rsidRPr="00C950DB">
        <w:rPr>
          <w:rFonts w:ascii="Arial" w:eastAsia="宋体" w:hAnsi="Arial" w:cs="Arial"/>
          <w:color w:val="333333"/>
          <w:kern w:val="0"/>
          <w:sz w:val="24"/>
          <w:szCs w:val="24"/>
        </w:rPr>
        <w:t>:</w:t>
      </w:r>
      <w:proofErr w:type="gramEnd"/>
      <w:r w:rsidRPr="00C950DB">
        <w:rPr>
          <w:rFonts w:ascii="Arial" w:eastAsia="宋体" w:hAnsi="Arial" w:cs="Arial"/>
          <w:color w:val="333333"/>
          <w:kern w:val="0"/>
          <w:sz w:val="24"/>
          <w:szCs w:val="24"/>
        </w:rPr>
        <w:br/>
        <w:t>Rafael Tejada</w:t>
      </w:r>
      <w:r w:rsidRPr="00C950DB">
        <w:rPr>
          <w:rFonts w:ascii="Arial" w:eastAsia="宋体" w:hAnsi="Arial" w:cs="Arial"/>
          <w:color w:val="333333"/>
          <w:kern w:val="0"/>
          <w:sz w:val="24"/>
          <w:szCs w:val="24"/>
        </w:rPr>
        <w:br/>
        <w:t>Thermo Fisher Scientific</w:t>
      </w:r>
      <w:r w:rsidRPr="00C950DB">
        <w:rPr>
          <w:rFonts w:ascii="Arial" w:eastAsia="宋体" w:hAnsi="Arial" w:cs="Arial"/>
          <w:color w:val="333333"/>
          <w:kern w:val="0"/>
          <w:sz w:val="24"/>
          <w:szCs w:val="24"/>
        </w:rPr>
        <w:br/>
        <w:t>Phone: 781-622-1356</w:t>
      </w:r>
      <w:r w:rsidRPr="00C950DB">
        <w:rPr>
          <w:rFonts w:ascii="Arial" w:eastAsia="宋体" w:hAnsi="Arial" w:cs="Arial"/>
          <w:color w:val="333333"/>
          <w:kern w:val="0"/>
          <w:sz w:val="24"/>
          <w:szCs w:val="24"/>
        </w:rPr>
        <w:br/>
        <w:t>E-mail: </w:t>
      </w:r>
      <w:hyperlink r:id="rId22" w:history="1">
        <w:r w:rsidRPr="00C950DB">
          <w:rPr>
            <w:rFonts w:ascii="Arial" w:eastAsia="宋体" w:hAnsi="Arial" w:cs="Arial"/>
            <w:color w:val="317E8C"/>
            <w:kern w:val="0"/>
            <w:sz w:val="24"/>
            <w:szCs w:val="24"/>
          </w:rPr>
          <w:t>rafael.tejada@thermofisher.com</w:t>
        </w:r>
      </w:hyperlink>
    </w:p>
    <w:p w:rsidR="00C950DB" w:rsidRPr="00C950DB" w:rsidRDefault="00C950DB" w:rsidP="00C950DB">
      <w:pPr>
        <w:widowControl/>
        <w:jc w:val="left"/>
        <w:rPr>
          <w:rFonts w:ascii="Arial" w:eastAsia="宋体" w:hAnsi="Arial" w:cs="Arial"/>
          <w:color w:val="333333"/>
          <w:kern w:val="0"/>
          <w:sz w:val="24"/>
          <w:szCs w:val="24"/>
        </w:rPr>
      </w:pPr>
      <w:r w:rsidRPr="00C950DB">
        <w:rPr>
          <w:rFonts w:ascii="Arial" w:eastAsia="宋体" w:hAnsi="Arial" w:cs="Arial"/>
          <w:color w:val="333333"/>
          <w:kern w:val="0"/>
          <w:sz w:val="24"/>
          <w:szCs w:val="24"/>
        </w:rPr>
        <w:t>Source: Thermo Fisher Scientific Inc.</w:t>
      </w:r>
    </w:p>
    <w:p w:rsidR="008F6F6A" w:rsidRPr="00C950DB" w:rsidRDefault="008F6F6A">
      <w:bookmarkStart w:id="0" w:name="_GoBack"/>
      <w:bookmarkEnd w:id="0"/>
    </w:p>
    <w:sectPr w:rsidR="008F6F6A" w:rsidRPr="00C950D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E4227"/>
    <w:multiLevelType w:val="multilevel"/>
    <w:tmpl w:val="43B03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1BC2B69"/>
    <w:multiLevelType w:val="multilevel"/>
    <w:tmpl w:val="26760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8EE356D"/>
    <w:multiLevelType w:val="multilevel"/>
    <w:tmpl w:val="BD700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29F134C"/>
    <w:multiLevelType w:val="multilevel"/>
    <w:tmpl w:val="038209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2D5848A9"/>
    <w:multiLevelType w:val="multilevel"/>
    <w:tmpl w:val="7032B6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2E5E767A"/>
    <w:multiLevelType w:val="multilevel"/>
    <w:tmpl w:val="0EF400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3F6E129E"/>
    <w:multiLevelType w:val="multilevel"/>
    <w:tmpl w:val="DF4C2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451D3CFD"/>
    <w:multiLevelType w:val="multilevel"/>
    <w:tmpl w:val="E6362C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46225835"/>
    <w:multiLevelType w:val="multilevel"/>
    <w:tmpl w:val="6B529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55D92C47"/>
    <w:multiLevelType w:val="multilevel"/>
    <w:tmpl w:val="922AD9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5D012BC0"/>
    <w:multiLevelType w:val="multilevel"/>
    <w:tmpl w:val="5C6ADB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5"/>
  </w:num>
  <w:num w:numId="2">
    <w:abstractNumId w:val="4"/>
  </w:num>
  <w:num w:numId="3">
    <w:abstractNumId w:val="10"/>
  </w:num>
  <w:num w:numId="4">
    <w:abstractNumId w:val="2"/>
  </w:num>
  <w:num w:numId="5">
    <w:abstractNumId w:val="8"/>
  </w:num>
  <w:num w:numId="6">
    <w:abstractNumId w:val="7"/>
  </w:num>
  <w:num w:numId="7">
    <w:abstractNumId w:val="3"/>
  </w:num>
  <w:num w:numId="8">
    <w:abstractNumId w:val="0"/>
  </w:num>
  <w:num w:numId="9">
    <w:abstractNumId w:val="1"/>
  </w:num>
  <w:num w:numId="10">
    <w:abstractNumId w:val="6"/>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2501"/>
    <w:rsid w:val="00812501"/>
    <w:rsid w:val="008F6F6A"/>
    <w:rsid w:val="00C950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06B43DB-173C-451D-B74D-5F9C6C2183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3">
    <w:name w:val="heading 3"/>
    <w:basedOn w:val="a"/>
    <w:link w:val="3Char"/>
    <w:uiPriority w:val="9"/>
    <w:qFormat/>
    <w:rsid w:val="00C950DB"/>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C950DB"/>
    <w:rPr>
      <w:rFonts w:ascii="宋体" w:eastAsia="宋体" w:hAnsi="宋体" w:cs="宋体"/>
      <w:b/>
      <w:bCs/>
      <w:kern w:val="0"/>
      <w:sz w:val="27"/>
      <w:szCs w:val="27"/>
    </w:rPr>
  </w:style>
  <w:style w:type="character" w:customStyle="1" w:styleId="evergreen-news-date-text">
    <w:name w:val="evergreen-news-date-text"/>
    <w:basedOn w:val="a0"/>
    <w:rsid w:val="00C950DB"/>
  </w:style>
  <w:style w:type="character" w:customStyle="1" w:styleId="evergreen-news-time-text">
    <w:name w:val="evergreen-news-time-text"/>
    <w:basedOn w:val="a0"/>
    <w:rsid w:val="00C950DB"/>
  </w:style>
  <w:style w:type="paragraph" w:styleId="a3">
    <w:name w:val="Normal (Web)"/>
    <w:basedOn w:val="a"/>
    <w:uiPriority w:val="99"/>
    <w:semiHidden/>
    <w:unhideWhenUsed/>
    <w:rsid w:val="00C950DB"/>
    <w:pPr>
      <w:widowControl/>
      <w:spacing w:before="100" w:beforeAutospacing="1" w:after="100" w:afterAutospacing="1"/>
      <w:jc w:val="left"/>
    </w:pPr>
    <w:rPr>
      <w:rFonts w:ascii="宋体" w:eastAsia="宋体" w:hAnsi="宋体" w:cs="宋体"/>
      <w:kern w:val="0"/>
      <w:sz w:val="24"/>
      <w:szCs w:val="24"/>
    </w:rPr>
  </w:style>
  <w:style w:type="character" w:customStyle="1" w:styleId="bw-dateline-wrapper">
    <w:name w:val="bw-dateline-wrapper"/>
    <w:basedOn w:val="a0"/>
    <w:rsid w:val="00C950DB"/>
  </w:style>
  <w:style w:type="character" w:styleId="a4">
    <w:name w:val="Strong"/>
    <w:basedOn w:val="a0"/>
    <w:uiPriority w:val="22"/>
    <w:qFormat/>
    <w:rsid w:val="00C950DB"/>
    <w:rPr>
      <w:b/>
      <w:bCs/>
    </w:rPr>
  </w:style>
  <w:style w:type="character" w:styleId="a5">
    <w:name w:val="Hyperlink"/>
    <w:basedOn w:val="a0"/>
    <w:uiPriority w:val="99"/>
    <w:semiHidden/>
    <w:unhideWhenUsed/>
    <w:rsid w:val="00C950DB"/>
    <w:rPr>
      <w:color w:val="0000FF"/>
      <w:u w:val="single"/>
    </w:rPr>
  </w:style>
  <w:style w:type="character" w:styleId="a6">
    <w:name w:val="FollowedHyperlink"/>
    <w:basedOn w:val="a0"/>
    <w:uiPriority w:val="99"/>
    <w:semiHidden/>
    <w:unhideWhenUsed/>
    <w:rsid w:val="00C950DB"/>
    <w:rPr>
      <w:color w:val="800080"/>
      <w:u w:val="single"/>
    </w:rPr>
  </w:style>
  <w:style w:type="character" w:customStyle="1" w:styleId="bwuline">
    <w:name w:val="bwuline"/>
    <w:basedOn w:val="a0"/>
    <w:rsid w:val="00C950DB"/>
  </w:style>
  <w:style w:type="paragraph" w:customStyle="1" w:styleId="bwcellpmargin">
    <w:name w:val="bwcellpmargin"/>
    <w:basedOn w:val="a"/>
    <w:rsid w:val="00C950DB"/>
    <w:pPr>
      <w:widowControl/>
      <w:spacing w:before="100" w:beforeAutospacing="1" w:after="100" w:afterAutospacing="1"/>
      <w:jc w:val="left"/>
    </w:pPr>
    <w:rPr>
      <w:rFonts w:ascii="宋体" w:eastAsia="宋体" w:hAnsi="宋体" w:cs="宋体"/>
      <w:kern w:val="0"/>
      <w:sz w:val="24"/>
      <w:szCs w:val="24"/>
    </w:rPr>
  </w:style>
  <w:style w:type="paragraph" w:customStyle="1" w:styleId="bwalignc">
    <w:name w:val="bwalignc"/>
    <w:basedOn w:val="a"/>
    <w:rsid w:val="00C950DB"/>
    <w:pPr>
      <w:widowControl/>
      <w:spacing w:before="100" w:beforeAutospacing="1" w:after="100" w:afterAutospacing="1"/>
      <w:jc w:val="left"/>
    </w:pPr>
    <w:rPr>
      <w:rFonts w:ascii="宋体" w:eastAsia="宋体" w:hAnsi="宋体" w:cs="宋体"/>
      <w:kern w:val="0"/>
      <w:sz w:val="24"/>
      <w:szCs w:val="24"/>
    </w:rPr>
  </w:style>
  <w:style w:type="paragraph" w:customStyle="1" w:styleId="bwalignr">
    <w:name w:val="bwalignr"/>
    <w:basedOn w:val="a"/>
    <w:rsid w:val="00C950DB"/>
    <w:pPr>
      <w:widowControl/>
      <w:spacing w:before="100" w:beforeAutospacing="1" w:after="100" w:afterAutospacing="1"/>
      <w:jc w:val="left"/>
    </w:pPr>
    <w:rPr>
      <w:rFonts w:ascii="宋体" w:eastAsia="宋体" w:hAnsi="宋体" w:cs="宋体"/>
      <w:kern w:val="0"/>
      <w:sz w:val="24"/>
      <w:szCs w:val="24"/>
    </w:rPr>
  </w:style>
  <w:style w:type="paragraph" w:customStyle="1" w:styleId="bwalignl">
    <w:name w:val="bwalignl"/>
    <w:basedOn w:val="a"/>
    <w:rsid w:val="00C950DB"/>
    <w:pPr>
      <w:widowControl/>
      <w:spacing w:before="100" w:beforeAutospacing="1" w:after="100" w:afterAutospacing="1"/>
      <w:jc w:val="left"/>
    </w:pPr>
    <w:rPr>
      <w:rFonts w:ascii="宋体" w:eastAsia="宋体" w:hAnsi="宋体" w:cs="宋体"/>
      <w:kern w:val="0"/>
      <w:sz w:val="24"/>
      <w:szCs w:val="24"/>
    </w:rPr>
  </w:style>
  <w:style w:type="character" w:customStyle="1" w:styleId="bwct31415">
    <w:name w:val="bwct31415"/>
    <w:basedOn w:val="a0"/>
    <w:rsid w:val="00C950DB"/>
  </w:style>
  <w:style w:type="character" w:customStyle="1" w:styleId="bw-source-text-wrapper">
    <w:name w:val="bw-source-text-wrapper"/>
    <w:basedOn w:val="a0"/>
    <w:rsid w:val="00C950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66277859">
      <w:bodyDiv w:val="1"/>
      <w:marLeft w:val="0"/>
      <w:marRight w:val="0"/>
      <w:marTop w:val="0"/>
      <w:marBottom w:val="0"/>
      <w:divBdr>
        <w:top w:val="none" w:sz="0" w:space="0" w:color="auto"/>
        <w:left w:val="none" w:sz="0" w:space="0" w:color="auto"/>
        <w:bottom w:val="none" w:sz="0" w:space="0" w:color="auto"/>
        <w:right w:val="none" w:sz="0" w:space="0" w:color="auto"/>
      </w:divBdr>
      <w:divsChild>
        <w:div w:id="1993944084">
          <w:marLeft w:val="0"/>
          <w:marRight w:val="0"/>
          <w:marTop w:val="360"/>
          <w:marBottom w:val="240"/>
          <w:divBdr>
            <w:top w:val="none" w:sz="0" w:space="0" w:color="auto"/>
            <w:left w:val="none" w:sz="0" w:space="0" w:color="auto"/>
            <w:bottom w:val="none" w:sz="0" w:space="0" w:color="auto"/>
            <w:right w:val="none" w:sz="0" w:space="0" w:color="auto"/>
          </w:divBdr>
        </w:div>
        <w:div w:id="578178308">
          <w:marLeft w:val="0"/>
          <w:marRight w:val="0"/>
          <w:marTop w:val="0"/>
          <w:marBottom w:val="210"/>
          <w:divBdr>
            <w:top w:val="none" w:sz="0" w:space="0" w:color="auto"/>
            <w:left w:val="none" w:sz="0" w:space="0" w:color="auto"/>
            <w:bottom w:val="none" w:sz="0" w:space="0" w:color="auto"/>
            <w:right w:val="none" w:sz="0" w:space="0" w:color="auto"/>
          </w:divBdr>
        </w:div>
        <w:div w:id="1893955981">
          <w:marLeft w:val="0"/>
          <w:marRight w:val="0"/>
          <w:marTop w:val="240"/>
          <w:marBottom w:val="240"/>
          <w:divBdr>
            <w:top w:val="none" w:sz="0" w:space="0" w:color="auto"/>
            <w:left w:val="none" w:sz="0" w:space="0" w:color="auto"/>
            <w:bottom w:val="none" w:sz="0" w:space="0" w:color="auto"/>
            <w:right w:val="none" w:sz="0" w:space="0" w:color="auto"/>
          </w:divBdr>
          <w:divsChild>
            <w:div w:id="1493063716">
              <w:marLeft w:val="0"/>
              <w:marRight w:val="0"/>
              <w:marTop w:val="0"/>
              <w:marBottom w:val="0"/>
              <w:divBdr>
                <w:top w:val="none" w:sz="0" w:space="0" w:color="auto"/>
                <w:left w:val="none" w:sz="0" w:space="0" w:color="auto"/>
                <w:bottom w:val="none" w:sz="0" w:space="0" w:color="auto"/>
                <w:right w:val="none" w:sz="0" w:space="0" w:color="auto"/>
              </w:divBdr>
              <w:divsChild>
                <w:div w:id="598636685">
                  <w:marLeft w:val="0"/>
                  <w:marRight w:val="0"/>
                  <w:marTop w:val="0"/>
                  <w:marBottom w:val="0"/>
                  <w:divBdr>
                    <w:top w:val="none" w:sz="0" w:space="0" w:color="auto"/>
                    <w:left w:val="none" w:sz="0" w:space="0" w:color="auto"/>
                    <w:bottom w:val="none" w:sz="0" w:space="0" w:color="auto"/>
                    <w:right w:val="none" w:sz="0" w:space="0" w:color="auto"/>
                  </w:divBdr>
                </w:div>
                <w:div w:id="1023356979">
                  <w:marLeft w:val="0"/>
                  <w:marRight w:val="0"/>
                  <w:marTop w:val="0"/>
                  <w:marBottom w:val="0"/>
                  <w:divBdr>
                    <w:top w:val="none" w:sz="0" w:space="0" w:color="auto"/>
                    <w:left w:val="none" w:sz="0" w:space="0" w:color="auto"/>
                    <w:bottom w:val="none" w:sz="0" w:space="0" w:color="auto"/>
                    <w:right w:val="none" w:sz="0" w:space="0" w:color="auto"/>
                  </w:divBdr>
                </w:div>
                <w:div w:id="586816457">
                  <w:marLeft w:val="0"/>
                  <w:marRight w:val="0"/>
                  <w:marTop w:val="0"/>
                  <w:marBottom w:val="0"/>
                  <w:divBdr>
                    <w:top w:val="none" w:sz="0" w:space="0" w:color="auto"/>
                    <w:left w:val="none" w:sz="0" w:space="0" w:color="auto"/>
                    <w:bottom w:val="none" w:sz="0" w:space="0" w:color="auto"/>
                    <w:right w:val="none" w:sz="0" w:space="0" w:color="auto"/>
                  </w:divBdr>
                </w:div>
                <w:div w:id="56979984">
                  <w:marLeft w:val="0"/>
                  <w:marRight w:val="0"/>
                  <w:marTop w:val="0"/>
                  <w:marBottom w:val="0"/>
                  <w:divBdr>
                    <w:top w:val="none" w:sz="0" w:space="0" w:color="auto"/>
                    <w:left w:val="none" w:sz="0" w:space="0" w:color="auto"/>
                    <w:bottom w:val="none" w:sz="0" w:space="0" w:color="auto"/>
                    <w:right w:val="none" w:sz="0" w:space="0" w:color="auto"/>
                  </w:divBdr>
                </w:div>
                <w:div w:id="719982282">
                  <w:marLeft w:val="0"/>
                  <w:marRight w:val="0"/>
                  <w:marTop w:val="0"/>
                  <w:marBottom w:val="0"/>
                  <w:divBdr>
                    <w:top w:val="none" w:sz="0" w:space="0" w:color="auto"/>
                    <w:left w:val="none" w:sz="0" w:space="0" w:color="auto"/>
                    <w:bottom w:val="none" w:sz="0" w:space="0" w:color="auto"/>
                    <w:right w:val="none" w:sz="0" w:space="0" w:color="auto"/>
                  </w:divBdr>
                </w:div>
                <w:div w:id="1270284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ts.businesswire.com/ct/CT?id=smartlink&amp;url=https%3A%2F%2Fnewsroom.thermofisher.com%2Fnewsroom%2Fpress-releases%2Fpress-release-details%2F2025%2FThermo-Fisher-Scientific-Introduces-the-5L-DynaDrive-Single-Use-Bioreactor-to-Simplify-and-Accelerate-Process-Development-and-Help-Bring-Therapies-to-Market-Faster%2Fdefault.aspx&amp;esheet=54406760&amp;newsitemid=20260129692126&amp;lan=en-US&amp;anchor=bench-scale+Thermo+Scientific%26%238482%3B+5L+DynaDrive%26%238482%3B+Single-Use+Bioreactor&amp;index=4&amp;md5=b3b8107c431c9c74d364ecc7e4922252" TargetMode="External"/><Relationship Id="rId13" Type="http://schemas.openxmlformats.org/officeDocument/2006/relationships/hyperlink" Target="https://cts.businesswire.com/ct/CT?id=smartlink&amp;url=https%3A%2F%2Fnewsroom.thermofisher.com%2Fnewsroom%2Fpress-releases%2Fpress-release-details%2F2025%2FThermo-Fisher-Scientific-and-Chan-Zuckerberg-Institute-for-Advanced-Biological-Imaging-Collaborate-to-Further-Understanding-of-Human-Cells%2Fdefault.aspx&amp;esheet=54406760&amp;newsitemid=20260129692126&amp;lan=en-US&amp;anchor=technology+alliance+agreement+with+the+Chan+Zuckerberg+Institute+for+Advanced+Biological+Imaging&amp;index=9&amp;md5=45ca8151b123a72e34ad4bd32c830e06" TargetMode="External"/><Relationship Id="rId18" Type="http://schemas.openxmlformats.org/officeDocument/2006/relationships/hyperlink" Target="https://cts.businesswire.com/ct/CT?id=smartlink&amp;url=http%3A%2F%2Fwww.thermofisher.com&amp;esheet=54406760&amp;newsitemid=20260129692126&amp;lan=en-US&amp;anchor=www.thermofisher.com&amp;index=15&amp;md5=2cc625b15db4837f3459cbd3e873c048" TargetMode="External"/><Relationship Id="rId3" Type="http://schemas.openxmlformats.org/officeDocument/2006/relationships/settings" Target="settings.xml"/><Relationship Id="rId21" Type="http://schemas.openxmlformats.org/officeDocument/2006/relationships/hyperlink" Target="mailto:sandy.pound@thermofisher.com" TargetMode="External"/><Relationship Id="rId7" Type="http://schemas.openxmlformats.org/officeDocument/2006/relationships/hyperlink" Target="https://cts.businesswire.com/ct/CT?id=smartlink&amp;url=https%3A%2F%2Fnewsroom.thermofisher.com%2Fnewsroom%2Fpress-releases%2Fpress-release-details%2F2025%2FThermo-Fisher-Scientific-Introduces-the-Vulcan-Automated-Lab-to-Transform-Semiconductor-Analysis%2Fdefault.aspx&amp;esheet=54406760&amp;newsitemid=20260129692126&amp;lan=en-US&amp;anchor=Thermo+Scientific%26%238482%3B+Vulcan%26%238482%3B+Automated+Lab&amp;index=3&amp;md5=c2d5195064b1824f80bd0c668ff8cb27" TargetMode="External"/><Relationship Id="rId12" Type="http://schemas.openxmlformats.org/officeDocument/2006/relationships/hyperlink" Target="https://cts.businesswire.com/ct/CT?id=smartlink&amp;url=https%3A%2F%2Fnewsroom.thermofisher.com%2Fnewsroom%2Fpress-releases%2Fpress-release-details%2F2025%2FTufts-Center-Study-Shows-Significant-Time-Savings-in-Delivering-Therapies-to-Patients-with-Thermo-Fisher-Scientifics-Accelerator-Drug-Development-360-CDMO-and-CRO-Solutions%2Fdefault.aspx&amp;esheet=54406760&amp;newsitemid=20260129692126&amp;lan=en-US&amp;anchor=Accelerator%26%238482%3B+Drug+Development+solution&amp;index=8&amp;md5=74e46483b177fad1856fcd854320d08f" TargetMode="External"/><Relationship Id="rId17" Type="http://schemas.openxmlformats.org/officeDocument/2006/relationships/hyperlink" Target="https://cts.businesswire.com/ct/CT?id=smartlink&amp;url=https%3A%2F%2Fnewsroom.thermofisher.com%2Fnewsroom%2Fpress-releases%2Fpress-release-details%2F2025%2FThermo-Fisher-Scientific-to-Acquire-Clario-Holdings-Inc--Enabling-Pharma-and-Biotech-Customers-to-Accelerate-Innovation-with-Deeper-Clinical-Insights%2Fdefault.aspx&amp;esheet=54406760&amp;newsitemid=20260129692126&amp;lan=en-US&amp;anchor=announced+a+definitive+agreement+to+acquire+Clario&amp;index=14&amp;md5=b1b1f0c73d4c001d003bf10fccfa5509" TargetMode="External"/><Relationship Id="rId2" Type="http://schemas.openxmlformats.org/officeDocument/2006/relationships/styles" Target="styles.xml"/><Relationship Id="rId16" Type="http://schemas.openxmlformats.org/officeDocument/2006/relationships/hyperlink" Target="https://cts.businesswire.com/ct/CT?id=smartlink&amp;url=https%3A%2F%2Fir.thermofisher.com%2Finvestors%2Fnews-events%2Fnews%2Fnews-details%2F2025%2FThermo-Fisher-Scientific-Completes-Acquisition-of-Solventums-Purification-and-Filtration-Business%2Fdefault.aspx&amp;esheet=54406760&amp;newsitemid=20260129692126&amp;lan=en-US&amp;anchor=Filtration+and+Separation+business+from+Solventum&amp;index=12&amp;md5=6d5d23182e8bd5b8919e2070e0668477" TargetMode="External"/><Relationship Id="rId20" Type="http://schemas.openxmlformats.org/officeDocument/2006/relationships/image" Target="media/image1.gif"/><Relationship Id="rId1" Type="http://schemas.openxmlformats.org/officeDocument/2006/relationships/numbering" Target="numbering.xml"/><Relationship Id="rId6" Type="http://schemas.openxmlformats.org/officeDocument/2006/relationships/hyperlink" Target="https://cts.businesswire.com/ct/CT?id=smartlink&amp;url=https%3A%2F%2Fnewsroom.thermofisher.com%2Fnewsroom%2Fpress-releases%2Fpress-release-details%2F2025%2FThermo-Fisher-Scientific-Launches-the-Krios-5-Cryo-Transmission-Electron-Microscope-TEM-Boosting-Productivity-and-Performance-With-Enhanced-Automation%2Fdefault.aspx&amp;esheet=54406760&amp;newsitemid=20260129692126&amp;lan=en-US&amp;anchor=Thermo+Scientific%26%238482%3B+Krios%26%238482%3B+5+Cryo-TEM&amp;index=2&amp;md5=e9f96f7204816e4dbf42c5a900ab0cd6" TargetMode="External"/><Relationship Id="rId11" Type="http://schemas.openxmlformats.org/officeDocument/2006/relationships/hyperlink" Target="https://cts.businesswire.com/ct/CT?id=smartlink&amp;url=https%3A%2F%2Fnewsroom.thermofisher.com%2Fnewsroom%2Fpress-releases%2Fpress-release-details%2F2025%2FThermo-Fisher-Scientific-Receives-510k-Clearance-in-the-United-States-for-EXENT-System-to-Aid-in-the-Diagnosis-of-Multiple-Myeloma%2Fdefault.aspx&amp;esheet=54406760&amp;newsitemid=20260129692126&amp;lan=en-US&amp;anchor=U.S.+510%28k%29+clearance+for+the+EXENT+System&amp;index=7&amp;md5=e2717d26e6f67b18b0668f6b190cc7f5" TargetMode="External"/><Relationship Id="rId24" Type="http://schemas.openxmlformats.org/officeDocument/2006/relationships/theme" Target="theme/theme1.xml"/><Relationship Id="rId5" Type="http://schemas.openxmlformats.org/officeDocument/2006/relationships/hyperlink" Target="https://cts.businesswire.com/ct/CT?id=smartlink&amp;url=https%3A%2F%2Fir.thermofisher.com%2Finvestors%2Fnews-events%2Fnews%2Fnews-details%2F2025%2FThermo-Fisher-Scientific-Unveils-Next-generation-Mass-Spectrometers-at-ASMS-2025-to-Revolutionize-Biopharma-Applications-and-Omics-Research%2Fdefault.aspx&amp;esheet=54406760&amp;newsitemid=20260129692126&amp;lan=en-US&amp;anchor=Thermo+Scientific%26%238482%3B+Orbitrap%26%238482%3B+Astral%26%238482%3B+Zoom+mass+spectrometer&amp;index=1&amp;md5=4d8a358ebbb9b87e8d5cf9bb5bf02eb6" TargetMode="External"/><Relationship Id="rId15" Type="http://schemas.openxmlformats.org/officeDocument/2006/relationships/hyperlink" Target="https://cts.businesswire.com/ct/CT?id=smartlink&amp;url=https%3A%2F%2Fnewsroom.thermofisher.com%2Fnewsroom%2Fpress-releases%2Fpress-release-details%2F2025%2FThermo-Fisher-Scientific-Deepens-Investment-in-Asias-Biopharma-Ecosystem-with-Expansion-of-Bioprocess-Design-Centers%2Fdefault.aspx&amp;esheet=54406760&amp;newsitemid=20260129692126&amp;lan=en-US&amp;anchor=expanded+our+bioprocess+design+centers+in+Asia&amp;index=11&amp;md5=fee23bd03ea8c658addd103223772877" TargetMode="External"/><Relationship Id="rId23" Type="http://schemas.openxmlformats.org/officeDocument/2006/relationships/fontTable" Target="fontTable.xml"/><Relationship Id="rId10" Type="http://schemas.openxmlformats.org/officeDocument/2006/relationships/hyperlink" Target="https://cts.businesswire.com/ct/CT?id=smartlink&amp;url=https%3A%2F%2Fnewsroom.thermofisher.com%2Fnewsroom%2Fpress-releases%2Fpress-release-details%2F2025%2FThermo-Fisher-Scientifics-Oncomine-Dx-Target-Test-Receives-FDA-Approval-as-a-Companion-Diagnostic-to-Identify-Patients-Eligible-for-Newest-Targeted-Therapy-for-Non-Small-Cell-Lung-Cancer%2Fdefault.aspx&amp;esheet=54406760&amp;newsitemid=20260129692126&amp;lan=en-US&amp;anchor=received+FDA+approval+for+the+Ion+Torrent%26%238482%3B+Oncomine%26%238482%3B+Dx+Target+Test&amp;index=6&amp;md5=0e50cc7a8c661cec6e2bc895bc36350d" TargetMode="External"/><Relationship Id="rId19" Type="http://schemas.openxmlformats.org/officeDocument/2006/relationships/hyperlink" Target="https://cts.businesswire.com/ct/CT?id=smartlink&amp;url=http%3A%2F%2Fwww.thermofisher.com%2F&amp;esheet=54406760&amp;newsitemid=20260129692126&amp;lan=en-US&amp;anchor=www.thermofisher.com&amp;index=16&amp;md5=d98a06c77a2f17eec85746e260b457d7" TargetMode="External"/><Relationship Id="rId4" Type="http://schemas.openxmlformats.org/officeDocument/2006/relationships/webSettings" Target="webSettings.xml"/><Relationship Id="rId9" Type="http://schemas.openxmlformats.org/officeDocument/2006/relationships/hyperlink" Target="https://cts.businesswire.com/ct/CT?id=smartlink&amp;url=https%3A%2F%2Fnewsroom.thermofisher.com%2Fnewsroom%2Fpress-releases%2Fpress-release-details%2F2025%2FThermo-Fisher-Scientific-Enables-Semiconductor-Manufacturers-to-See-the-Unseen-with-Helios-MX1-PFIB-SEM%2Fdefault.aspx&amp;esheet=54406760&amp;newsitemid=20260129692126&amp;lan=en-US&amp;anchor=Thermo+Scientific%26%238482%3B+Helios%26%238482%3B+MX1+Plasma+Focused+Ion+Beam+Scanning+Electron+Microscope&amp;index=5&amp;md5=9f7a7d1f91e8e8e31d27b5efb3384541" TargetMode="External"/><Relationship Id="rId14" Type="http://schemas.openxmlformats.org/officeDocument/2006/relationships/hyperlink" Target="https://cts.businesswire.com/ct/CT?id=smartlink&amp;url=https%3A%2F%2Fir.thermofisher.com%2Finvestors%2Fnews-events%2Fnews%2Fnews-details%2F2025%2FThermo-Fisher-Scientific-to-Accelerate-Life-Science-Breakthroughs-with-OpenAI%2Fdefault.aspx&amp;esheet=54406760&amp;newsitemid=20260129692126&amp;lan=en-US&amp;anchor=strategic+collaboration+with+OpenAI&amp;index=10&amp;md5=ca220e644eb8de9af629c8a425257d89" TargetMode="External"/><Relationship Id="rId22" Type="http://schemas.openxmlformats.org/officeDocument/2006/relationships/hyperlink" Target="mailto:rafael.tejada@thermofisher.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6099</Words>
  <Characters>34765</Characters>
  <Application>Microsoft Office Word</Application>
  <DocSecurity>0</DocSecurity>
  <Lines>289</Lines>
  <Paragraphs>81</Paragraphs>
  <ScaleCrop>false</ScaleCrop>
  <Company/>
  <LinksUpToDate>false</LinksUpToDate>
  <CharactersWithSpaces>40783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朱桂俊</dc:creator>
  <cp:keywords/>
  <dc:description/>
  <cp:lastModifiedBy>朱桂俊</cp:lastModifiedBy>
  <cp:revision>2</cp:revision>
  <dcterms:created xsi:type="dcterms:W3CDTF">2026-01-29T14:30:00Z</dcterms:created>
  <dcterms:modified xsi:type="dcterms:W3CDTF">2026-01-29T14:30:00Z</dcterms:modified>
</cp:coreProperties>
</file>