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Cs/>
          <w:sz w:val="24"/>
        </w:rPr>
      </w:pPr>
      <w:r>
        <w:rPr>
          <w:rFonts w:hint="eastAsia" w:ascii="黑体" w:hAnsi="黑体" w:eastAsia="黑体"/>
          <w:bCs/>
          <w:sz w:val="24"/>
        </w:rPr>
        <w:t>证券代码：601187                                  证券简称：厦门银行</w:t>
      </w:r>
    </w:p>
    <w:p>
      <w:pPr>
        <w:spacing w:line="360" w:lineRule="auto"/>
        <w:jc w:val="center"/>
        <w:rPr>
          <w:rFonts w:ascii="黑体" w:hAnsi="黑体" w:eastAsia="黑体"/>
          <w:b/>
          <w:sz w:val="32"/>
          <w:szCs w:val="32"/>
        </w:rPr>
      </w:pPr>
      <w:bookmarkStart w:id="0" w:name="OLE_LINK4"/>
      <w:r>
        <w:rPr>
          <w:rFonts w:hint="eastAsia" w:ascii="黑体" w:hAnsi="黑体" w:eastAsia="黑体"/>
          <w:b/>
          <w:sz w:val="32"/>
          <w:szCs w:val="32"/>
        </w:rPr>
        <w:t>厦门银行股份有限公司</w:t>
      </w:r>
    </w:p>
    <w:p>
      <w:pPr>
        <w:spacing w:line="360" w:lineRule="auto"/>
        <w:jc w:val="center"/>
        <w:rPr>
          <w:rFonts w:ascii="黑体" w:hAnsi="黑体" w:eastAsia="黑体"/>
          <w:b/>
          <w:bCs/>
          <w:iCs/>
          <w:color w:val="000000"/>
          <w:sz w:val="32"/>
          <w:szCs w:val="32"/>
        </w:rPr>
      </w:pPr>
      <w:bookmarkStart w:id="1" w:name="OLE_LINK3"/>
      <w:r>
        <w:rPr>
          <w:rFonts w:hint="eastAsia" w:ascii="黑体" w:hAnsi="黑体" w:eastAsia="黑体"/>
          <w:b/>
          <w:bCs/>
          <w:iCs/>
          <w:color w:val="000000"/>
          <w:sz w:val="32"/>
          <w:szCs w:val="32"/>
        </w:rPr>
        <w:t>投资者关系</w:t>
      </w:r>
      <w:bookmarkStart w:id="2" w:name="OLE_LINK2"/>
      <w:bookmarkStart w:id="3" w:name="OLE_LINK1"/>
      <w:r>
        <w:rPr>
          <w:rFonts w:hint="eastAsia" w:ascii="黑体" w:hAnsi="黑体" w:eastAsia="黑体"/>
          <w:b/>
          <w:bCs/>
          <w:iCs/>
          <w:color w:val="000000"/>
          <w:sz w:val="32"/>
          <w:szCs w:val="32"/>
        </w:rPr>
        <w:t>活动记录表</w:t>
      </w:r>
      <w:bookmarkEnd w:id="1"/>
      <w:bookmarkEnd w:id="2"/>
      <w:bookmarkEnd w:id="3"/>
    </w:p>
    <w:bookmarkEnd w:id="0"/>
    <w:p>
      <w:pPr>
        <w:spacing w:line="400" w:lineRule="exact"/>
        <w:jc w:val="right"/>
        <w:rPr>
          <w:rFonts w:ascii="宋体" w:hAnsi="宋体" w:eastAsia="宋体"/>
          <w:bCs/>
          <w:iCs/>
          <w:color w:val="000000"/>
          <w:sz w:val="24"/>
        </w:rPr>
      </w:pPr>
      <w:r>
        <w:rPr>
          <w:rFonts w:hint="eastAsia" w:ascii="宋体" w:hAnsi="宋体" w:eastAsia="宋体"/>
          <w:bCs/>
          <w:iCs/>
          <w:color w:val="000000"/>
          <w:sz w:val="24"/>
        </w:rPr>
        <w:t xml:space="preserve">                                               编号：2026-</w:t>
      </w:r>
      <w:r>
        <w:rPr>
          <w:rFonts w:hint="eastAsia" w:ascii="宋体" w:hAnsi="宋体" w:eastAsia="宋体"/>
          <w:bCs/>
          <w:iCs/>
          <w:color w:val="000000"/>
          <w:sz w:val="24"/>
          <w:lang w:val="en-US" w:eastAsia="zh-CN"/>
        </w:rPr>
        <w:t>03</w:t>
      </w:r>
      <w:r>
        <w:rPr>
          <w:rFonts w:hint="eastAsia" w:ascii="宋体" w:hAnsi="宋体" w:eastAsia="宋体"/>
          <w:bCs/>
          <w:iCs/>
          <w:color w:val="000000"/>
          <w:sz w:val="24"/>
        </w:rPr>
        <w:t xml:space="preserve">                                                     </w:t>
      </w:r>
    </w:p>
    <w:tbl>
      <w:tblPr>
        <w:tblStyle w:val="8"/>
        <w:tblW w:w="9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7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color w:val="000000"/>
                <w:sz w:val="24"/>
              </w:rPr>
              <w:t>投资者关系活动类别</w:t>
            </w:r>
          </w:p>
          <w:p>
            <w:pPr>
              <w:spacing w:line="360" w:lineRule="auto"/>
              <w:rPr>
                <w:rFonts w:ascii="宋体" w:hAnsi="宋体" w:eastAsia="宋体" w:cs="宋体"/>
                <w:bCs/>
                <w:iCs/>
                <w:color w:val="000000"/>
                <w:sz w:val="24"/>
              </w:rPr>
            </w:pP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sym w:font="Wingdings 2" w:char="0052"/>
            </w:r>
            <w:r>
              <w:rPr>
                <w:rFonts w:hint="eastAsia" w:ascii="宋体" w:hAnsi="宋体" w:eastAsia="宋体" w:cs="宋体"/>
                <w:sz w:val="24"/>
              </w:rPr>
              <w:t xml:space="preserve">特定对象调研      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分析师会议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 xml:space="preserve">        □</w:t>
            </w:r>
            <w:r>
              <w:rPr>
                <w:rFonts w:hint="eastAsia" w:ascii="宋体" w:hAnsi="宋体" w:eastAsia="宋体" w:cs="宋体"/>
                <w:sz w:val="24"/>
              </w:rPr>
              <w:t>媒体采访</w:t>
            </w:r>
          </w:p>
          <w:p>
            <w:pPr>
              <w:spacing w:line="360" w:lineRule="auto"/>
              <w:rPr>
                <w:rFonts w:ascii="宋体" w:hAnsi="宋体" w:eastAsia="宋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业绩说明会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 xml:space="preserve">         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新闻发布会        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eastAsia="宋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</w:rPr>
              <w:t>现场参观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 xml:space="preserve">           □</w:t>
            </w:r>
            <w:r>
              <w:rPr>
                <w:rFonts w:hint="eastAsia" w:ascii="宋体" w:hAnsi="宋体" w:eastAsia="宋体" w:cs="宋体"/>
                <w:sz w:val="24"/>
              </w:rPr>
              <w:t xml:space="preserve">其他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color w:val="000000"/>
                <w:sz w:val="24"/>
              </w:rPr>
              <w:t>时间及参与单位名称</w:t>
            </w: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Cs/>
                <w:i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</w:rPr>
              <w:t>2026年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</w:rPr>
              <w:t>日 现场会议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 xml:space="preserve"> 广发基金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工银瑞信基金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中邮保险资产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泰康资产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阳光资产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易方达基金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兴业证券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</w:rPr>
              <w:t>2026年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iCs/>
                <w:kern w:val="0"/>
                <w:sz w:val="24"/>
              </w:rPr>
              <w:t>日 现场会议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 xml:space="preserve"> 西部证券</w:t>
            </w: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  <w:lang w:eastAsia="zh-CN"/>
              </w:rPr>
              <w:t>、招商基金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iCs/>
                <w:kern w:val="0"/>
                <w:sz w:val="24"/>
              </w:rPr>
              <w:t>厦门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Cs/>
                <w:color w:val="000000"/>
                <w:sz w:val="24"/>
              </w:rPr>
              <w:t>公司接待人员</w:t>
            </w: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宋体"/>
                <w:bCs/>
                <w:i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>董事会秘书、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  <w:lang w:val="en-US" w:eastAsia="zh-CN"/>
              </w:rPr>
              <w:t>计划财务部、</w:t>
            </w:r>
            <w:r>
              <w:rPr>
                <w:rFonts w:hint="eastAsia" w:ascii="宋体" w:hAnsi="宋体" w:eastAsia="宋体" w:cs="宋体"/>
                <w:bCs/>
                <w:iCs/>
                <w:color w:val="000000"/>
                <w:sz w:val="24"/>
              </w:rPr>
              <w:t>董事会办公室等相关部门负责人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cs="宋体" w:asciiTheme="minorEastAsia" w:hAnsiTheme="minorEastAsia" w:eastAsiaTheme="minorEastAsia"/>
                <w:b/>
                <w:bCs/>
                <w:iCs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iCs/>
                <w:sz w:val="24"/>
              </w:rPr>
              <w:t>投资者关系活动主要内容介绍</w:t>
            </w:r>
          </w:p>
        </w:tc>
        <w:tc>
          <w:tcPr>
            <w:tcW w:w="7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255"/>
                <w:numId w:val="0"/>
              </w:numPr>
              <w:spacing w:line="360" w:lineRule="auto"/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1.</w:t>
            </w:r>
            <w:bookmarkStart w:id="4" w:name="OLE_LINK5"/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2025年度贵行资产质量表现如何？</w:t>
            </w:r>
            <w:bookmarkEnd w:id="4"/>
          </w:p>
          <w:p>
            <w:pPr>
              <w:numPr>
                <w:ilvl w:val="255"/>
                <w:numId w:val="0"/>
              </w:numPr>
              <w:spacing w:line="360" w:lineRule="auto"/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本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行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秉承稳健经营的理念，以“围绕战略规划、优化资产结构、筑牢风险底线”为信贷导向，持续建设包括“政策制度、授权、审查、贷后排查、不良清收、大数据风控”在内的六道防线，优化全生命周期信用风险管理流程，强化数据驱动和科技赋能，全面提升信用风险管理水平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，加强重点领域风险防控，推动风险化解处置，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资产质量保持稳定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。根据业绩快报公告，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截至2025年末不良贷款率</w:t>
            </w:r>
            <w:bookmarkStart w:id="5" w:name="OLE_LINK6"/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预计为</w:t>
            </w:r>
            <w:bookmarkEnd w:id="5"/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0.77%，维持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良好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水平；拨备覆盖率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预计为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312.63%，风险抵补能力保持充足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。</w:t>
            </w:r>
          </w:p>
          <w:p>
            <w:pPr>
              <w:numPr>
                <w:ilvl w:val="255"/>
                <w:numId w:val="0"/>
              </w:numPr>
              <w:spacing w:line="360" w:lineRule="auto"/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贵行2025年在绿色金融方面有哪些具体实践和成果？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2025年，本行坚决做好绿色金融大</w:t>
            </w:r>
            <w:bookmarkStart w:id="6" w:name="_GoBack"/>
            <w:bookmarkEnd w:id="6"/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文章，积极参与美丽中国建设，助力实现碳达峰、碳中和目标。截至2025年末，本行绿色贷款余额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预计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较上年末大幅增长68.55%</w:t>
            </w:r>
            <w:r>
              <w:rPr>
                <w:rFonts w:hint="eastAsia" w:ascii="宋体" w:hAnsi="宋体" w:eastAsia="宋体" w:cs="宋体"/>
                <w:iCs/>
                <w:color w:val="000000"/>
                <w:sz w:val="24"/>
                <w:lang w:val="en-US" w:eastAsia="zh-CN"/>
              </w:rPr>
              <w:t>。</w:t>
            </w:r>
            <w:r>
              <w:rPr>
                <w:rFonts w:hint="default" w:ascii="宋体" w:hAnsi="宋体" w:eastAsia="宋体" w:cs="宋体"/>
                <w:iCs/>
                <w:color w:val="000000"/>
                <w:sz w:val="24"/>
                <w:lang w:val="en-US" w:eastAsia="zh-CN"/>
              </w:rPr>
              <w:t>成本优化方面，本行于2025年4月成功发行30亿元绿色债券，用于支持绿色项目贷款，有效降低贷款项目的融资成本；上半年使用人民银行碳减排支持工具1.06亿元，支持福建省及重庆市的分布式光伏项目。产品创新方面，本行深化绿色金融拳头产品“光伏贷”场景适配性，截至2025年6月末，服务光伏项目总量较上年末实现37.3%的增长。</w:t>
            </w:r>
          </w:p>
        </w:tc>
      </w:tr>
    </w:tbl>
    <w:p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D5D15C"/>
    <w:multiLevelType w:val="singleLevel"/>
    <w:tmpl w:val="E1D5D15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E15"/>
    <w:rsid w:val="00010AF9"/>
    <w:rsid w:val="00012AB6"/>
    <w:rsid w:val="00017E52"/>
    <w:rsid w:val="000374E5"/>
    <w:rsid w:val="00056E17"/>
    <w:rsid w:val="0007077E"/>
    <w:rsid w:val="000865C3"/>
    <w:rsid w:val="000915CF"/>
    <w:rsid w:val="00094D1A"/>
    <w:rsid w:val="000960B9"/>
    <w:rsid w:val="000A2087"/>
    <w:rsid w:val="000D5CBE"/>
    <w:rsid w:val="000D76B7"/>
    <w:rsid w:val="00120083"/>
    <w:rsid w:val="00120AE8"/>
    <w:rsid w:val="0012483B"/>
    <w:rsid w:val="00135452"/>
    <w:rsid w:val="001670CA"/>
    <w:rsid w:val="001747CA"/>
    <w:rsid w:val="00175514"/>
    <w:rsid w:val="0017609F"/>
    <w:rsid w:val="001B212A"/>
    <w:rsid w:val="001B2ABC"/>
    <w:rsid w:val="001B7179"/>
    <w:rsid w:val="001C6A12"/>
    <w:rsid w:val="001D437F"/>
    <w:rsid w:val="001D66F6"/>
    <w:rsid w:val="001E3243"/>
    <w:rsid w:val="00211682"/>
    <w:rsid w:val="00220E2F"/>
    <w:rsid w:val="00234EFD"/>
    <w:rsid w:val="002635DC"/>
    <w:rsid w:val="00267B38"/>
    <w:rsid w:val="00270456"/>
    <w:rsid w:val="0028137A"/>
    <w:rsid w:val="00290665"/>
    <w:rsid w:val="0029668A"/>
    <w:rsid w:val="002A5E7C"/>
    <w:rsid w:val="002B4940"/>
    <w:rsid w:val="002D2F6F"/>
    <w:rsid w:val="002E664F"/>
    <w:rsid w:val="002F3829"/>
    <w:rsid w:val="003001CA"/>
    <w:rsid w:val="00320B81"/>
    <w:rsid w:val="00320CDD"/>
    <w:rsid w:val="00321BD4"/>
    <w:rsid w:val="00326BE1"/>
    <w:rsid w:val="0036439D"/>
    <w:rsid w:val="003713F1"/>
    <w:rsid w:val="00373703"/>
    <w:rsid w:val="00382744"/>
    <w:rsid w:val="003837F6"/>
    <w:rsid w:val="003C07DD"/>
    <w:rsid w:val="003C3502"/>
    <w:rsid w:val="003E0254"/>
    <w:rsid w:val="003E10F6"/>
    <w:rsid w:val="00403237"/>
    <w:rsid w:val="004077D5"/>
    <w:rsid w:val="00426705"/>
    <w:rsid w:val="00445BB0"/>
    <w:rsid w:val="00461E9B"/>
    <w:rsid w:val="004A7354"/>
    <w:rsid w:val="004A7CA0"/>
    <w:rsid w:val="004B363C"/>
    <w:rsid w:val="004C3B70"/>
    <w:rsid w:val="004E4DA1"/>
    <w:rsid w:val="005063C5"/>
    <w:rsid w:val="00527972"/>
    <w:rsid w:val="00535FC0"/>
    <w:rsid w:val="005368E3"/>
    <w:rsid w:val="00560778"/>
    <w:rsid w:val="00570264"/>
    <w:rsid w:val="005A5B76"/>
    <w:rsid w:val="005C6DB0"/>
    <w:rsid w:val="00603E82"/>
    <w:rsid w:val="006216D4"/>
    <w:rsid w:val="006460EF"/>
    <w:rsid w:val="00646111"/>
    <w:rsid w:val="006523D8"/>
    <w:rsid w:val="00664EE9"/>
    <w:rsid w:val="006818F9"/>
    <w:rsid w:val="006A4D81"/>
    <w:rsid w:val="006C3B27"/>
    <w:rsid w:val="006E2B18"/>
    <w:rsid w:val="006E46D6"/>
    <w:rsid w:val="006F21D2"/>
    <w:rsid w:val="006F6419"/>
    <w:rsid w:val="00701E12"/>
    <w:rsid w:val="007021F0"/>
    <w:rsid w:val="007123BE"/>
    <w:rsid w:val="00712441"/>
    <w:rsid w:val="007416B9"/>
    <w:rsid w:val="00761EA7"/>
    <w:rsid w:val="00765A2E"/>
    <w:rsid w:val="00767A4B"/>
    <w:rsid w:val="007814C6"/>
    <w:rsid w:val="00786C57"/>
    <w:rsid w:val="007A1202"/>
    <w:rsid w:val="007E5C96"/>
    <w:rsid w:val="00803AFA"/>
    <w:rsid w:val="008048E1"/>
    <w:rsid w:val="008129A6"/>
    <w:rsid w:val="00821EF4"/>
    <w:rsid w:val="008479D6"/>
    <w:rsid w:val="00862D39"/>
    <w:rsid w:val="00877250"/>
    <w:rsid w:val="00884803"/>
    <w:rsid w:val="00886535"/>
    <w:rsid w:val="00887E15"/>
    <w:rsid w:val="008979E4"/>
    <w:rsid w:val="008A62BB"/>
    <w:rsid w:val="008B5D1F"/>
    <w:rsid w:val="008C7D83"/>
    <w:rsid w:val="009076CD"/>
    <w:rsid w:val="00934C25"/>
    <w:rsid w:val="00990948"/>
    <w:rsid w:val="00991DBA"/>
    <w:rsid w:val="009E4C86"/>
    <w:rsid w:val="009E6D7D"/>
    <w:rsid w:val="00A10A28"/>
    <w:rsid w:val="00A5429A"/>
    <w:rsid w:val="00A6764C"/>
    <w:rsid w:val="00A80D1A"/>
    <w:rsid w:val="00A814F8"/>
    <w:rsid w:val="00A85DF0"/>
    <w:rsid w:val="00AB2C92"/>
    <w:rsid w:val="00AC2FA0"/>
    <w:rsid w:val="00AD0D20"/>
    <w:rsid w:val="00AD226B"/>
    <w:rsid w:val="00AD6116"/>
    <w:rsid w:val="00AE1959"/>
    <w:rsid w:val="00AE6F23"/>
    <w:rsid w:val="00AF3539"/>
    <w:rsid w:val="00AF42F3"/>
    <w:rsid w:val="00AF5FBE"/>
    <w:rsid w:val="00B07DAF"/>
    <w:rsid w:val="00B23959"/>
    <w:rsid w:val="00B24A2C"/>
    <w:rsid w:val="00B409BC"/>
    <w:rsid w:val="00B510FA"/>
    <w:rsid w:val="00B72D74"/>
    <w:rsid w:val="00B779CF"/>
    <w:rsid w:val="00B85459"/>
    <w:rsid w:val="00B95A2D"/>
    <w:rsid w:val="00BB4731"/>
    <w:rsid w:val="00BB6CDC"/>
    <w:rsid w:val="00BE4725"/>
    <w:rsid w:val="00BF547B"/>
    <w:rsid w:val="00C07040"/>
    <w:rsid w:val="00C21162"/>
    <w:rsid w:val="00C3197B"/>
    <w:rsid w:val="00C62E73"/>
    <w:rsid w:val="00C77883"/>
    <w:rsid w:val="00C832D3"/>
    <w:rsid w:val="00CB3778"/>
    <w:rsid w:val="00CC5C34"/>
    <w:rsid w:val="00CD6D89"/>
    <w:rsid w:val="00CE3CDE"/>
    <w:rsid w:val="00CF36D1"/>
    <w:rsid w:val="00D03944"/>
    <w:rsid w:val="00D078F3"/>
    <w:rsid w:val="00D2553B"/>
    <w:rsid w:val="00D260E1"/>
    <w:rsid w:val="00D46CC5"/>
    <w:rsid w:val="00D7022F"/>
    <w:rsid w:val="00D73204"/>
    <w:rsid w:val="00D837F5"/>
    <w:rsid w:val="00D860E0"/>
    <w:rsid w:val="00DA4FC7"/>
    <w:rsid w:val="00DB23D6"/>
    <w:rsid w:val="00DB4378"/>
    <w:rsid w:val="00DC2245"/>
    <w:rsid w:val="00DC692F"/>
    <w:rsid w:val="00DE6B5E"/>
    <w:rsid w:val="00DE6B9C"/>
    <w:rsid w:val="00DF0553"/>
    <w:rsid w:val="00E3527B"/>
    <w:rsid w:val="00E65E57"/>
    <w:rsid w:val="00E868EC"/>
    <w:rsid w:val="00EE18C5"/>
    <w:rsid w:val="00EE4F1A"/>
    <w:rsid w:val="00F026E0"/>
    <w:rsid w:val="00F10BB8"/>
    <w:rsid w:val="00F24494"/>
    <w:rsid w:val="00F413E1"/>
    <w:rsid w:val="00F430C2"/>
    <w:rsid w:val="00F74796"/>
    <w:rsid w:val="00FA0123"/>
    <w:rsid w:val="00FA721E"/>
    <w:rsid w:val="00FE1F2C"/>
    <w:rsid w:val="015441BC"/>
    <w:rsid w:val="04844854"/>
    <w:rsid w:val="073161DB"/>
    <w:rsid w:val="07736C45"/>
    <w:rsid w:val="07872210"/>
    <w:rsid w:val="08E67AA9"/>
    <w:rsid w:val="0A7375B2"/>
    <w:rsid w:val="0C1E2070"/>
    <w:rsid w:val="0CD949B1"/>
    <w:rsid w:val="0E4448F3"/>
    <w:rsid w:val="106172ED"/>
    <w:rsid w:val="11883E00"/>
    <w:rsid w:val="12460407"/>
    <w:rsid w:val="141862B2"/>
    <w:rsid w:val="14D25167"/>
    <w:rsid w:val="17B473C2"/>
    <w:rsid w:val="180A72FE"/>
    <w:rsid w:val="18831547"/>
    <w:rsid w:val="18893450"/>
    <w:rsid w:val="1A8B0292"/>
    <w:rsid w:val="1D6B06CF"/>
    <w:rsid w:val="1D6D3BD2"/>
    <w:rsid w:val="1DE21613"/>
    <w:rsid w:val="1DF63666"/>
    <w:rsid w:val="1E364920"/>
    <w:rsid w:val="1F330F55"/>
    <w:rsid w:val="21452025"/>
    <w:rsid w:val="21D5653F"/>
    <w:rsid w:val="23110016"/>
    <w:rsid w:val="237B3E42"/>
    <w:rsid w:val="24B1643E"/>
    <w:rsid w:val="27424579"/>
    <w:rsid w:val="28B50BD7"/>
    <w:rsid w:val="2A234631"/>
    <w:rsid w:val="2FCE2CA3"/>
    <w:rsid w:val="32E0414D"/>
    <w:rsid w:val="33637BDB"/>
    <w:rsid w:val="34C37DE1"/>
    <w:rsid w:val="35F1547D"/>
    <w:rsid w:val="373D66F1"/>
    <w:rsid w:val="37691FF5"/>
    <w:rsid w:val="3831361A"/>
    <w:rsid w:val="3870436D"/>
    <w:rsid w:val="3C2B5E46"/>
    <w:rsid w:val="3C677B59"/>
    <w:rsid w:val="3CFB3440"/>
    <w:rsid w:val="3F150D8C"/>
    <w:rsid w:val="42680F26"/>
    <w:rsid w:val="43F55B69"/>
    <w:rsid w:val="444631D1"/>
    <w:rsid w:val="44EC107E"/>
    <w:rsid w:val="475A449F"/>
    <w:rsid w:val="47A43767"/>
    <w:rsid w:val="485559BC"/>
    <w:rsid w:val="49AB04EC"/>
    <w:rsid w:val="4A416461"/>
    <w:rsid w:val="4A8A3CC5"/>
    <w:rsid w:val="4B702179"/>
    <w:rsid w:val="4D5153DD"/>
    <w:rsid w:val="4D572B44"/>
    <w:rsid w:val="4E3C24E9"/>
    <w:rsid w:val="4F1C538E"/>
    <w:rsid w:val="4F2B7952"/>
    <w:rsid w:val="50F413DD"/>
    <w:rsid w:val="51FB77C6"/>
    <w:rsid w:val="53404825"/>
    <w:rsid w:val="53813090"/>
    <w:rsid w:val="54281796"/>
    <w:rsid w:val="55802B56"/>
    <w:rsid w:val="57EA769F"/>
    <w:rsid w:val="587B59B6"/>
    <w:rsid w:val="5B6372BA"/>
    <w:rsid w:val="5BAB1071"/>
    <w:rsid w:val="5BCB6169"/>
    <w:rsid w:val="5FE96E67"/>
    <w:rsid w:val="60732927"/>
    <w:rsid w:val="60F46C91"/>
    <w:rsid w:val="60FE69AF"/>
    <w:rsid w:val="644D0143"/>
    <w:rsid w:val="65C22480"/>
    <w:rsid w:val="66007D67"/>
    <w:rsid w:val="68E36708"/>
    <w:rsid w:val="695D4175"/>
    <w:rsid w:val="6A057CE5"/>
    <w:rsid w:val="6A190E9F"/>
    <w:rsid w:val="6A8504D0"/>
    <w:rsid w:val="6B065C4D"/>
    <w:rsid w:val="6BA32EA6"/>
    <w:rsid w:val="6C117390"/>
    <w:rsid w:val="6CD824B2"/>
    <w:rsid w:val="6DA951F4"/>
    <w:rsid w:val="6F9F49B0"/>
    <w:rsid w:val="70562CE7"/>
    <w:rsid w:val="71411B5D"/>
    <w:rsid w:val="715F6CDB"/>
    <w:rsid w:val="71C6563A"/>
    <w:rsid w:val="71CA0EB0"/>
    <w:rsid w:val="720D141A"/>
    <w:rsid w:val="72A204A0"/>
    <w:rsid w:val="73326919"/>
    <w:rsid w:val="749331CE"/>
    <w:rsid w:val="768C460E"/>
    <w:rsid w:val="773B56AB"/>
    <w:rsid w:val="77CF011D"/>
    <w:rsid w:val="79194C3C"/>
    <w:rsid w:val="7A0A5919"/>
    <w:rsid w:val="7A2465E9"/>
    <w:rsid w:val="7B0E3DF2"/>
    <w:rsid w:val="7C7C44BA"/>
    <w:rsid w:val="7D183A3E"/>
    <w:rsid w:val="7E75126E"/>
    <w:rsid w:val="7EB10D15"/>
    <w:rsid w:val="7F5A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lock Text"/>
    <w:basedOn w:val="1"/>
    <w:next w:val="1"/>
    <w:qFormat/>
    <w:uiPriority w:val="0"/>
    <w:pPr>
      <w:snapToGrid w:val="0"/>
      <w:spacing w:after="160" w:line="360" w:lineRule="auto"/>
      <w:ind w:left="-15" w:right="103" w:firstLine="447"/>
      <w:jc w:val="left"/>
    </w:pPr>
    <w:rPr>
      <w:rFonts w:ascii="宋体" w:hAnsi="宋体" w:eastAsiaTheme="minorEastAsia" w:cstheme="minorBidi"/>
      <w:spacing w:val="-2"/>
      <w:sz w:val="24"/>
      <w:szCs w:val="20"/>
      <w14:ligatures w14:val="standardContextual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No Spacing"/>
    <w:qFormat/>
    <w:uiPriority w:val="1"/>
    <w:pPr>
      <w:widowControl w:val="0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customStyle="1" w:styleId="14">
    <w:name w:val="批注文字 Char"/>
    <w:basedOn w:val="9"/>
    <w:link w:val="2"/>
    <w:semiHidden/>
    <w:qFormat/>
    <w:uiPriority w:val="99"/>
    <w:rPr>
      <w:rFonts w:ascii="Calibri" w:hAnsi="Calibri" w:eastAsia="微软雅黑" w:cs="Times New Roman"/>
      <w:szCs w:val="24"/>
    </w:rPr>
  </w:style>
  <w:style w:type="character" w:customStyle="1" w:styleId="15">
    <w:name w:val="批注主题 Char"/>
    <w:basedOn w:val="14"/>
    <w:link w:val="7"/>
    <w:semiHidden/>
    <w:qFormat/>
    <w:uiPriority w:val="99"/>
    <w:rPr>
      <w:rFonts w:ascii="Calibri" w:hAnsi="Calibri" w:eastAsia="微软雅黑" w:cs="Times New Roman"/>
      <w:b/>
      <w:bCs/>
      <w:szCs w:val="24"/>
    </w:r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Calibri" w:hAnsi="Calibri" w:eastAsia="微软雅黑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82A97-EA3B-4E0A-B17E-10088CBEA5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AB</Company>
  <Pages>2</Pages>
  <Words>615</Words>
  <Characters>628</Characters>
  <Lines>314</Lines>
  <Paragraphs>138</Paragraphs>
  <TotalTime>5</TotalTime>
  <ScaleCrop>false</ScaleCrop>
  <LinksUpToDate>false</LinksUpToDate>
  <CharactersWithSpaces>1105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2025-11-06T02:21:00Z</dcterms:created>
  <dc:creator>邱素萍</dc:creator>
  <cp:lastModifiedBy> </cp:lastModifiedBy>
  <cp:lastPrinted>2025-09-01T05:49:00Z</cp:lastPrinted>
  <dcterms:modified xsi:type="dcterms:W3CDTF">2026-04-15T01:08:05Z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F9664D829B154354AE763CD93F09815F</vt:lpwstr>
  </property>
</Properties>
</file>