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4CED" w:rsidRPr="00384CED" w:rsidRDefault="00384CED" w:rsidP="00384CED">
      <w:pPr>
        <w:widowControl/>
        <w:shd w:val="clear" w:color="auto" w:fill="FFFFFF"/>
        <w:spacing w:line="450" w:lineRule="atLeast"/>
        <w:jc w:val="left"/>
        <w:rPr>
          <w:rFonts w:ascii="Helvetica" w:eastAsia="宋体" w:hAnsi="Helvetica" w:cs="Helvetica"/>
          <w:b/>
          <w:bCs/>
          <w:color w:val="54392D"/>
          <w:kern w:val="0"/>
          <w:sz w:val="42"/>
          <w:szCs w:val="42"/>
        </w:rPr>
      </w:pPr>
      <w:r w:rsidRPr="00384CED">
        <w:rPr>
          <w:rFonts w:ascii="Helvetica" w:eastAsia="宋体" w:hAnsi="Helvetica" w:cs="Helvetica"/>
          <w:b/>
          <w:bCs/>
          <w:color w:val="54392D"/>
          <w:kern w:val="0"/>
          <w:sz w:val="42"/>
          <w:szCs w:val="42"/>
        </w:rPr>
        <w:t>CHIPOTLE ANNOUNCES FIRST QUARTER 2026 RESULTS</w:t>
      </w:r>
    </w:p>
    <w:p w:rsidR="00384CED" w:rsidRPr="00384CED" w:rsidRDefault="00384CED" w:rsidP="00384CED">
      <w:pPr>
        <w:widowControl/>
        <w:shd w:val="clear" w:color="auto" w:fill="FFFFFF"/>
        <w:spacing w:beforeAutospacing="1" w:afterAutospacing="1"/>
        <w:ind w:right="75"/>
        <w:jc w:val="left"/>
        <w:rPr>
          <w:rFonts w:ascii="Helvetica" w:eastAsia="宋体" w:hAnsi="Helvetica" w:cs="Helvetica"/>
          <w:color w:val="54392D"/>
          <w:kern w:val="0"/>
          <w:sz w:val="24"/>
          <w:szCs w:val="24"/>
        </w:rPr>
      </w:pPr>
      <w:bookmarkStart w:id="0" w:name="_GoBack"/>
      <w:bookmarkEnd w:id="0"/>
    </w:p>
    <w:p w:rsidR="00384CED" w:rsidRPr="00384CED" w:rsidRDefault="00384CED" w:rsidP="00384CED">
      <w:pPr>
        <w:widowControl/>
        <w:shd w:val="clear" w:color="auto" w:fill="FFFFFF"/>
        <w:spacing w:after="180"/>
        <w:jc w:val="center"/>
        <w:rPr>
          <w:rFonts w:ascii="Helvetica" w:eastAsia="宋体" w:hAnsi="Helvetica" w:cs="Helvetica"/>
          <w:color w:val="54392D"/>
          <w:kern w:val="0"/>
          <w:sz w:val="24"/>
          <w:szCs w:val="24"/>
        </w:rPr>
      </w:pPr>
      <w:r w:rsidRPr="00384CED">
        <w:rPr>
          <w:rFonts w:ascii="Helvetica" w:eastAsia="宋体" w:hAnsi="Helvetica" w:cs="Helvetica"/>
          <w:color w:val="54392D"/>
          <w:kern w:val="0"/>
          <w:sz w:val="24"/>
          <w:szCs w:val="24"/>
        </w:rPr>
        <w:t>RETURN TO POSITIVE TRANSACTIONS DRIVES 0.5% COMPARABLE RESTAURANT SALES GROWTH; REVENUE INCREASES 7.4% TO $3.1 BILLION</w:t>
      </w:r>
    </w:p>
    <w:p w:rsidR="00384CED" w:rsidRPr="00384CED" w:rsidRDefault="00384CED" w:rsidP="00384CED">
      <w:pPr>
        <w:widowControl/>
        <w:shd w:val="clear" w:color="auto" w:fill="FFFFFF"/>
        <w:spacing w:after="180"/>
        <w:jc w:val="left"/>
        <w:rPr>
          <w:rFonts w:ascii="Helvetica" w:eastAsia="宋体" w:hAnsi="Helvetica" w:cs="Helvetica"/>
          <w:color w:val="54392D"/>
          <w:kern w:val="0"/>
          <w:sz w:val="24"/>
          <w:szCs w:val="24"/>
        </w:rPr>
      </w:pPr>
      <w:r w:rsidRPr="00384CED">
        <w:rPr>
          <w:rFonts w:ascii="Helvetica" w:eastAsia="宋体" w:hAnsi="Helvetica" w:cs="Helvetica"/>
          <w:color w:val="54392D"/>
          <w:kern w:val="0"/>
          <w:sz w:val="24"/>
          <w:szCs w:val="24"/>
        </w:rPr>
        <w:t>NEWPORT BEACH, Calif., April 29, 2026 /</w:t>
      </w:r>
      <w:hyperlink r:id="rId5" w:tgtFrame="_blank" w:history="1">
        <w:r w:rsidRPr="00384CED">
          <w:rPr>
            <w:rFonts w:ascii="TradeGothicLTComBold_IE" w:eastAsia="宋体" w:hAnsi="TradeGothicLTComBold_IE" w:cs="Helvetica"/>
            <w:caps/>
            <w:color w:val="C08C19"/>
            <w:spacing w:val="-6"/>
            <w:kern w:val="0"/>
            <w:sz w:val="24"/>
            <w:szCs w:val="24"/>
            <w:u w:val="single"/>
          </w:rPr>
          <w:t>PRNewswire</w:t>
        </w:r>
      </w:hyperlink>
      <w:r w:rsidRPr="00384CED">
        <w:rPr>
          <w:rFonts w:ascii="Helvetica" w:eastAsia="宋体" w:hAnsi="Helvetica" w:cs="Helvetica"/>
          <w:color w:val="54392D"/>
          <w:kern w:val="0"/>
          <w:sz w:val="24"/>
          <w:szCs w:val="24"/>
        </w:rPr>
        <w:t>/ -- Chipotle Mexican Grill, Inc. (NYSE: CMG) today reported financial results for its first quarter ended March 31, 2026.</w:t>
      </w:r>
    </w:p>
    <w:p w:rsidR="00384CED" w:rsidRPr="00384CED" w:rsidRDefault="00384CED" w:rsidP="00384CED">
      <w:pPr>
        <w:widowControl/>
        <w:shd w:val="clear" w:color="auto" w:fill="FFFFFF"/>
        <w:spacing w:after="180"/>
        <w:jc w:val="left"/>
        <w:rPr>
          <w:rFonts w:ascii="Helvetica" w:eastAsia="宋体" w:hAnsi="Helvetica" w:cs="Helvetica"/>
          <w:color w:val="54392D"/>
          <w:kern w:val="0"/>
          <w:sz w:val="24"/>
          <w:szCs w:val="24"/>
        </w:rPr>
      </w:pPr>
      <w:r w:rsidRPr="00384CED">
        <w:rPr>
          <w:rFonts w:ascii="Helvetica" w:eastAsia="宋体" w:hAnsi="Helvetica" w:cs="Helvetica"/>
          <w:b/>
          <w:bCs/>
          <w:color w:val="54392D"/>
          <w:kern w:val="0"/>
          <w:sz w:val="24"/>
          <w:szCs w:val="24"/>
        </w:rPr>
        <w:t>First quarter highlights, year over year:</w:t>
      </w:r>
    </w:p>
    <w:p w:rsidR="00384CED" w:rsidRPr="00384CED" w:rsidRDefault="00384CED" w:rsidP="00384CED">
      <w:pPr>
        <w:widowControl/>
        <w:numPr>
          <w:ilvl w:val="0"/>
          <w:numId w:val="2"/>
        </w:numPr>
        <w:shd w:val="clear" w:color="auto" w:fill="FFFFFF"/>
        <w:spacing w:before="100" w:beforeAutospacing="1" w:after="100" w:afterAutospacing="1"/>
        <w:jc w:val="left"/>
        <w:rPr>
          <w:rFonts w:ascii="Helvetica" w:eastAsia="宋体" w:hAnsi="Helvetica" w:cs="Helvetica"/>
          <w:color w:val="54392D"/>
          <w:kern w:val="0"/>
          <w:sz w:val="24"/>
          <w:szCs w:val="24"/>
        </w:rPr>
      </w:pPr>
      <w:r w:rsidRPr="00384CED">
        <w:rPr>
          <w:rFonts w:ascii="Helvetica" w:eastAsia="宋体" w:hAnsi="Helvetica" w:cs="Helvetica"/>
          <w:color w:val="54392D"/>
          <w:kern w:val="0"/>
          <w:sz w:val="24"/>
          <w:szCs w:val="24"/>
        </w:rPr>
        <w:t>Total revenue increased 7.4% to $3.1 billion</w:t>
      </w:r>
    </w:p>
    <w:p w:rsidR="00384CED" w:rsidRPr="00384CED" w:rsidRDefault="00384CED" w:rsidP="00384CED">
      <w:pPr>
        <w:widowControl/>
        <w:numPr>
          <w:ilvl w:val="0"/>
          <w:numId w:val="2"/>
        </w:numPr>
        <w:shd w:val="clear" w:color="auto" w:fill="FFFFFF"/>
        <w:spacing w:before="100" w:beforeAutospacing="1" w:after="100" w:afterAutospacing="1"/>
        <w:jc w:val="left"/>
        <w:rPr>
          <w:rFonts w:ascii="Helvetica" w:eastAsia="宋体" w:hAnsi="Helvetica" w:cs="Helvetica"/>
          <w:color w:val="54392D"/>
          <w:kern w:val="0"/>
          <w:sz w:val="24"/>
          <w:szCs w:val="24"/>
        </w:rPr>
      </w:pPr>
      <w:r w:rsidRPr="00384CED">
        <w:rPr>
          <w:rFonts w:ascii="Helvetica" w:eastAsia="宋体" w:hAnsi="Helvetica" w:cs="Helvetica"/>
          <w:color w:val="54392D"/>
          <w:kern w:val="0"/>
          <w:sz w:val="24"/>
          <w:szCs w:val="24"/>
        </w:rPr>
        <w:t>Comparable restaurant sales increased 0.5%</w:t>
      </w:r>
    </w:p>
    <w:p w:rsidR="00384CED" w:rsidRPr="00384CED" w:rsidRDefault="00384CED" w:rsidP="00384CED">
      <w:pPr>
        <w:widowControl/>
        <w:numPr>
          <w:ilvl w:val="0"/>
          <w:numId w:val="2"/>
        </w:numPr>
        <w:shd w:val="clear" w:color="auto" w:fill="FFFFFF"/>
        <w:spacing w:before="100" w:beforeAutospacing="1" w:after="100" w:afterAutospacing="1"/>
        <w:jc w:val="left"/>
        <w:rPr>
          <w:rFonts w:ascii="Helvetica" w:eastAsia="宋体" w:hAnsi="Helvetica" w:cs="Helvetica"/>
          <w:color w:val="54392D"/>
          <w:kern w:val="0"/>
          <w:sz w:val="24"/>
          <w:szCs w:val="24"/>
        </w:rPr>
      </w:pPr>
      <w:r w:rsidRPr="00384CED">
        <w:rPr>
          <w:rFonts w:ascii="Helvetica" w:eastAsia="宋体" w:hAnsi="Helvetica" w:cs="Helvetica"/>
          <w:color w:val="54392D"/>
          <w:kern w:val="0"/>
          <w:sz w:val="24"/>
          <w:szCs w:val="24"/>
        </w:rPr>
        <w:t>Operating margin was 12.9%, a decrease from 16.7%</w:t>
      </w:r>
    </w:p>
    <w:p w:rsidR="00384CED" w:rsidRPr="00384CED" w:rsidRDefault="00384CED" w:rsidP="00384CED">
      <w:pPr>
        <w:widowControl/>
        <w:numPr>
          <w:ilvl w:val="0"/>
          <w:numId w:val="2"/>
        </w:numPr>
        <w:shd w:val="clear" w:color="auto" w:fill="FFFFFF"/>
        <w:spacing w:before="100" w:beforeAutospacing="1" w:after="100" w:afterAutospacing="1"/>
        <w:jc w:val="left"/>
        <w:rPr>
          <w:rFonts w:ascii="Helvetica" w:eastAsia="宋体" w:hAnsi="Helvetica" w:cs="Helvetica"/>
          <w:color w:val="54392D"/>
          <w:kern w:val="0"/>
          <w:sz w:val="24"/>
          <w:szCs w:val="24"/>
        </w:rPr>
      </w:pPr>
      <w:r w:rsidRPr="00384CED">
        <w:rPr>
          <w:rFonts w:ascii="Helvetica" w:eastAsia="宋体" w:hAnsi="Helvetica" w:cs="Helvetica"/>
          <w:color w:val="54392D"/>
          <w:kern w:val="0"/>
          <w:sz w:val="24"/>
          <w:szCs w:val="24"/>
        </w:rPr>
        <w:t>Adjusted restaurant level operating margin</w:t>
      </w:r>
      <w:r w:rsidRPr="00384CED">
        <w:rPr>
          <w:rFonts w:ascii="Helvetica" w:eastAsia="宋体" w:hAnsi="Helvetica" w:cs="Helvetica"/>
          <w:color w:val="54392D"/>
          <w:kern w:val="0"/>
          <w:sz w:val="18"/>
          <w:szCs w:val="18"/>
          <w:vertAlign w:val="superscript"/>
        </w:rPr>
        <w:t>1</w:t>
      </w:r>
      <w:r w:rsidRPr="00384CED">
        <w:rPr>
          <w:rFonts w:ascii="Helvetica" w:eastAsia="宋体" w:hAnsi="Helvetica" w:cs="Helvetica"/>
          <w:color w:val="54392D"/>
          <w:kern w:val="0"/>
          <w:sz w:val="24"/>
          <w:szCs w:val="24"/>
        </w:rPr>
        <w:t> was 23.7%, a decrease from 26.2%</w:t>
      </w:r>
    </w:p>
    <w:p w:rsidR="00384CED" w:rsidRPr="00384CED" w:rsidRDefault="00384CED" w:rsidP="00384CED">
      <w:pPr>
        <w:widowControl/>
        <w:numPr>
          <w:ilvl w:val="0"/>
          <w:numId w:val="2"/>
        </w:numPr>
        <w:shd w:val="clear" w:color="auto" w:fill="FFFFFF"/>
        <w:spacing w:before="100" w:beforeAutospacing="1" w:after="100" w:afterAutospacing="1"/>
        <w:jc w:val="left"/>
        <w:rPr>
          <w:rFonts w:ascii="Helvetica" w:eastAsia="宋体" w:hAnsi="Helvetica" w:cs="Helvetica"/>
          <w:color w:val="54392D"/>
          <w:kern w:val="0"/>
          <w:sz w:val="24"/>
          <w:szCs w:val="24"/>
        </w:rPr>
      </w:pPr>
      <w:r w:rsidRPr="00384CED">
        <w:rPr>
          <w:rFonts w:ascii="Helvetica" w:eastAsia="宋体" w:hAnsi="Helvetica" w:cs="Helvetica"/>
          <w:color w:val="54392D"/>
          <w:kern w:val="0"/>
          <w:sz w:val="24"/>
          <w:szCs w:val="24"/>
        </w:rPr>
        <w:t>Diluted earnings per share was $0.23, a 17.9% decrease from $0.28</w:t>
      </w:r>
    </w:p>
    <w:p w:rsidR="00384CED" w:rsidRPr="00384CED" w:rsidRDefault="00384CED" w:rsidP="00384CED">
      <w:pPr>
        <w:widowControl/>
        <w:numPr>
          <w:ilvl w:val="0"/>
          <w:numId w:val="2"/>
        </w:numPr>
        <w:shd w:val="clear" w:color="auto" w:fill="FFFFFF"/>
        <w:spacing w:before="100" w:beforeAutospacing="1" w:after="100" w:afterAutospacing="1"/>
        <w:jc w:val="left"/>
        <w:rPr>
          <w:rFonts w:ascii="Helvetica" w:eastAsia="宋体" w:hAnsi="Helvetica" w:cs="Helvetica"/>
          <w:color w:val="54392D"/>
          <w:kern w:val="0"/>
          <w:sz w:val="24"/>
          <w:szCs w:val="24"/>
        </w:rPr>
      </w:pPr>
      <w:r w:rsidRPr="00384CED">
        <w:rPr>
          <w:rFonts w:ascii="Helvetica" w:eastAsia="宋体" w:hAnsi="Helvetica" w:cs="Helvetica"/>
          <w:color w:val="54392D"/>
          <w:kern w:val="0"/>
          <w:sz w:val="24"/>
          <w:szCs w:val="24"/>
        </w:rPr>
        <w:t>Adjusted diluted earnings per share</w:t>
      </w:r>
      <w:r w:rsidRPr="00384CED">
        <w:rPr>
          <w:rFonts w:ascii="Helvetica" w:eastAsia="宋体" w:hAnsi="Helvetica" w:cs="Helvetica"/>
          <w:color w:val="54392D"/>
          <w:kern w:val="0"/>
          <w:sz w:val="18"/>
          <w:szCs w:val="18"/>
          <w:vertAlign w:val="superscript"/>
        </w:rPr>
        <w:t>1</w:t>
      </w:r>
      <w:r w:rsidRPr="00384CED">
        <w:rPr>
          <w:rFonts w:ascii="Helvetica" w:eastAsia="宋体" w:hAnsi="Helvetica" w:cs="Helvetica"/>
          <w:color w:val="54392D"/>
          <w:kern w:val="0"/>
          <w:sz w:val="24"/>
          <w:szCs w:val="24"/>
        </w:rPr>
        <w:t> was $0.24, a 17.2% decrease from $0.29</w:t>
      </w:r>
    </w:p>
    <w:p w:rsidR="00384CED" w:rsidRPr="00384CED" w:rsidRDefault="00384CED" w:rsidP="00384CED">
      <w:pPr>
        <w:widowControl/>
        <w:numPr>
          <w:ilvl w:val="0"/>
          <w:numId w:val="2"/>
        </w:numPr>
        <w:shd w:val="clear" w:color="auto" w:fill="FFFFFF"/>
        <w:spacing w:before="100" w:beforeAutospacing="1" w:after="100" w:afterAutospacing="1"/>
        <w:jc w:val="left"/>
        <w:rPr>
          <w:rFonts w:ascii="Helvetica" w:eastAsia="宋体" w:hAnsi="Helvetica" w:cs="Helvetica"/>
          <w:color w:val="54392D"/>
          <w:kern w:val="0"/>
          <w:sz w:val="24"/>
          <w:szCs w:val="24"/>
        </w:rPr>
      </w:pPr>
      <w:r w:rsidRPr="00384CED">
        <w:rPr>
          <w:rFonts w:ascii="Helvetica" w:eastAsia="宋体" w:hAnsi="Helvetica" w:cs="Helvetica"/>
          <w:color w:val="54392D"/>
          <w:kern w:val="0"/>
          <w:sz w:val="24"/>
          <w:szCs w:val="24"/>
        </w:rPr>
        <w:t xml:space="preserve">Opened 49 company-owned restaurants, with 42 locations including a </w:t>
      </w:r>
      <w:proofErr w:type="spellStart"/>
      <w:r w:rsidRPr="00384CED">
        <w:rPr>
          <w:rFonts w:ascii="Helvetica" w:eastAsia="宋体" w:hAnsi="Helvetica" w:cs="Helvetica"/>
          <w:color w:val="54392D"/>
          <w:kern w:val="0"/>
          <w:sz w:val="24"/>
          <w:szCs w:val="24"/>
        </w:rPr>
        <w:t>Chipotlane</w:t>
      </w:r>
      <w:proofErr w:type="spellEnd"/>
      <w:r w:rsidRPr="00384CED">
        <w:rPr>
          <w:rFonts w:ascii="Helvetica" w:eastAsia="宋体" w:hAnsi="Helvetica" w:cs="Helvetica"/>
          <w:color w:val="54392D"/>
          <w:kern w:val="0"/>
          <w:sz w:val="24"/>
          <w:szCs w:val="24"/>
        </w:rPr>
        <w:t>.</w:t>
      </w:r>
    </w:p>
    <w:p w:rsidR="00384CED" w:rsidRPr="00384CED" w:rsidRDefault="00384CED" w:rsidP="00384CED">
      <w:pPr>
        <w:widowControl/>
        <w:shd w:val="clear" w:color="auto" w:fill="FFFFFF"/>
        <w:spacing w:after="180"/>
        <w:jc w:val="left"/>
        <w:rPr>
          <w:rFonts w:ascii="Helvetica" w:eastAsia="宋体" w:hAnsi="Helvetica" w:cs="Helvetica"/>
          <w:color w:val="54392D"/>
          <w:kern w:val="0"/>
          <w:sz w:val="24"/>
          <w:szCs w:val="24"/>
        </w:rPr>
      </w:pPr>
      <w:r w:rsidRPr="00384CED">
        <w:rPr>
          <w:rFonts w:ascii="Helvetica" w:eastAsia="宋体" w:hAnsi="Helvetica" w:cs="Helvetica"/>
          <w:color w:val="54392D"/>
          <w:kern w:val="0"/>
          <w:sz w:val="24"/>
          <w:szCs w:val="24"/>
        </w:rPr>
        <w:t xml:space="preserve">"Our first quarter exceeded expectations as we advanced our Recipe for Growth strategy, delivering tangible progress across operations, digital, menu innovation, people, and development," said Scott Boatwright, Chief Executive Officer, </w:t>
      </w:r>
      <w:proofErr w:type="gramStart"/>
      <w:r w:rsidRPr="00384CED">
        <w:rPr>
          <w:rFonts w:ascii="Helvetica" w:eastAsia="宋体" w:hAnsi="Helvetica" w:cs="Helvetica"/>
          <w:color w:val="54392D"/>
          <w:kern w:val="0"/>
          <w:sz w:val="24"/>
          <w:szCs w:val="24"/>
        </w:rPr>
        <w:t>Chipotle</w:t>
      </w:r>
      <w:proofErr w:type="gramEnd"/>
      <w:r w:rsidRPr="00384CED">
        <w:rPr>
          <w:rFonts w:ascii="Helvetica" w:eastAsia="宋体" w:hAnsi="Helvetica" w:cs="Helvetica"/>
          <w:color w:val="54392D"/>
          <w:kern w:val="0"/>
          <w:sz w:val="24"/>
          <w:szCs w:val="24"/>
        </w:rPr>
        <w:t>. "We are excited to welcome a new Chief Brand Officer and a new Chief Digital Officer to further strengthen our value proposition, sharpen our brand messaging, and accelerate innovation—positioning Chipotle for sustained, long-term growth as we advance on our path to becoming a global iconic brand."</w:t>
      </w:r>
    </w:p>
    <w:p w:rsidR="00384CED" w:rsidRPr="00384CED" w:rsidRDefault="00384CED" w:rsidP="00384CED">
      <w:pPr>
        <w:widowControl/>
        <w:shd w:val="clear" w:color="auto" w:fill="FFFFFF"/>
        <w:spacing w:after="180"/>
        <w:jc w:val="left"/>
        <w:rPr>
          <w:rFonts w:ascii="Helvetica" w:eastAsia="宋体" w:hAnsi="Helvetica" w:cs="Helvetica"/>
          <w:color w:val="54392D"/>
          <w:kern w:val="0"/>
          <w:sz w:val="24"/>
          <w:szCs w:val="24"/>
        </w:rPr>
      </w:pPr>
      <w:r w:rsidRPr="00384CED">
        <w:rPr>
          <w:rFonts w:ascii="Helvetica" w:eastAsia="宋体" w:hAnsi="Helvetica" w:cs="Helvetica"/>
          <w:b/>
          <w:bCs/>
          <w:color w:val="54392D"/>
          <w:kern w:val="0"/>
          <w:sz w:val="24"/>
          <w:szCs w:val="24"/>
        </w:rPr>
        <w:t>Results for the three months ended March</w:t>
      </w:r>
      <w:r w:rsidRPr="00384CED">
        <w:rPr>
          <w:rFonts w:ascii="Helvetica" w:eastAsia="宋体" w:hAnsi="Helvetica" w:cs="Helvetica"/>
          <w:color w:val="54392D"/>
          <w:kern w:val="0"/>
          <w:sz w:val="24"/>
          <w:szCs w:val="24"/>
        </w:rPr>
        <w:t> </w:t>
      </w:r>
      <w:r w:rsidRPr="00384CED">
        <w:rPr>
          <w:rFonts w:ascii="Helvetica" w:eastAsia="宋体" w:hAnsi="Helvetica" w:cs="Helvetica"/>
          <w:b/>
          <w:bCs/>
          <w:color w:val="54392D"/>
          <w:kern w:val="0"/>
          <w:sz w:val="24"/>
          <w:szCs w:val="24"/>
        </w:rPr>
        <w:t>31, 2026:</w:t>
      </w:r>
    </w:p>
    <w:p w:rsidR="00384CED" w:rsidRPr="00384CED" w:rsidRDefault="00384CED" w:rsidP="00384CED">
      <w:pPr>
        <w:widowControl/>
        <w:shd w:val="clear" w:color="auto" w:fill="FFFFFF"/>
        <w:spacing w:after="180"/>
        <w:jc w:val="left"/>
        <w:rPr>
          <w:rFonts w:ascii="Helvetica" w:eastAsia="宋体" w:hAnsi="Helvetica" w:cs="Helvetica"/>
          <w:color w:val="54392D"/>
          <w:kern w:val="0"/>
          <w:sz w:val="24"/>
          <w:szCs w:val="24"/>
        </w:rPr>
      </w:pPr>
      <w:r w:rsidRPr="00384CED">
        <w:rPr>
          <w:rFonts w:ascii="Helvetica" w:eastAsia="宋体" w:hAnsi="Helvetica" w:cs="Helvetica"/>
          <w:color w:val="54392D"/>
          <w:kern w:val="0"/>
          <w:sz w:val="24"/>
          <w:szCs w:val="24"/>
        </w:rPr>
        <w:t>Total revenue in the first quarter of 2026 was $3.1 billion, an increase of 7.4% compared to the first quarter of 2025. The increase was driven by new restaurant openings and, to a lesser extent, a 0.5% increase in comparable restaurant sales due to higher transactions of 0.6%, partially offset by a 0.1% decrease in average check. Digital sales represented 38.6% of total food and beverage revenue.</w:t>
      </w:r>
    </w:p>
    <w:p w:rsidR="00384CED" w:rsidRPr="00384CED" w:rsidRDefault="00384CED" w:rsidP="00384CED">
      <w:pPr>
        <w:widowControl/>
        <w:shd w:val="clear" w:color="auto" w:fill="FFFFFF"/>
        <w:spacing w:after="180"/>
        <w:jc w:val="left"/>
        <w:rPr>
          <w:rFonts w:ascii="Helvetica" w:eastAsia="宋体" w:hAnsi="Helvetica" w:cs="Helvetica"/>
          <w:color w:val="54392D"/>
          <w:kern w:val="0"/>
          <w:sz w:val="24"/>
          <w:szCs w:val="24"/>
        </w:rPr>
      </w:pPr>
      <w:r w:rsidRPr="00384CED">
        <w:rPr>
          <w:rFonts w:ascii="Helvetica" w:eastAsia="宋体" w:hAnsi="Helvetica" w:cs="Helvetica"/>
          <w:color w:val="54392D"/>
          <w:kern w:val="0"/>
          <w:sz w:val="24"/>
          <w:szCs w:val="24"/>
        </w:rPr>
        <w:t xml:space="preserve">During the first quarter we opened 49 company-owned restaurants, of which 42 included a </w:t>
      </w:r>
      <w:proofErr w:type="spellStart"/>
      <w:r w:rsidRPr="00384CED">
        <w:rPr>
          <w:rFonts w:ascii="Helvetica" w:eastAsia="宋体" w:hAnsi="Helvetica" w:cs="Helvetica"/>
          <w:color w:val="54392D"/>
          <w:kern w:val="0"/>
          <w:sz w:val="24"/>
          <w:szCs w:val="24"/>
        </w:rPr>
        <w:t>Chipotlane</w:t>
      </w:r>
      <w:proofErr w:type="spellEnd"/>
      <w:r w:rsidRPr="00384CED">
        <w:rPr>
          <w:rFonts w:ascii="Helvetica" w:eastAsia="宋体" w:hAnsi="Helvetica" w:cs="Helvetica"/>
          <w:color w:val="54392D"/>
          <w:kern w:val="0"/>
          <w:sz w:val="24"/>
          <w:szCs w:val="24"/>
        </w:rPr>
        <w:t xml:space="preserve">. </w:t>
      </w:r>
      <w:proofErr w:type="spellStart"/>
      <w:r w:rsidRPr="00384CED">
        <w:rPr>
          <w:rFonts w:ascii="Helvetica" w:eastAsia="宋体" w:hAnsi="Helvetica" w:cs="Helvetica"/>
          <w:color w:val="54392D"/>
          <w:kern w:val="0"/>
          <w:sz w:val="24"/>
          <w:szCs w:val="24"/>
        </w:rPr>
        <w:t>Chipotlanes</w:t>
      </w:r>
      <w:proofErr w:type="spellEnd"/>
      <w:r w:rsidRPr="00384CED">
        <w:rPr>
          <w:rFonts w:ascii="Helvetica" w:eastAsia="宋体" w:hAnsi="Helvetica" w:cs="Helvetica"/>
          <w:color w:val="54392D"/>
          <w:kern w:val="0"/>
          <w:sz w:val="24"/>
          <w:szCs w:val="24"/>
        </w:rPr>
        <w:t xml:space="preserve"> continue to perform well and are helping enhance guest access and convenience, as well as increase new restaurant sales, margins and returns.</w:t>
      </w:r>
    </w:p>
    <w:p w:rsidR="00384CED" w:rsidRPr="00384CED" w:rsidRDefault="00384CED" w:rsidP="00384CED">
      <w:pPr>
        <w:widowControl/>
        <w:shd w:val="clear" w:color="auto" w:fill="FFFFFF"/>
        <w:spacing w:after="180"/>
        <w:jc w:val="left"/>
        <w:rPr>
          <w:rFonts w:ascii="Helvetica" w:eastAsia="宋体" w:hAnsi="Helvetica" w:cs="Helvetica"/>
          <w:color w:val="54392D"/>
          <w:kern w:val="0"/>
          <w:sz w:val="24"/>
          <w:szCs w:val="24"/>
        </w:rPr>
      </w:pPr>
      <w:r w:rsidRPr="00384CED">
        <w:rPr>
          <w:rFonts w:ascii="Helvetica" w:eastAsia="宋体" w:hAnsi="Helvetica" w:cs="Helvetica"/>
          <w:color w:val="54392D"/>
          <w:kern w:val="0"/>
          <w:sz w:val="24"/>
          <w:szCs w:val="24"/>
        </w:rPr>
        <w:t>Food, beverage and packaging costs in the first quarter of 2026 were 29.6% of total revenue, an increase from 29.2% in the first quarter of 2025. The increase was driven by inflation, primarily in beef and freight, and higher produce usage. These increases were partially offset by lower dairy and avocado costs, and the benefit of menu price increases.</w:t>
      </w:r>
    </w:p>
    <w:p w:rsidR="00384CED" w:rsidRPr="00384CED" w:rsidRDefault="00384CED" w:rsidP="00384CED">
      <w:pPr>
        <w:widowControl/>
        <w:shd w:val="clear" w:color="auto" w:fill="FFFFFF"/>
        <w:spacing w:after="180"/>
        <w:jc w:val="left"/>
        <w:rPr>
          <w:rFonts w:ascii="Helvetica" w:eastAsia="宋体" w:hAnsi="Helvetica" w:cs="Helvetica"/>
          <w:color w:val="54392D"/>
          <w:kern w:val="0"/>
          <w:sz w:val="24"/>
          <w:szCs w:val="24"/>
        </w:rPr>
      </w:pPr>
      <w:r w:rsidRPr="00384CED">
        <w:rPr>
          <w:rFonts w:ascii="Helvetica" w:eastAsia="宋体" w:hAnsi="Helvetica" w:cs="Helvetica"/>
          <w:color w:val="54392D"/>
          <w:kern w:val="0"/>
          <w:sz w:val="24"/>
          <w:szCs w:val="24"/>
        </w:rPr>
        <w:t>Labor costs in the first quarter of 2026 were 26.1% of total revenue, an increase from 25.0% in the first quarter of 2025. The increase was primarily driven by wage inflation, lower average restaurant sales volumes, and higher benefits expense, including performance-based bonuses. These headwinds were partially offset by the benefit of menu price increases. Excluding a 40 basis point impact from costs related to certain legal proceedings, adjusted labor costs</w:t>
      </w:r>
      <w:r w:rsidRPr="00384CED">
        <w:rPr>
          <w:rFonts w:ascii="Helvetica" w:eastAsia="宋体" w:hAnsi="Helvetica" w:cs="Helvetica"/>
          <w:color w:val="54392D"/>
          <w:kern w:val="0"/>
          <w:sz w:val="18"/>
          <w:szCs w:val="18"/>
          <w:vertAlign w:val="superscript"/>
        </w:rPr>
        <w:t>1</w:t>
      </w:r>
      <w:r w:rsidRPr="00384CED">
        <w:rPr>
          <w:rFonts w:ascii="Helvetica" w:eastAsia="宋体" w:hAnsi="Helvetica" w:cs="Helvetica"/>
          <w:color w:val="54392D"/>
          <w:kern w:val="0"/>
          <w:sz w:val="24"/>
          <w:szCs w:val="24"/>
        </w:rPr>
        <w:t> were 25.7% of total revenue, compared to 25.0% in the first quarter of 2025.</w:t>
      </w:r>
    </w:p>
    <w:tbl>
      <w:tblPr>
        <w:tblW w:w="0" w:type="auto"/>
        <w:tblCellMar>
          <w:top w:w="15" w:type="dxa"/>
          <w:left w:w="15" w:type="dxa"/>
          <w:bottom w:w="15" w:type="dxa"/>
          <w:right w:w="15" w:type="dxa"/>
        </w:tblCellMar>
        <w:tblLook w:val="04A0" w:firstRow="1" w:lastRow="0" w:firstColumn="1" w:lastColumn="0" w:noHBand="0" w:noVBand="1"/>
      </w:tblPr>
      <w:tblGrid>
        <w:gridCol w:w="142"/>
        <w:gridCol w:w="8164"/>
      </w:tblGrid>
      <w:tr w:rsidR="00384CED" w:rsidRPr="00384CED" w:rsidTr="00384CED">
        <w:tc>
          <w:tcPr>
            <w:tcW w:w="0" w:type="auto"/>
            <w:tcBorders>
              <w:top w:val="nil"/>
              <w:left w:val="nil"/>
              <w:bottom w:val="nil"/>
              <w:right w:val="nil"/>
            </w:tcBorders>
            <w:tcMar>
              <w:top w:w="75" w:type="dxa"/>
              <w:left w:w="41" w:type="dxa"/>
              <w:bottom w:w="75" w:type="dxa"/>
              <w:right w:w="41" w:type="dxa"/>
            </w:tcMar>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18"/>
                <w:szCs w:val="18"/>
                <w:vertAlign w:val="superscript"/>
              </w:rPr>
              <w:t>1</w:t>
            </w:r>
          </w:p>
        </w:tc>
        <w:tc>
          <w:tcPr>
            <w:tcW w:w="0" w:type="auto"/>
            <w:tcBorders>
              <w:top w:val="nil"/>
              <w:left w:val="nil"/>
              <w:bottom w:val="nil"/>
              <w:right w:val="nil"/>
            </w:tcBorders>
            <w:tcMar>
              <w:top w:w="75" w:type="dxa"/>
              <w:left w:w="41" w:type="dxa"/>
              <w:bottom w:w="75" w:type="dxa"/>
              <w:right w:w="41" w:type="dxa"/>
            </w:tcMar>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Adjusted restaurant level operating margin, adjusted diluted earnings per share, adjusted labor costs, adjusted net income, adjusted general and administrative expenses, and non-GAAP effective income tax rate are non-GAAP financial measures. Reconciliations to GAAP measures and further information are set forth in the table at the end of this press release. </w:t>
            </w:r>
          </w:p>
        </w:tc>
      </w:tr>
    </w:tbl>
    <w:p w:rsidR="00384CED" w:rsidRPr="00384CED" w:rsidRDefault="00384CED" w:rsidP="00384CED">
      <w:pPr>
        <w:widowControl/>
        <w:shd w:val="clear" w:color="auto" w:fill="FFFFFF"/>
        <w:spacing w:after="180"/>
        <w:jc w:val="left"/>
        <w:rPr>
          <w:rFonts w:ascii="Helvetica" w:eastAsia="宋体" w:hAnsi="Helvetica" w:cs="Helvetica"/>
          <w:color w:val="54392D"/>
          <w:kern w:val="0"/>
          <w:sz w:val="24"/>
          <w:szCs w:val="24"/>
        </w:rPr>
      </w:pPr>
      <w:r w:rsidRPr="00384CED">
        <w:rPr>
          <w:rFonts w:ascii="Helvetica" w:eastAsia="宋体" w:hAnsi="Helvetica" w:cs="Helvetica"/>
          <w:color w:val="54392D"/>
          <w:kern w:val="0"/>
          <w:sz w:val="24"/>
          <w:szCs w:val="24"/>
        </w:rPr>
        <w:t>General and administrative expenses for the first quarter of 2026 were $203.7 million, compared to $172.8 million in the first quarter of 2025. The increase was driven by our biennial All Managers Conference held in the first quarter of 2026, performance bonuses and wages, and benefited from lower stock-based compensation. Adjusted general and administrative expenses</w:t>
      </w:r>
      <w:r w:rsidRPr="00384CED">
        <w:rPr>
          <w:rFonts w:ascii="Helvetica" w:eastAsia="宋体" w:hAnsi="Helvetica" w:cs="Helvetica"/>
          <w:color w:val="54392D"/>
          <w:kern w:val="0"/>
          <w:sz w:val="18"/>
          <w:szCs w:val="18"/>
          <w:vertAlign w:val="superscript"/>
        </w:rPr>
        <w:t>1</w:t>
      </w:r>
      <w:r w:rsidRPr="00384CED">
        <w:rPr>
          <w:rFonts w:ascii="Helvetica" w:eastAsia="宋体" w:hAnsi="Helvetica" w:cs="Helvetica"/>
          <w:color w:val="54392D"/>
          <w:kern w:val="0"/>
          <w:sz w:val="24"/>
          <w:szCs w:val="24"/>
        </w:rPr>
        <w:t> for the first quarter of 2026 were $197.9 million, compared to $160.9 million in the first quarter of 2025.</w:t>
      </w:r>
    </w:p>
    <w:p w:rsidR="00384CED" w:rsidRPr="00384CED" w:rsidRDefault="00384CED" w:rsidP="00384CED">
      <w:pPr>
        <w:widowControl/>
        <w:shd w:val="clear" w:color="auto" w:fill="FFFFFF"/>
        <w:spacing w:after="180"/>
        <w:jc w:val="left"/>
        <w:rPr>
          <w:rFonts w:ascii="Helvetica" w:eastAsia="宋体" w:hAnsi="Helvetica" w:cs="Helvetica"/>
          <w:color w:val="54392D"/>
          <w:kern w:val="0"/>
          <w:sz w:val="24"/>
          <w:szCs w:val="24"/>
        </w:rPr>
      </w:pPr>
      <w:r w:rsidRPr="00384CED">
        <w:rPr>
          <w:rFonts w:ascii="Helvetica" w:eastAsia="宋体" w:hAnsi="Helvetica" w:cs="Helvetica"/>
          <w:color w:val="54392D"/>
          <w:kern w:val="0"/>
          <w:sz w:val="24"/>
          <w:szCs w:val="24"/>
        </w:rPr>
        <w:t>The effective income tax rate for the first quarter of 2026 was 25.4%, an increase from 22.9% in the first quarter of 2025. The increase was driven by a reduction in tax benefits related to option exercises and equity vesting, fewer tax credits, and an increase in other discrete income tax items.</w:t>
      </w:r>
    </w:p>
    <w:p w:rsidR="00384CED" w:rsidRPr="00384CED" w:rsidRDefault="00384CED" w:rsidP="00384CED">
      <w:pPr>
        <w:widowControl/>
        <w:shd w:val="clear" w:color="auto" w:fill="FFFFFF"/>
        <w:spacing w:after="180"/>
        <w:jc w:val="left"/>
        <w:rPr>
          <w:rFonts w:ascii="Helvetica" w:eastAsia="宋体" w:hAnsi="Helvetica" w:cs="Helvetica"/>
          <w:color w:val="54392D"/>
          <w:kern w:val="0"/>
          <w:sz w:val="24"/>
          <w:szCs w:val="24"/>
        </w:rPr>
      </w:pPr>
      <w:r w:rsidRPr="00384CED">
        <w:rPr>
          <w:rFonts w:ascii="Helvetica" w:eastAsia="宋体" w:hAnsi="Helvetica" w:cs="Helvetica"/>
          <w:color w:val="54392D"/>
          <w:kern w:val="0"/>
          <w:sz w:val="24"/>
          <w:szCs w:val="24"/>
        </w:rPr>
        <w:t>Net income for the first quarter of 2026 was $302.8 million, or $0.23 per diluted share, compared to $386.6 million, or $0.28 per diluted share, in the first quarter of 2025. Adjusted net income</w:t>
      </w:r>
      <w:r w:rsidRPr="00384CED">
        <w:rPr>
          <w:rFonts w:ascii="Helvetica" w:eastAsia="宋体" w:hAnsi="Helvetica" w:cs="Helvetica"/>
          <w:color w:val="54392D"/>
          <w:kern w:val="0"/>
          <w:sz w:val="18"/>
          <w:szCs w:val="18"/>
          <w:vertAlign w:val="superscript"/>
        </w:rPr>
        <w:t>1</w:t>
      </w:r>
      <w:r w:rsidRPr="00384CED">
        <w:rPr>
          <w:rFonts w:ascii="Helvetica" w:eastAsia="宋体" w:hAnsi="Helvetica" w:cs="Helvetica"/>
          <w:color w:val="54392D"/>
          <w:kern w:val="0"/>
          <w:sz w:val="24"/>
          <w:szCs w:val="24"/>
        </w:rPr>
        <w:t> for the first quarter of 2026 was $316.2 million, or $0.24 per adjusted diluted share, compared to $396.8 million, or $0.29 per adjusted diluted share, in the first quarter of 2025.</w:t>
      </w:r>
    </w:p>
    <w:p w:rsidR="00384CED" w:rsidRPr="00384CED" w:rsidRDefault="00384CED" w:rsidP="00384CED">
      <w:pPr>
        <w:widowControl/>
        <w:shd w:val="clear" w:color="auto" w:fill="FFFFFF"/>
        <w:spacing w:after="180"/>
        <w:jc w:val="left"/>
        <w:rPr>
          <w:rFonts w:ascii="Helvetica" w:eastAsia="宋体" w:hAnsi="Helvetica" w:cs="Helvetica"/>
          <w:color w:val="54392D"/>
          <w:kern w:val="0"/>
          <w:sz w:val="24"/>
          <w:szCs w:val="24"/>
        </w:rPr>
      </w:pPr>
      <w:r w:rsidRPr="00384CED">
        <w:rPr>
          <w:rFonts w:ascii="Helvetica" w:eastAsia="宋体" w:hAnsi="Helvetica" w:cs="Helvetica"/>
          <w:color w:val="54392D"/>
          <w:kern w:val="0"/>
          <w:sz w:val="24"/>
          <w:szCs w:val="24"/>
        </w:rPr>
        <w:t>During the first quarter of 2026 we repurchased $700.8 million of stock at an average price per share of $36.14. As of March 31, 2026, $1.0 billion remained available under share repurchase authorizations from our Board of Directors. The repurchase authorization may be modified, suspended or discontinued at any time.</w:t>
      </w:r>
    </w:p>
    <w:p w:rsidR="00384CED" w:rsidRPr="00384CED" w:rsidRDefault="00384CED" w:rsidP="00384CED">
      <w:pPr>
        <w:widowControl/>
        <w:shd w:val="clear" w:color="auto" w:fill="FFFFFF"/>
        <w:spacing w:after="180"/>
        <w:jc w:val="left"/>
        <w:rPr>
          <w:rFonts w:ascii="Helvetica" w:eastAsia="宋体" w:hAnsi="Helvetica" w:cs="Helvetica"/>
          <w:color w:val="54392D"/>
          <w:kern w:val="0"/>
          <w:sz w:val="24"/>
          <w:szCs w:val="24"/>
        </w:rPr>
      </w:pPr>
      <w:r w:rsidRPr="00384CED">
        <w:rPr>
          <w:rFonts w:ascii="Helvetica" w:eastAsia="宋体" w:hAnsi="Helvetica" w:cs="Helvetica"/>
          <w:color w:val="54392D"/>
          <w:kern w:val="0"/>
          <w:sz w:val="24"/>
          <w:szCs w:val="24"/>
        </w:rPr>
        <w:t>More information will be available in our Quarterly Report on Form 10-Q, which will be filed with the SEC in April 2026.</w:t>
      </w:r>
    </w:p>
    <w:p w:rsidR="00384CED" w:rsidRPr="00384CED" w:rsidRDefault="00384CED" w:rsidP="00384CED">
      <w:pPr>
        <w:widowControl/>
        <w:shd w:val="clear" w:color="auto" w:fill="FFFFFF"/>
        <w:spacing w:after="180"/>
        <w:jc w:val="left"/>
        <w:rPr>
          <w:rFonts w:ascii="Helvetica" w:eastAsia="宋体" w:hAnsi="Helvetica" w:cs="Helvetica"/>
          <w:color w:val="54392D"/>
          <w:kern w:val="0"/>
          <w:sz w:val="24"/>
          <w:szCs w:val="24"/>
        </w:rPr>
      </w:pPr>
      <w:r w:rsidRPr="00384CED">
        <w:rPr>
          <w:rFonts w:ascii="Helvetica" w:eastAsia="宋体" w:hAnsi="Helvetica" w:cs="Helvetica"/>
          <w:b/>
          <w:bCs/>
          <w:color w:val="54392D"/>
          <w:kern w:val="0"/>
          <w:sz w:val="24"/>
          <w:szCs w:val="24"/>
        </w:rPr>
        <w:t>Outlook</w:t>
      </w:r>
    </w:p>
    <w:p w:rsidR="00384CED" w:rsidRPr="00384CED" w:rsidRDefault="00384CED" w:rsidP="00384CED">
      <w:pPr>
        <w:widowControl/>
        <w:shd w:val="clear" w:color="auto" w:fill="FFFFFF"/>
        <w:spacing w:after="180"/>
        <w:jc w:val="left"/>
        <w:rPr>
          <w:rFonts w:ascii="Helvetica" w:eastAsia="宋体" w:hAnsi="Helvetica" w:cs="Helvetica"/>
          <w:color w:val="54392D"/>
          <w:kern w:val="0"/>
          <w:sz w:val="24"/>
          <w:szCs w:val="24"/>
        </w:rPr>
      </w:pPr>
      <w:r w:rsidRPr="00384CED">
        <w:rPr>
          <w:rFonts w:ascii="Helvetica" w:eastAsia="宋体" w:hAnsi="Helvetica" w:cs="Helvetica"/>
          <w:color w:val="54392D"/>
          <w:kern w:val="0"/>
          <w:sz w:val="24"/>
          <w:szCs w:val="24"/>
        </w:rPr>
        <w:t>For 2026, management is anticipating the following:</w:t>
      </w:r>
    </w:p>
    <w:p w:rsidR="00384CED" w:rsidRPr="00384CED" w:rsidRDefault="00384CED" w:rsidP="00384CED">
      <w:pPr>
        <w:widowControl/>
        <w:numPr>
          <w:ilvl w:val="0"/>
          <w:numId w:val="3"/>
        </w:numPr>
        <w:shd w:val="clear" w:color="auto" w:fill="FFFFFF"/>
        <w:spacing w:before="100" w:beforeAutospacing="1" w:after="100" w:afterAutospacing="1"/>
        <w:jc w:val="left"/>
        <w:rPr>
          <w:rFonts w:ascii="Helvetica" w:eastAsia="宋体" w:hAnsi="Helvetica" w:cs="Helvetica"/>
          <w:color w:val="54392D"/>
          <w:kern w:val="0"/>
          <w:sz w:val="24"/>
          <w:szCs w:val="24"/>
        </w:rPr>
      </w:pPr>
      <w:r w:rsidRPr="00384CED">
        <w:rPr>
          <w:rFonts w:ascii="Helvetica" w:eastAsia="宋体" w:hAnsi="Helvetica" w:cs="Helvetica"/>
          <w:color w:val="54392D"/>
          <w:kern w:val="0"/>
          <w:sz w:val="24"/>
          <w:szCs w:val="24"/>
        </w:rPr>
        <w:t>Full year comparable restaurant sales to be about flat</w:t>
      </w:r>
    </w:p>
    <w:p w:rsidR="00384CED" w:rsidRPr="00384CED" w:rsidRDefault="00384CED" w:rsidP="00384CED">
      <w:pPr>
        <w:widowControl/>
        <w:numPr>
          <w:ilvl w:val="0"/>
          <w:numId w:val="3"/>
        </w:numPr>
        <w:shd w:val="clear" w:color="auto" w:fill="FFFFFF"/>
        <w:spacing w:before="100" w:beforeAutospacing="1" w:after="100" w:afterAutospacing="1"/>
        <w:jc w:val="left"/>
        <w:rPr>
          <w:rFonts w:ascii="Helvetica" w:eastAsia="宋体" w:hAnsi="Helvetica" w:cs="Helvetica"/>
          <w:color w:val="54392D"/>
          <w:kern w:val="0"/>
          <w:sz w:val="24"/>
          <w:szCs w:val="24"/>
        </w:rPr>
      </w:pPr>
      <w:r w:rsidRPr="00384CED">
        <w:rPr>
          <w:rFonts w:ascii="Helvetica" w:eastAsia="宋体" w:hAnsi="Helvetica" w:cs="Helvetica"/>
          <w:color w:val="54392D"/>
          <w:kern w:val="0"/>
          <w:sz w:val="24"/>
          <w:szCs w:val="24"/>
        </w:rPr>
        <w:t xml:space="preserve">350 to 370 new restaurant openings, which includes 10 to 15 international partner-operated restaurants. Around 80% of company-owned restaurants will have a </w:t>
      </w:r>
      <w:proofErr w:type="spellStart"/>
      <w:r w:rsidRPr="00384CED">
        <w:rPr>
          <w:rFonts w:ascii="Helvetica" w:eastAsia="宋体" w:hAnsi="Helvetica" w:cs="Helvetica"/>
          <w:color w:val="54392D"/>
          <w:kern w:val="0"/>
          <w:sz w:val="24"/>
          <w:szCs w:val="24"/>
        </w:rPr>
        <w:t>Chipotlane</w:t>
      </w:r>
      <w:proofErr w:type="spellEnd"/>
    </w:p>
    <w:p w:rsidR="00384CED" w:rsidRPr="00384CED" w:rsidRDefault="00384CED" w:rsidP="00384CED">
      <w:pPr>
        <w:widowControl/>
        <w:numPr>
          <w:ilvl w:val="0"/>
          <w:numId w:val="3"/>
        </w:numPr>
        <w:shd w:val="clear" w:color="auto" w:fill="FFFFFF"/>
        <w:spacing w:before="100" w:beforeAutospacing="1" w:after="100" w:afterAutospacing="1"/>
        <w:jc w:val="left"/>
        <w:rPr>
          <w:rFonts w:ascii="Helvetica" w:eastAsia="宋体" w:hAnsi="Helvetica" w:cs="Helvetica"/>
          <w:color w:val="54392D"/>
          <w:kern w:val="0"/>
          <w:sz w:val="24"/>
          <w:szCs w:val="24"/>
        </w:rPr>
      </w:pPr>
      <w:r w:rsidRPr="00384CED">
        <w:rPr>
          <w:rFonts w:ascii="Helvetica" w:eastAsia="宋体" w:hAnsi="Helvetica" w:cs="Helvetica"/>
          <w:color w:val="54392D"/>
          <w:kern w:val="0"/>
          <w:sz w:val="24"/>
          <w:szCs w:val="24"/>
        </w:rPr>
        <w:t>An estimated underlying effective full year tax rate between 24% and 26% before discrete items</w:t>
      </w:r>
    </w:p>
    <w:p w:rsidR="00384CED" w:rsidRPr="00384CED" w:rsidRDefault="00384CED" w:rsidP="00384CED">
      <w:pPr>
        <w:widowControl/>
        <w:shd w:val="clear" w:color="auto" w:fill="FFFFFF"/>
        <w:spacing w:after="180"/>
        <w:jc w:val="left"/>
        <w:rPr>
          <w:rFonts w:ascii="Helvetica" w:eastAsia="宋体" w:hAnsi="Helvetica" w:cs="Helvetica"/>
          <w:color w:val="54392D"/>
          <w:kern w:val="0"/>
          <w:sz w:val="24"/>
          <w:szCs w:val="24"/>
        </w:rPr>
      </w:pPr>
      <w:r w:rsidRPr="00384CED">
        <w:rPr>
          <w:rFonts w:ascii="Helvetica" w:eastAsia="宋体" w:hAnsi="Helvetica" w:cs="Helvetica"/>
          <w:b/>
          <w:bCs/>
          <w:color w:val="54392D"/>
          <w:kern w:val="0"/>
          <w:sz w:val="24"/>
          <w:szCs w:val="24"/>
        </w:rPr>
        <w:t>Definitions</w:t>
      </w:r>
    </w:p>
    <w:p w:rsidR="00384CED" w:rsidRPr="00384CED" w:rsidRDefault="00384CED" w:rsidP="00384CED">
      <w:pPr>
        <w:widowControl/>
        <w:shd w:val="clear" w:color="auto" w:fill="FFFFFF"/>
        <w:spacing w:after="180"/>
        <w:jc w:val="left"/>
        <w:rPr>
          <w:rFonts w:ascii="Helvetica" w:eastAsia="宋体" w:hAnsi="Helvetica" w:cs="Helvetica"/>
          <w:color w:val="54392D"/>
          <w:kern w:val="0"/>
          <w:sz w:val="24"/>
          <w:szCs w:val="24"/>
        </w:rPr>
      </w:pPr>
      <w:r w:rsidRPr="00384CED">
        <w:rPr>
          <w:rFonts w:ascii="Helvetica" w:eastAsia="宋体" w:hAnsi="Helvetica" w:cs="Helvetica"/>
          <w:color w:val="54392D"/>
          <w:kern w:val="0"/>
          <w:sz w:val="24"/>
          <w:szCs w:val="24"/>
        </w:rPr>
        <w:t>The following definitions apply to these terms as used throughout this release:</w:t>
      </w:r>
    </w:p>
    <w:p w:rsidR="00384CED" w:rsidRPr="00384CED" w:rsidRDefault="00384CED" w:rsidP="00384CED">
      <w:pPr>
        <w:widowControl/>
        <w:numPr>
          <w:ilvl w:val="0"/>
          <w:numId w:val="4"/>
        </w:numPr>
        <w:shd w:val="clear" w:color="auto" w:fill="FFFFFF"/>
        <w:spacing w:before="100" w:beforeAutospacing="1" w:after="100" w:afterAutospacing="1"/>
        <w:jc w:val="left"/>
        <w:rPr>
          <w:rFonts w:ascii="Helvetica" w:eastAsia="宋体" w:hAnsi="Helvetica" w:cs="Helvetica"/>
          <w:color w:val="54392D"/>
          <w:kern w:val="0"/>
          <w:sz w:val="24"/>
          <w:szCs w:val="24"/>
        </w:rPr>
      </w:pPr>
      <w:r w:rsidRPr="00384CED">
        <w:rPr>
          <w:rFonts w:ascii="Helvetica" w:eastAsia="宋体" w:hAnsi="Helvetica" w:cs="Helvetica"/>
          <w:b/>
          <w:bCs/>
          <w:color w:val="54392D"/>
          <w:kern w:val="0"/>
          <w:sz w:val="24"/>
          <w:szCs w:val="24"/>
        </w:rPr>
        <w:t>Comparable restaurant sales, or sales comps, and comparable restaurant transactions</w:t>
      </w:r>
      <w:r w:rsidRPr="00384CED">
        <w:rPr>
          <w:rFonts w:ascii="Helvetica" w:eastAsia="宋体" w:hAnsi="Helvetica" w:cs="Helvetica"/>
          <w:color w:val="54392D"/>
          <w:kern w:val="0"/>
          <w:sz w:val="24"/>
          <w:szCs w:val="24"/>
        </w:rPr>
        <w:t>, represent the change in period-over-period total revenue or transactions for company-owned restaurants in operation for at least 13 full calendar months.</w:t>
      </w:r>
    </w:p>
    <w:p w:rsidR="00384CED" w:rsidRPr="00384CED" w:rsidRDefault="00384CED" w:rsidP="00384CED">
      <w:pPr>
        <w:widowControl/>
        <w:numPr>
          <w:ilvl w:val="0"/>
          <w:numId w:val="4"/>
        </w:numPr>
        <w:shd w:val="clear" w:color="auto" w:fill="FFFFFF"/>
        <w:spacing w:before="100" w:beforeAutospacing="1" w:after="100" w:afterAutospacing="1"/>
        <w:jc w:val="left"/>
        <w:rPr>
          <w:rFonts w:ascii="Helvetica" w:eastAsia="宋体" w:hAnsi="Helvetica" w:cs="Helvetica"/>
          <w:color w:val="54392D"/>
          <w:kern w:val="0"/>
          <w:sz w:val="24"/>
          <w:szCs w:val="24"/>
        </w:rPr>
      </w:pPr>
      <w:r w:rsidRPr="00384CED">
        <w:rPr>
          <w:rFonts w:ascii="Helvetica" w:eastAsia="宋体" w:hAnsi="Helvetica" w:cs="Helvetica"/>
          <w:b/>
          <w:bCs/>
          <w:color w:val="54392D"/>
          <w:kern w:val="0"/>
          <w:sz w:val="24"/>
          <w:szCs w:val="24"/>
        </w:rPr>
        <w:t>Average restaurant sales</w:t>
      </w:r>
      <w:r w:rsidRPr="00384CED">
        <w:rPr>
          <w:rFonts w:ascii="Helvetica" w:eastAsia="宋体" w:hAnsi="Helvetica" w:cs="Helvetica"/>
          <w:color w:val="54392D"/>
          <w:kern w:val="0"/>
          <w:sz w:val="24"/>
          <w:szCs w:val="24"/>
        </w:rPr>
        <w:t> refers to the average trailing 12-month food and beverage revenue for company-owned restaurants in operation for at least 12 full calendar months.</w:t>
      </w:r>
    </w:p>
    <w:p w:rsidR="00384CED" w:rsidRPr="00384CED" w:rsidRDefault="00384CED" w:rsidP="00384CED">
      <w:pPr>
        <w:widowControl/>
        <w:numPr>
          <w:ilvl w:val="0"/>
          <w:numId w:val="4"/>
        </w:numPr>
        <w:shd w:val="clear" w:color="auto" w:fill="FFFFFF"/>
        <w:spacing w:before="100" w:beforeAutospacing="1" w:after="100" w:afterAutospacing="1"/>
        <w:jc w:val="left"/>
        <w:rPr>
          <w:rFonts w:ascii="Helvetica" w:eastAsia="宋体" w:hAnsi="Helvetica" w:cs="Helvetica"/>
          <w:color w:val="54392D"/>
          <w:kern w:val="0"/>
          <w:sz w:val="24"/>
          <w:szCs w:val="24"/>
        </w:rPr>
      </w:pPr>
      <w:r w:rsidRPr="00384CED">
        <w:rPr>
          <w:rFonts w:ascii="Helvetica" w:eastAsia="宋体" w:hAnsi="Helvetica" w:cs="Helvetica"/>
          <w:b/>
          <w:bCs/>
          <w:color w:val="54392D"/>
          <w:kern w:val="0"/>
          <w:sz w:val="24"/>
          <w:szCs w:val="24"/>
        </w:rPr>
        <w:t>Restaurant level operating margin</w:t>
      </w:r>
      <w:r w:rsidRPr="00384CED">
        <w:rPr>
          <w:rFonts w:ascii="Helvetica" w:eastAsia="宋体" w:hAnsi="Helvetica" w:cs="Helvetica"/>
          <w:color w:val="54392D"/>
          <w:kern w:val="0"/>
          <w:sz w:val="24"/>
          <w:szCs w:val="24"/>
        </w:rPr>
        <w:t> represents total revenue less direct restaurant operating costs, expressed as a percent of total revenue.</w:t>
      </w:r>
    </w:p>
    <w:p w:rsidR="00384CED" w:rsidRPr="00384CED" w:rsidRDefault="00384CED" w:rsidP="00384CED">
      <w:pPr>
        <w:widowControl/>
        <w:numPr>
          <w:ilvl w:val="0"/>
          <w:numId w:val="4"/>
        </w:numPr>
        <w:shd w:val="clear" w:color="auto" w:fill="FFFFFF"/>
        <w:spacing w:before="100" w:beforeAutospacing="1" w:after="100" w:afterAutospacing="1"/>
        <w:jc w:val="left"/>
        <w:rPr>
          <w:rFonts w:ascii="Helvetica" w:eastAsia="宋体" w:hAnsi="Helvetica" w:cs="Helvetica"/>
          <w:color w:val="54392D"/>
          <w:kern w:val="0"/>
          <w:sz w:val="24"/>
          <w:szCs w:val="24"/>
        </w:rPr>
      </w:pPr>
      <w:r w:rsidRPr="00384CED">
        <w:rPr>
          <w:rFonts w:ascii="Helvetica" w:eastAsia="宋体" w:hAnsi="Helvetica" w:cs="Helvetica"/>
          <w:b/>
          <w:bCs/>
          <w:color w:val="54392D"/>
          <w:kern w:val="0"/>
          <w:sz w:val="24"/>
          <w:szCs w:val="24"/>
        </w:rPr>
        <w:t>Digital sales</w:t>
      </w:r>
      <w:r w:rsidRPr="00384CED">
        <w:rPr>
          <w:rFonts w:ascii="Helvetica" w:eastAsia="宋体" w:hAnsi="Helvetica" w:cs="Helvetica"/>
          <w:color w:val="54392D"/>
          <w:kern w:val="0"/>
          <w:sz w:val="24"/>
          <w:szCs w:val="24"/>
        </w:rPr>
        <w:t> represent food and beverage revenue for company-owned restaurants generated through the Chipotle website, Chipotle app or third-party delivery aggregators. Digital sales include revenue deferrals associated with Chipotle Rewards.</w:t>
      </w:r>
    </w:p>
    <w:p w:rsidR="00384CED" w:rsidRPr="00384CED" w:rsidRDefault="00384CED" w:rsidP="00384CED">
      <w:pPr>
        <w:widowControl/>
        <w:numPr>
          <w:ilvl w:val="0"/>
          <w:numId w:val="4"/>
        </w:numPr>
        <w:shd w:val="clear" w:color="auto" w:fill="FFFFFF"/>
        <w:spacing w:before="100" w:beforeAutospacing="1" w:after="100" w:afterAutospacing="1"/>
        <w:jc w:val="left"/>
        <w:rPr>
          <w:rFonts w:ascii="Helvetica" w:eastAsia="宋体" w:hAnsi="Helvetica" w:cs="Helvetica"/>
          <w:color w:val="54392D"/>
          <w:kern w:val="0"/>
          <w:sz w:val="24"/>
          <w:szCs w:val="24"/>
        </w:rPr>
      </w:pPr>
      <w:r w:rsidRPr="00384CED">
        <w:rPr>
          <w:rFonts w:ascii="Helvetica" w:eastAsia="宋体" w:hAnsi="Helvetica" w:cs="Helvetica"/>
          <w:b/>
          <w:bCs/>
          <w:color w:val="54392D"/>
          <w:kern w:val="0"/>
          <w:sz w:val="24"/>
          <w:szCs w:val="24"/>
        </w:rPr>
        <w:t>Partner-operated restaurants</w:t>
      </w:r>
      <w:r w:rsidRPr="00384CED">
        <w:rPr>
          <w:rFonts w:ascii="Helvetica" w:eastAsia="宋体" w:hAnsi="Helvetica" w:cs="Helvetica"/>
          <w:color w:val="54392D"/>
          <w:kern w:val="0"/>
          <w:sz w:val="24"/>
          <w:szCs w:val="24"/>
        </w:rPr>
        <w:t> - Chipotle restaurants over which Chipotle does not have a controlling financial interest and for which Chipotle does not directly manage day-to-day operations. This includes restaurants operated by third parties pursuant to license or franchise agreements and restaurants in which Chipotle holds a minority, non</w:t>
      </w:r>
      <w:r w:rsidRPr="00384CED">
        <w:rPr>
          <w:rFonts w:ascii="Helvetica" w:eastAsia="宋体" w:hAnsi="Helvetica" w:cs="Helvetica"/>
          <w:color w:val="54392D"/>
          <w:kern w:val="0"/>
          <w:sz w:val="24"/>
          <w:szCs w:val="24"/>
        </w:rPr>
        <w:noBreakHyphen/>
        <w:t>controlling ownership interest.</w:t>
      </w:r>
    </w:p>
    <w:p w:rsidR="00384CED" w:rsidRPr="00384CED" w:rsidRDefault="00384CED" w:rsidP="00384CED">
      <w:pPr>
        <w:widowControl/>
        <w:shd w:val="clear" w:color="auto" w:fill="FFFFFF"/>
        <w:spacing w:after="180"/>
        <w:jc w:val="left"/>
        <w:rPr>
          <w:rFonts w:ascii="Helvetica" w:eastAsia="宋体" w:hAnsi="Helvetica" w:cs="Helvetica"/>
          <w:color w:val="54392D"/>
          <w:kern w:val="0"/>
          <w:sz w:val="24"/>
          <w:szCs w:val="24"/>
        </w:rPr>
      </w:pPr>
      <w:r w:rsidRPr="00384CED">
        <w:rPr>
          <w:rFonts w:ascii="Helvetica" w:eastAsia="宋体" w:hAnsi="Helvetica" w:cs="Helvetica"/>
          <w:b/>
          <w:bCs/>
          <w:color w:val="54392D"/>
          <w:kern w:val="0"/>
          <w:sz w:val="24"/>
          <w:szCs w:val="24"/>
        </w:rPr>
        <w:t>Conference Call Details and Supplemental Slides</w:t>
      </w:r>
    </w:p>
    <w:p w:rsidR="00384CED" w:rsidRPr="00384CED" w:rsidRDefault="00384CED" w:rsidP="00384CED">
      <w:pPr>
        <w:widowControl/>
        <w:shd w:val="clear" w:color="auto" w:fill="FFFFFF"/>
        <w:spacing w:after="180"/>
        <w:jc w:val="left"/>
        <w:rPr>
          <w:rFonts w:ascii="Helvetica" w:eastAsia="宋体" w:hAnsi="Helvetica" w:cs="Helvetica"/>
          <w:color w:val="54392D"/>
          <w:kern w:val="0"/>
          <w:sz w:val="24"/>
          <w:szCs w:val="24"/>
        </w:rPr>
      </w:pPr>
      <w:r w:rsidRPr="00384CED">
        <w:rPr>
          <w:rFonts w:ascii="Helvetica" w:eastAsia="宋体" w:hAnsi="Helvetica" w:cs="Helvetica"/>
          <w:color w:val="54392D"/>
          <w:kern w:val="0"/>
          <w:sz w:val="24"/>
          <w:szCs w:val="24"/>
        </w:rPr>
        <w:t>Chipotle will host a conference call on Wednesday, April 29, 2026, at 4:30 PM Eastern time to discuss first quarter 2026 financial results and provide a business update for the second quarter to date. In connection, supplemental slides for the call will be available on the company's website at ir.chipotle.com/presentations.</w:t>
      </w:r>
    </w:p>
    <w:p w:rsidR="00384CED" w:rsidRPr="00384CED" w:rsidRDefault="00384CED" w:rsidP="00384CED">
      <w:pPr>
        <w:widowControl/>
        <w:shd w:val="clear" w:color="auto" w:fill="FFFFFF"/>
        <w:spacing w:after="180"/>
        <w:jc w:val="left"/>
        <w:rPr>
          <w:rFonts w:ascii="Helvetica" w:eastAsia="宋体" w:hAnsi="Helvetica" w:cs="Helvetica"/>
          <w:color w:val="54392D"/>
          <w:kern w:val="0"/>
          <w:sz w:val="24"/>
          <w:szCs w:val="24"/>
        </w:rPr>
      </w:pPr>
      <w:r w:rsidRPr="00384CED">
        <w:rPr>
          <w:rFonts w:ascii="Helvetica" w:eastAsia="宋体" w:hAnsi="Helvetica" w:cs="Helvetica"/>
          <w:color w:val="54392D"/>
          <w:kern w:val="0"/>
          <w:sz w:val="24"/>
          <w:szCs w:val="24"/>
        </w:rPr>
        <w:t>The conference call can be accessed live over the phone by dialing 1-888-317-6003, or for international callers, by dialing 1-412-317-6061 and using code: 1676292. The call will be webcast live on the company's website at ir.chipotle.com/events. An archived webcast will be available approximately one hour after the end of the call.</w:t>
      </w:r>
    </w:p>
    <w:p w:rsidR="00384CED" w:rsidRPr="00384CED" w:rsidRDefault="00384CED" w:rsidP="00384CED">
      <w:pPr>
        <w:widowControl/>
        <w:shd w:val="clear" w:color="auto" w:fill="FFFFFF"/>
        <w:spacing w:after="180"/>
        <w:jc w:val="left"/>
        <w:rPr>
          <w:rFonts w:ascii="Helvetica" w:eastAsia="宋体" w:hAnsi="Helvetica" w:cs="Helvetica"/>
          <w:color w:val="54392D"/>
          <w:kern w:val="0"/>
          <w:sz w:val="24"/>
          <w:szCs w:val="24"/>
        </w:rPr>
      </w:pPr>
      <w:r w:rsidRPr="00384CED">
        <w:rPr>
          <w:rFonts w:ascii="Helvetica" w:eastAsia="宋体" w:hAnsi="Helvetica" w:cs="Helvetica"/>
          <w:b/>
          <w:bCs/>
          <w:color w:val="54392D"/>
          <w:kern w:val="0"/>
          <w:sz w:val="24"/>
          <w:szCs w:val="24"/>
        </w:rPr>
        <w:t>About Chipotle</w:t>
      </w:r>
    </w:p>
    <w:p w:rsidR="00384CED" w:rsidRPr="00384CED" w:rsidRDefault="00384CED" w:rsidP="00384CED">
      <w:pPr>
        <w:widowControl/>
        <w:shd w:val="clear" w:color="auto" w:fill="FFFFFF"/>
        <w:spacing w:after="180"/>
        <w:jc w:val="left"/>
        <w:rPr>
          <w:rFonts w:ascii="Helvetica" w:eastAsia="宋体" w:hAnsi="Helvetica" w:cs="Helvetica"/>
          <w:color w:val="54392D"/>
          <w:kern w:val="0"/>
          <w:sz w:val="24"/>
          <w:szCs w:val="24"/>
        </w:rPr>
      </w:pPr>
      <w:r w:rsidRPr="00384CED">
        <w:rPr>
          <w:rFonts w:ascii="Helvetica" w:eastAsia="宋体" w:hAnsi="Helvetica" w:cs="Helvetica"/>
          <w:color w:val="54392D"/>
          <w:kern w:val="0"/>
          <w:sz w:val="24"/>
          <w:szCs w:val="24"/>
        </w:rPr>
        <w:t>Chipotle Mexican Grill, Inc. (NYSE: CMG) is cultivating a better world by serving responsibly sourced, classically-cooked, real food with wholesome ingredients without artificial colors, flavors or preservatives. There are over 4,100 restaurants as of March 31, 2026, in the United States, Canada, the United Kingdom, France, Germany, and the Middle East and it is the only restaurant company of its size that owns and operates all its restaurants in North America and Europe. With over 135,000 employees passionate about providing a great guest experience, Chipotle is a longtime leader and innovator in the food industry. Chipotle is committed to making its food more accessible to everyone while continuing to be a brand with a demonstrated purpose as it leads the way in digital, technology and sustainable business practices. For more information or to place an order online, visit WWW.CHIPOTLE.COM.</w:t>
      </w:r>
    </w:p>
    <w:p w:rsidR="00384CED" w:rsidRPr="00384CED" w:rsidRDefault="00384CED" w:rsidP="00384CED">
      <w:pPr>
        <w:widowControl/>
        <w:shd w:val="clear" w:color="auto" w:fill="FFFFFF"/>
        <w:spacing w:after="180"/>
        <w:jc w:val="left"/>
        <w:rPr>
          <w:rFonts w:ascii="Helvetica" w:eastAsia="宋体" w:hAnsi="Helvetica" w:cs="Helvetica"/>
          <w:color w:val="54392D"/>
          <w:kern w:val="0"/>
          <w:sz w:val="24"/>
          <w:szCs w:val="24"/>
        </w:rPr>
      </w:pPr>
      <w:r w:rsidRPr="00384CED">
        <w:rPr>
          <w:rFonts w:ascii="Helvetica" w:eastAsia="宋体" w:hAnsi="Helvetica" w:cs="Helvetica"/>
          <w:b/>
          <w:bCs/>
          <w:color w:val="54392D"/>
          <w:kern w:val="0"/>
          <w:sz w:val="24"/>
          <w:szCs w:val="24"/>
        </w:rPr>
        <w:t>Forward-Looking Statements</w:t>
      </w:r>
    </w:p>
    <w:p w:rsidR="00384CED" w:rsidRPr="00384CED" w:rsidRDefault="00384CED" w:rsidP="00384CED">
      <w:pPr>
        <w:widowControl/>
        <w:shd w:val="clear" w:color="auto" w:fill="FFFFFF"/>
        <w:spacing w:after="180"/>
        <w:jc w:val="left"/>
        <w:rPr>
          <w:rFonts w:ascii="Helvetica" w:eastAsia="宋体" w:hAnsi="Helvetica" w:cs="Helvetica"/>
          <w:color w:val="54392D"/>
          <w:kern w:val="0"/>
          <w:sz w:val="24"/>
          <w:szCs w:val="24"/>
        </w:rPr>
      </w:pPr>
      <w:r w:rsidRPr="00384CED">
        <w:rPr>
          <w:rFonts w:ascii="Helvetica" w:eastAsia="宋体" w:hAnsi="Helvetica" w:cs="Helvetica"/>
          <w:i/>
          <w:iCs/>
          <w:color w:val="54392D"/>
          <w:kern w:val="0"/>
          <w:sz w:val="24"/>
          <w:szCs w:val="24"/>
        </w:rPr>
        <w:t>Certain statements in this press release, in the April</w:t>
      </w:r>
      <w:r w:rsidRPr="00384CED">
        <w:rPr>
          <w:rFonts w:ascii="Helvetica" w:eastAsia="宋体" w:hAnsi="Helvetica" w:cs="Helvetica"/>
          <w:color w:val="54392D"/>
          <w:kern w:val="0"/>
          <w:sz w:val="24"/>
          <w:szCs w:val="24"/>
        </w:rPr>
        <w:t> </w:t>
      </w:r>
      <w:r w:rsidRPr="00384CED">
        <w:rPr>
          <w:rFonts w:ascii="Helvetica" w:eastAsia="宋体" w:hAnsi="Helvetica" w:cs="Helvetica"/>
          <w:i/>
          <w:iCs/>
          <w:color w:val="54392D"/>
          <w:kern w:val="0"/>
          <w:sz w:val="24"/>
          <w:szCs w:val="24"/>
        </w:rPr>
        <w:t xml:space="preserve">29, 2026, conference call and in the supplemental slides for the call are forward-looking statements as defined in the Private Securities Litigation Reform Act of 1995, including statements under "Outlook" and "Recipe for Growth Strategy," and about our anticipated full year 2026 comparable restaurant sales growth, number of new company-owned and international partner-owned restaurant openings in 2026, expected number of restaurants with </w:t>
      </w:r>
      <w:proofErr w:type="spellStart"/>
      <w:r w:rsidRPr="00384CED">
        <w:rPr>
          <w:rFonts w:ascii="Helvetica" w:eastAsia="宋体" w:hAnsi="Helvetica" w:cs="Helvetica"/>
          <w:i/>
          <w:iCs/>
          <w:color w:val="54392D"/>
          <w:kern w:val="0"/>
          <w:sz w:val="24"/>
          <w:szCs w:val="24"/>
        </w:rPr>
        <w:t>Chipotlanes</w:t>
      </w:r>
      <w:proofErr w:type="spellEnd"/>
      <w:r w:rsidRPr="00384CED">
        <w:rPr>
          <w:rFonts w:ascii="Helvetica" w:eastAsia="宋体" w:hAnsi="Helvetica" w:cs="Helvetica"/>
          <w:i/>
          <w:iCs/>
          <w:color w:val="54392D"/>
          <w:kern w:val="0"/>
          <w:sz w:val="24"/>
          <w:szCs w:val="24"/>
        </w:rPr>
        <w:t xml:space="preserve">, and estimated underlying effective 2026 full year tax rate, as well as statements about the expected success of our "Recipe for Growth" strategy, our future food, beverage, packaging, labor, general and administrative and other costs, future estimated tax rates and future long-term prospects. We use words such as "anticipate", "believe", "could", "should", "may", "approximately", "estimate", "confident", "assuming", "expect", "intend", "project", "target", "goal" and similar terms and phrases, including references to assumptions, to identify forward-looking statements. The forward-looking statements in this press release are based on currently available operating, financial and competitive information available to us as of the date of this release and we assume no obligation to update these forward-looking statements. These statements are subject to risks and uncertainties that could cause actual results to differ materially from those described in the statements, including but not limited to: wage inflation and state or local regulations mandating higher minimum wages; the competitive labor market, which impacts our ability to attract and retain qualified employees; the impact of any union organizing efforts and our responses to such efforts; increases in ingredient and other operating costs due to inflation, global conflicts, severe weather, our Food with Integrity philosophy, tariffs or trade restrictions; intermittent supply shortages relating to our Food with Integrity philosophy, rapid expansion and supply chain disruptions; risks of food safety incidents and food-borne illnesses; our reliance on certain information technology systems and potential material failures, interruptions or outages; risks that our investments in new technology and technological innovations may not generate returns; privacy and cyber security risks, including breaches, unauthorized access, theft, modification, destruction or ransom of guest or employee personal or confidential information stored on our network or the network of third party providers; the impact of competition, including from sources outside the restaurant industry; the impact of government regulations relating to our employees, employment practices, restaurant design and construction, and the sale of food or alcoholic beverages; our ability to achieve our planned growth, such as the costs and availability of suitable new restaurant sites, construction materials and contractors and restaurant equipment; the expected costs and risks related to our international expansion, including through partner-operated restaurants in the Middle East, Asia and Mexico; our ability to achieve expected levels of comparable restaurant sales due to factors such as changes in guests' perceptions of our brand, including as a result of negative publicity or social media posts and decreased consumer spending, or the inability to increase menu prices or realize the benefits of menu price increases; failure to meet market expectations for our financial performance or any announced guidance and the impact thereof; the potential impact of activist shareholder actions or tactics; failure to attract or retain key executive talent; the impact of our brand, marketing, promotional, advertising and pricing strategies, digital platform and menu innovations; our reliance on third party delivery services and the IT infrastructure; litigation risks, including possible governmental actions and potential class action litigation related to food safety incidents, </w:t>
      </w:r>
      <w:proofErr w:type="spellStart"/>
      <w:r w:rsidRPr="00384CED">
        <w:rPr>
          <w:rFonts w:ascii="Helvetica" w:eastAsia="宋体" w:hAnsi="Helvetica" w:cs="Helvetica"/>
          <w:i/>
          <w:iCs/>
          <w:color w:val="54392D"/>
          <w:kern w:val="0"/>
          <w:sz w:val="24"/>
          <w:szCs w:val="24"/>
        </w:rPr>
        <w:t>cybersecurity</w:t>
      </w:r>
      <w:proofErr w:type="spellEnd"/>
      <w:r w:rsidRPr="00384CED">
        <w:rPr>
          <w:rFonts w:ascii="Helvetica" w:eastAsia="宋体" w:hAnsi="Helvetica" w:cs="Helvetica"/>
          <w:i/>
          <w:iCs/>
          <w:color w:val="54392D"/>
          <w:kern w:val="0"/>
          <w:sz w:val="24"/>
          <w:szCs w:val="24"/>
        </w:rPr>
        <w:t xml:space="preserve"> incidents, employment or privacy laws, advertising claims, contract disputes or other matters. In addition, many of the foregoing risks and uncertainties are, or could be, exacerbated by any worsening of the global business and macroeconomic environment. These statements also are subject to other risk factors described from time to time in our SEC reports, including our annual report on Form 10-K and quarterly reports on Form 10-Q, all of which are available on the investor relations page of our website at ir.Chipotle.com.</w:t>
      </w:r>
    </w:p>
    <w:p w:rsidR="00384CED" w:rsidRPr="00384CED" w:rsidRDefault="00384CED" w:rsidP="00384CED">
      <w:pPr>
        <w:widowControl/>
        <w:shd w:val="clear" w:color="auto" w:fill="FFFFFF"/>
        <w:spacing w:after="180"/>
        <w:jc w:val="left"/>
        <w:rPr>
          <w:rFonts w:ascii="Helvetica" w:eastAsia="宋体" w:hAnsi="Helvetica" w:cs="Helvetica"/>
          <w:color w:val="54392D"/>
          <w:kern w:val="0"/>
          <w:sz w:val="24"/>
          <w:szCs w:val="24"/>
        </w:rPr>
      </w:pPr>
      <w:r w:rsidRPr="00384CED">
        <w:rPr>
          <w:rFonts w:ascii="Helvetica" w:eastAsia="宋体" w:hAnsi="Helvetica" w:cs="Helvetica"/>
          <w:color w:val="54392D"/>
          <w:kern w:val="0"/>
          <w:sz w:val="24"/>
          <w:szCs w:val="24"/>
        </w:rPr>
        <w:t> </w:t>
      </w:r>
    </w:p>
    <w:p w:rsidR="00384CED" w:rsidRPr="00384CED" w:rsidRDefault="00384CED" w:rsidP="00384CED">
      <w:pPr>
        <w:widowControl/>
        <w:shd w:val="clear" w:color="auto" w:fill="FFFFFF"/>
        <w:jc w:val="left"/>
        <w:rPr>
          <w:rFonts w:ascii="Helvetica" w:eastAsia="宋体" w:hAnsi="Helvetica" w:cs="Helvetica"/>
          <w:color w:val="54392D"/>
          <w:kern w:val="0"/>
          <w:sz w:val="24"/>
          <w:szCs w:val="24"/>
        </w:rPr>
      </w:pPr>
      <w:r w:rsidRPr="00384CED">
        <w:rPr>
          <w:rFonts w:ascii="Helvetica" w:eastAsia="宋体" w:hAnsi="Helvetica" w:cs="Helvetica"/>
          <w:color w:val="54392D"/>
          <w:kern w:val="0"/>
          <w:sz w:val="24"/>
          <w:szCs w:val="24"/>
        </w:rPr>
        <w:t>View News Release Full Screen</w:t>
      </w:r>
    </w:p>
    <w:tbl>
      <w:tblPr>
        <w:tblW w:w="0" w:type="auto"/>
        <w:tblCellMar>
          <w:top w:w="15" w:type="dxa"/>
          <w:left w:w="15" w:type="dxa"/>
          <w:bottom w:w="15" w:type="dxa"/>
          <w:right w:w="15" w:type="dxa"/>
        </w:tblCellMar>
        <w:tblLook w:val="04A0" w:firstRow="1" w:lastRow="0" w:firstColumn="1" w:lastColumn="0" w:noHBand="0" w:noVBand="1"/>
      </w:tblPr>
      <w:tblGrid>
        <w:gridCol w:w="4769"/>
        <w:gridCol w:w="896"/>
        <w:gridCol w:w="243"/>
        <w:gridCol w:w="508"/>
        <w:gridCol w:w="243"/>
        <w:gridCol w:w="896"/>
        <w:gridCol w:w="243"/>
        <w:gridCol w:w="508"/>
      </w:tblGrid>
      <w:tr w:rsidR="00384CED" w:rsidRPr="00384CED" w:rsidTr="00384CED">
        <w:tc>
          <w:tcPr>
            <w:tcW w:w="0" w:type="auto"/>
            <w:gridSpan w:val="8"/>
            <w:tcBorders>
              <w:top w:val="nil"/>
              <w:left w:val="nil"/>
              <w:bottom w:val="nil"/>
              <w:right w:val="nil"/>
            </w:tcBorders>
            <w:tcMar>
              <w:top w:w="75" w:type="dxa"/>
              <w:left w:w="41" w:type="dxa"/>
              <w:bottom w:w="75" w:type="dxa"/>
              <w:right w:w="41" w:type="dxa"/>
            </w:tcMar>
            <w:vAlign w:val="bottom"/>
            <w:hideMark/>
          </w:tcPr>
          <w:p w:rsidR="00384CED" w:rsidRPr="00384CED" w:rsidRDefault="00384CED" w:rsidP="00384CED">
            <w:pPr>
              <w:widowControl/>
              <w:spacing w:after="180"/>
              <w:jc w:val="center"/>
              <w:rPr>
                <w:rFonts w:ascii="宋体" w:eastAsia="宋体" w:hAnsi="宋体" w:cs="宋体"/>
                <w:kern w:val="0"/>
                <w:sz w:val="24"/>
                <w:szCs w:val="24"/>
              </w:rPr>
            </w:pPr>
            <w:r w:rsidRPr="00384CED">
              <w:rPr>
                <w:rFonts w:ascii="inherit" w:eastAsia="宋体" w:hAnsi="inherit" w:cs="宋体"/>
                <w:b/>
                <w:bCs/>
                <w:color w:val="000000"/>
                <w:kern w:val="0"/>
                <w:sz w:val="24"/>
                <w:szCs w:val="24"/>
              </w:rPr>
              <w:t>CHIPOTLE MEXICAN GRILL, INC.</w:t>
            </w:r>
          </w:p>
          <w:p w:rsidR="00384CED" w:rsidRPr="00384CED" w:rsidRDefault="00384CED" w:rsidP="00384CED">
            <w:pPr>
              <w:widowControl/>
              <w:spacing w:after="180"/>
              <w:jc w:val="center"/>
              <w:rPr>
                <w:rFonts w:ascii="宋体" w:eastAsia="宋体" w:hAnsi="宋体" w:cs="宋体"/>
                <w:kern w:val="0"/>
                <w:sz w:val="24"/>
                <w:szCs w:val="24"/>
              </w:rPr>
            </w:pPr>
            <w:r w:rsidRPr="00384CED">
              <w:rPr>
                <w:rFonts w:ascii="inherit" w:eastAsia="宋体" w:hAnsi="inherit" w:cs="宋体"/>
                <w:b/>
                <w:bCs/>
                <w:color w:val="000000"/>
                <w:kern w:val="0"/>
                <w:sz w:val="24"/>
                <w:szCs w:val="24"/>
              </w:rPr>
              <w:t>CONDENSED CONSOLIDATED STATEMENTS OF INCOME</w:t>
            </w:r>
          </w:p>
          <w:p w:rsidR="00384CED" w:rsidRPr="00384CED" w:rsidRDefault="00384CED" w:rsidP="00384CED">
            <w:pPr>
              <w:widowControl/>
              <w:spacing w:after="180"/>
              <w:jc w:val="center"/>
              <w:rPr>
                <w:rFonts w:ascii="宋体" w:eastAsia="宋体" w:hAnsi="宋体" w:cs="宋体"/>
                <w:kern w:val="0"/>
                <w:sz w:val="24"/>
                <w:szCs w:val="24"/>
              </w:rPr>
            </w:pPr>
            <w:r w:rsidRPr="00384CED">
              <w:rPr>
                <w:rFonts w:ascii="inherit" w:eastAsia="宋体" w:hAnsi="inherit" w:cs="宋体"/>
                <w:b/>
                <w:bCs/>
                <w:color w:val="000000"/>
                <w:kern w:val="0"/>
                <w:sz w:val="24"/>
                <w:szCs w:val="24"/>
              </w:rPr>
              <w:t>(in thousands, except per share data)</w:t>
            </w:r>
          </w:p>
          <w:p w:rsidR="00384CED" w:rsidRPr="00384CED" w:rsidRDefault="00384CED" w:rsidP="00384CED">
            <w:pPr>
              <w:widowControl/>
              <w:spacing w:after="180"/>
              <w:jc w:val="center"/>
              <w:rPr>
                <w:rFonts w:ascii="宋体" w:eastAsia="宋体" w:hAnsi="宋体" w:cs="宋体"/>
                <w:kern w:val="0"/>
                <w:sz w:val="24"/>
                <w:szCs w:val="24"/>
              </w:rPr>
            </w:pPr>
            <w:r w:rsidRPr="00384CED">
              <w:rPr>
                <w:rFonts w:ascii="inherit" w:eastAsia="宋体" w:hAnsi="inherit" w:cs="宋体"/>
                <w:b/>
                <w:bCs/>
                <w:color w:val="000000"/>
                <w:kern w:val="0"/>
                <w:sz w:val="24"/>
                <w:szCs w:val="24"/>
              </w:rPr>
              <w:t>(unaudited)</w:t>
            </w:r>
          </w:p>
          <w:p w:rsidR="00384CED" w:rsidRPr="00384CED" w:rsidRDefault="00384CED" w:rsidP="00384CED">
            <w:pPr>
              <w:widowControl/>
              <w:spacing w:after="180"/>
              <w:jc w:val="center"/>
              <w:rPr>
                <w:rFonts w:ascii="宋体" w:eastAsia="宋体" w:hAnsi="宋体" w:cs="宋体"/>
                <w:kern w:val="0"/>
                <w:sz w:val="24"/>
                <w:szCs w:val="24"/>
              </w:rPr>
            </w:pPr>
            <w:r w:rsidRPr="00384CED">
              <w:rPr>
                <w:rFonts w:ascii="inherit" w:eastAsia="宋体" w:hAnsi="inherit" w:cs="宋体"/>
                <w:color w:val="000000"/>
                <w:kern w:val="0"/>
                <w:sz w:val="24"/>
                <w:szCs w:val="24"/>
              </w:rPr>
              <w:t> </w:t>
            </w:r>
          </w:p>
        </w:tc>
      </w:tr>
      <w:tr w:rsidR="00384CED" w:rsidRPr="00384CED" w:rsidTr="00384CED">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gridSpan w:val="7"/>
            <w:tcBorders>
              <w:top w:val="nil"/>
              <w:left w:val="nil"/>
              <w:bottom w:val="single" w:sz="4" w:space="0" w:color="000000"/>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center"/>
              <w:rPr>
                <w:rFonts w:ascii="宋体" w:eastAsia="宋体" w:hAnsi="宋体" w:cs="宋体"/>
                <w:kern w:val="0"/>
                <w:sz w:val="24"/>
                <w:szCs w:val="24"/>
              </w:rPr>
            </w:pPr>
            <w:r w:rsidRPr="00384CED">
              <w:rPr>
                <w:rFonts w:ascii="inherit" w:eastAsia="宋体" w:hAnsi="inherit" w:cs="宋体"/>
                <w:b/>
                <w:bCs/>
                <w:color w:val="000000"/>
                <w:kern w:val="0"/>
                <w:sz w:val="24"/>
                <w:szCs w:val="24"/>
              </w:rPr>
              <w:t>Three months ended March 31,</w:t>
            </w:r>
          </w:p>
        </w:tc>
      </w:tr>
      <w:tr w:rsidR="00384CED" w:rsidRPr="00384CED" w:rsidTr="00384CED">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gridSpan w:val="3"/>
            <w:tcBorders>
              <w:top w:val="nil"/>
              <w:left w:val="nil"/>
              <w:bottom w:val="single" w:sz="4" w:space="0" w:color="000000"/>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center"/>
              <w:rPr>
                <w:rFonts w:ascii="宋体" w:eastAsia="宋体" w:hAnsi="宋体" w:cs="宋体"/>
                <w:kern w:val="0"/>
                <w:sz w:val="24"/>
                <w:szCs w:val="24"/>
              </w:rPr>
            </w:pPr>
            <w:r w:rsidRPr="00384CED">
              <w:rPr>
                <w:rFonts w:ascii="inherit" w:eastAsia="宋体" w:hAnsi="inherit" w:cs="宋体"/>
                <w:b/>
                <w:bCs/>
                <w:color w:val="000000"/>
                <w:kern w:val="0"/>
                <w:sz w:val="24"/>
                <w:szCs w:val="24"/>
              </w:rPr>
              <w:t>2026</w:t>
            </w:r>
          </w:p>
        </w:tc>
        <w:tc>
          <w:tcPr>
            <w:tcW w:w="0" w:type="auto"/>
            <w:tcBorders>
              <w:top w:val="single" w:sz="4" w:space="0" w:color="000000"/>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gridSpan w:val="3"/>
            <w:tcBorders>
              <w:top w:val="nil"/>
              <w:left w:val="nil"/>
              <w:bottom w:val="single" w:sz="4" w:space="0" w:color="000000"/>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center"/>
              <w:rPr>
                <w:rFonts w:ascii="宋体" w:eastAsia="宋体" w:hAnsi="宋体" w:cs="宋体"/>
                <w:kern w:val="0"/>
                <w:sz w:val="24"/>
                <w:szCs w:val="24"/>
              </w:rPr>
            </w:pPr>
            <w:r w:rsidRPr="00384CED">
              <w:rPr>
                <w:rFonts w:ascii="inherit" w:eastAsia="宋体" w:hAnsi="inherit" w:cs="宋体"/>
                <w:b/>
                <w:bCs/>
                <w:color w:val="000000"/>
                <w:kern w:val="0"/>
                <w:sz w:val="24"/>
                <w:szCs w:val="24"/>
              </w:rPr>
              <w:t>2025</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Food and beverage revenue</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    3,072,730</w:t>
            </w:r>
          </w:p>
        </w:tc>
        <w:tc>
          <w:tcPr>
            <w:tcW w:w="0" w:type="auto"/>
            <w:tcBorders>
              <w:top w:val="single" w:sz="4" w:space="0" w:color="000000"/>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99.5 %</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    2,859,831</w:t>
            </w:r>
          </w:p>
        </w:tc>
        <w:tc>
          <w:tcPr>
            <w:tcW w:w="0" w:type="auto"/>
            <w:tcBorders>
              <w:top w:val="single" w:sz="4" w:space="0" w:color="000000"/>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99.5 %</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Delivery service revenue</w:t>
            </w:r>
          </w:p>
        </w:tc>
        <w:tc>
          <w:tcPr>
            <w:tcW w:w="0" w:type="auto"/>
            <w:tcBorders>
              <w:top w:val="nil"/>
              <w:left w:val="nil"/>
              <w:bottom w:val="single" w:sz="4" w:space="0" w:color="000000"/>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15,512</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0.5</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15,422</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0.5</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Total revenue</w:t>
            </w:r>
          </w:p>
        </w:tc>
        <w:tc>
          <w:tcPr>
            <w:tcW w:w="0" w:type="auto"/>
            <w:tcBorders>
              <w:top w:val="single" w:sz="4" w:space="0" w:color="000000"/>
              <w:left w:val="nil"/>
              <w:bottom w:val="single" w:sz="4" w:space="0" w:color="000000"/>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3,088,242</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single" w:sz="4" w:space="0" w:color="000000"/>
              <w:left w:val="nil"/>
              <w:bottom w:val="single" w:sz="4" w:space="0" w:color="000000"/>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100.0</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single" w:sz="4" w:space="0" w:color="000000"/>
              <w:left w:val="nil"/>
              <w:bottom w:val="single" w:sz="4" w:space="0" w:color="000000"/>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2,875,253</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single" w:sz="4" w:space="0" w:color="000000"/>
              <w:left w:val="nil"/>
              <w:bottom w:val="single" w:sz="4" w:space="0" w:color="000000"/>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100.0</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Restaurant operating costs (exclusive of depreciation and amortization shown separately below):</w:t>
            </w:r>
          </w:p>
        </w:tc>
        <w:tc>
          <w:tcPr>
            <w:tcW w:w="0" w:type="auto"/>
            <w:tcBorders>
              <w:top w:val="single" w:sz="4" w:space="0" w:color="000000"/>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Food, beverage and packaging</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913,346</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29.6</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838,403</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29.2</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Labor</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805,411</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26.1</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718,226</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25.0</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Occupancy</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169,881</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5.5</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149,841</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5.2</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Other operating costs</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480,643</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15.6</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415,161</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14.4</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General and administrative expenses</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203,720</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6.6</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172,783</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6.0</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Depreciation and amortization</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96,718</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3.1</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87,211</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3.0</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Pre-opening costs</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11,641</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0.4</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8,210</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0.3</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Impairment, closure costs, and asset disposals</w:t>
            </w:r>
          </w:p>
        </w:tc>
        <w:tc>
          <w:tcPr>
            <w:tcW w:w="0" w:type="auto"/>
            <w:tcBorders>
              <w:top w:val="nil"/>
              <w:left w:val="nil"/>
              <w:bottom w:val="single" w:sz="4" w:space="0" w:color="000000"/>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9,819</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0.3</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6,168</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0.2</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Total operating expenses</w:t>
            </w:r>
          </w:p>
        </w:tc>
        <w:tc>
          <w:tcPr>
            <w:tcW w:w="0" w:type="auto"/>
            <w:tcBorders>
              <w:top w:val="single" w:sz="4" w:space="0" w:color="000000"/>
              <w:left w:val="nil"/>
              <w:bottom w:val="single" w:sz="4" w:space="0" w:color="000000"/>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2,691,179</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single" w:sz="4" w:space="0" w:color="000000"/>
              <w:left w:val="nil"/>
              <w:bottom w:val="single" w:sz="4" w:space="0" w:color="000000"/>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87.1</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single" w:sz="4" w:space="0" w:color="000000"/>
              <w:left w:val="nil"/>
              <w:bottom w:val="single" w:sz="4" w:space="0" w:color="000000"/>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2,396,003</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single" w:sz="4" w:space="0" w:color="000000"/>
              <w:left w:val="nil"/>
              <w:bottom w:val="single" w:sz="4" w:space="0" w:color="000000"/>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83.3</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Income from operations</w:t>
            </w:r>
          </w:p>
        </w:tc>
        <w:tc>
          <w:tcPr>
            <w:tcW w:w="0" w:type="auto"/>
            <w:tcBorders>
              <w:top w:val="single" w:sz="4" w:space="0" w:color="000000"/>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397,063</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12.9</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479,250</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16.7</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Interest and other income, net</w:t>
            </w:r>
          </w:p>
        </w:tc>
        <w:tc>
          <w:tcPr>
            <w:tcW w:w="0" w:type="auto"/>
            <w:tcBorders>
              <w:top w:val="nil"/>
              <w:left w:val="nil"/>
              <w:bottom w:val="single" w:sz="4" w:space="0" w:color="000000"/>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8,742</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0.3</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22,253</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0.8</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Income before income taxes</w:t>
            </w:r>
          </w:p>
        </w:tc>
        <w:tc>
          <w:tcPr>
            <w:tcW w:w="0" w:type="auto"/>
            <w:tcBorders>
              <w:top w:val="single" w:sz="4" w:space="0" w:color="000000"/>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405,805</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13.1</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501,503</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17.4</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Provision for income taxes</w:t>
            </w:r>
          </w:p>
        </w:tc>
        <w:tc>
          <w:tcPr>
            <w:tcW w:w="0" w:type="auto"/>
            <w:tcBorders>
              <w:top w:val="nil"/>
              <w:left w:val="nil"/>
              <w:bottom w:val="single" w:sz="4" w:space="0" w:color="000000"/>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102,981</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3.3</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114,904</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4.0</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Net income</w:t>
            </w:r>
          </w:p>
        </w:tc>
        <w:tc>
          <w:tcPr>
            <w:tcW w:w="0" w:type="auto"/>
            <w:tcBorders>
              <w:top w:val="single" w:sz="4" w:space="0" w:color="000000"/>
              <w:left w:val="nil"/>
              <w:bottom w:val="double" w:sz="6" w:space="0" w:color="000000"/>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      302,824</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single" w:sz="4" w:space="0" w:color="000000"/>
              <w:left w:val="nil"/>
              <w:bottom w:val="double" w:sz="6" w:space="0" w:color="000000"/>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9.8 %</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single" w:sz="4" w:space="0" w:color="000000"/>
              <w:left w:val="nil"/>
              <w:bottom w:val="double" w:sz="6" w:space="0" w:color="000000"/>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      386,599</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single" w:sz="4" w:space="0" w:color="000000"/>
              <w:left w:val="nil"/>
              <w:bottom w:val="double" w:sz="6" w:space="0" w:color="000000"/>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13.4 %</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Earnings per share:</w:t>
            </w:r>
          </w:p>
        </w:tc>
        <w:tc>
          <w:tcPr>
            <w:tcW w:w="0" w:type="auto"/>
            <w:tcBorders>
              <w:top w:val="double" w:sz="6" w:space="0" w:color="000000"/>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double" w:sz="6" w:space="0" w:color="000000"/>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double" w:sz="6" w:space="0" w:color="000000"/>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double" w:sz="6" w:space="0" w:color="000000"/>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Basic</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          0.23</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          0.29</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Diluted</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          0.23</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          0.28</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Weighted-average common shares outstanding:</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Basic</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1,298,220</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1,354,518</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Diluted</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1,301,859</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1,360,719</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r>
    </w:tbl>
    <w:p w:rsidR="00384CED" w:rsidRPr="00384CED" w:rsidRDefault="00384CED" w:rsidP="00384CED">
      <w:pPr>
        <w:widowControl/>
        <w:shd w:val="clear" w:color="auto" w:fill="FFFFFF"/>
        <w:spacing w:after="180"/>
        <w:jc w:val="left"/>
        <w:rPr>
          <w:rFonts w:ascii="Helvetica" w:eastAsia="宋体" w:hAnsi="Helvetica" w:cs="Helvetica"/>
          <w:color w:val="54392D"/>
          <w:kern w:val="0"/>
          <w:sz w:val="24"/>
          <w:szCs w:val="24"/>
        </w:rPr>
      </w:pPr>
      <w:r w:rsidRPr="00384CED">
        <w:rPr>
          <w:rFonts w:ascii="Helvetica" w:eastAsia="宋体" w:hAnsi="Helvetica" w:cs="Helvetica"/>
          <w:color w:val="54392D"/>
          <w:kern w:val="0"/>
          <w:sz w:val="24"/>
          <w:szCs w:val="24"/>
        </w:rPr>
        <w:t> </w:t>
      </w:r>
    </w:p>
    <w:tbl>
      <w:tblPr>
        <w:tblW w:w="0" w:type="auto"/>
        <w:tblCellMar>
          <w:top w:w="15" w:type="dxa"/>
          <w:left w:w="15" w:type="dxa"/>
          <w:bottom w:w="15" w:type="dxa"/>
          <w:right w:w="15" w:type="dxa"/>
        </w:tblCellMar>
        <w:tblLook w:val="04A0" w:firstRow="1" w:lastRow="0" w:firstColumn="1" w:lastColumn="0" w:noHBand="0" w:noVBand="1"/>
      </w:tblPr>
      <w:tblGrid>
        <w:gridCol w:w="5232"/>
        <w:gridCol w:w="1474"/>
        <w:gridCol w:w="126"/>
        <w:gridCol w:w="1474"/>
      </w:tblGrid>
      <w:tr w:rsidR="00384CED" w:rsidRPr="00384CED" w:rsidTr="00384CED">
        <w:tc>
          <w:tcPr>
            <w:tcW w:w="0" w:type="auto"/>
            <w:gridSpan w:val="4"/>
            <w:tcBorders>
              <w:top w:val="nil"/>
              <w:left w:val="nil"/>
              <w:bottom w:val="nil"/>
              <w:right w:val="nil"/>
            </w:tcBorders>
            <w:tcMar>
              <w:top w:w="75" w:type="dxa"/>
              <w:left w:w="41" w:type="dxa"/>
              <w:bottom w:w="75" w:type="dxa"/>
              <w:right w:w="41" w:type="dxa"/>
            </w:tcMar>
            <w:vAlign w:val="bottom"/>
            <w:hideMark/>
          </w:tcPr>
          <w:p w:rsidR="00384CED" w:rsidRPr="00384CED" w:rsidRDefault="00384CED" w:rsidP="00384CED">
            <w:pPr>
              <w:widowControl/>
              <w:spacing w:after="180"/>
              <w:jc w:val="center"/>
              <w:rPr>
                <w:rFonts w:ascii="宋体" w:eastAsia="宋体" w:hAnsi="宋体" w:cs="宋体"/>
                <w:kern w:val="0"/>
                <w:sz w:val="24"/>
                <w:szCs w:val="24"/>
              </w:rPr>
            </w:pPr>
            <w:r w:rsidRPr="00384CED">
              <w:rPr>
                <w:rFonts w:ascii="inherit" w:eastAsia="宋体" w:hAnsi="inherit" w:cs="宋体"/>
                <w:b/>
                <w:bCs/>
                <w:color w:val="000000"/>
                <w:kern w:val="0"/>
                <w:sz w:val="24"/>
                <w:szCs w:val="24"/>
              </w:rPr>
              <w:t>CHIPOTLE MEXICAN GRILL, INC.</w:t>
            </w:r>
          </w:p>
          <w:p w:rsidR="00384CED" w:rsidRPr="00384CED" w:rsidRDefault="00384CED" w:rsidP="00384CED">
            <w:pPr>
              <w:widowControl/>
              <w:spacing w:after="180"/>
              <w:jc w:val="center"/>
              <w:rPr>
                <w:rFonts w:ascii="宋体" w:eastAsia="宋体" w:hAnsi="宋体" w:cs="宋体"/>
                <w:kern w:val="0"/>
                <w:sz w:val="24"/>
                <w:szCs w:val="24"/>
              </w:rPr>
            </w:pPr>
            <w:r w:rsidRPr="00384CED">
              <w:rPr>
                <w:rFonts w:ascii="inherit" w:eastAsia="宋体" w:hAnsi="inherit" w:cs="宋体"/>
                <w:b/>
                <w:bCs/>
                <w:color w:val="000000"/>
                <w:kern w:val="0"/>
                <w:sz w:val="24"/>
                <w:szCs w:val="24"/>
              </w:rPr>
              <w:t>CONDENSED CONSOLIDATED BALANCE SHEETS</w:t>
            </w:r>
          </w:p>
          <w:p w:rsidR="00384CED" w:rsidRPr="00384CED" w:rsidRDefault="00384CED" w:rsidP="00384CED">
            <w:pPr>
              <w:widowControl/>
              <w:spacing w:after="180"/>
              <w:jc w:val="center"/>
              <w:rPr>
                <w:rFonts w:ascii="宋体" w:eastAsia="宋体" w:hAnsi="宋体" w:cs="宋体"/>
                <w:kern w:val="0"/>
                <w:sz w:val="24"/>
                <w:szCs w:val="24"/>
              </w:rPr>
            </w:pPr>
            <w:r w:rsidRPr="00384CED">
              <w:rPr>
                <w:rFonts w:ascii="inherit" w:eastAsia="宋体" w:hAnsi="inherit" w:cs="宋体"/>
                <w:b/>
                <w:bCs/>
                <w:color w:val="000000"/>
                <w:kern w:val="0"/>
                <w:sz w:val="24"/>
                <w:szCs w:val="24"/>
              </w:rPr>
              <w:t>(in thousands, except per share data)</w:t>
            </w:r>
          </w:p>
          <w:p w:rsidR="00384CED" w:rsidRPr="00384CED" w:rsidRDefault="00384CED" w:rsidP="00384CED">
            <w:pPr>
              <w:widowControl/>
              <w:spacing w:after="180"/>
              <w:jc w:val="center"/>
              <w:rPr>
                <w:rFonts w:ascii="宋体" w:eastAsia="宋体" w:hAnsi="宋体" w:cs="宋体"/>
                <w:kern w:val="0"/>
                <w:sz w:val="24"/>
                <w:szCs w:val="24"/>
              </w:rPr>
            </w:pPr>
            <w:r w:rsidRPr="00384CED">
              <w:rPr>
                <w:rFonts w:ascii="inherit" w:eastAsia="宋体" w:hAnsi="inherit" w:cs="宋体"/>
                <w:color w:val="000000"/>
                <w:kern w:val="0"/>
                <w:sz w:val="24"/>
                <w:szCs w:val="24"/>
              </w:rPr>
              <w:t> </w:t>
            </w:r>
          </w:p>
        </w:tc>
      </w:tr>
      <w:tr w:rsidR="00384CED" w:rsidRPr="00384CED" w:rsidTr="00384CED">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center"/>
              <w:rPr>
                <w:rFonts w:ascii="宋体" w:eastAsia="宋体" w:hAnsi="宋体" w:cs="宋体"/>
                <w:kern w:val="0"/>
                <w:sz w:val="24"/>
                <w:szCs w:val="24"/>
              </w:rPr>
            </w:pPr>
            <w:r w:rsidRPr="00384CED">
              <w:rPr>
                <w:rFonts w:ascii="inherit" w:eastAsia="宋体" w:hAnsi="inherit" w:cs="宋体"/>
                <w:b/>
                <w:bCs/>
                <w:color w:val="000000"/>
                <w:kern w:val="0"/>
                <w:sz w:val="24"/>
                <w:szCs w:val="24"/>
              </w:rPr>
              <w:t>March 31,</w:t>
            </w:r>
            <w:r w:rsidRPr="00384CED">
              <w:rPr>
                <w:rFonts w:ascii="inherit" w:eastAsia="宋体" w:hAnsi="inherit" w:cs="宋体"/>
                <w:color w:val="000000"/>
                <w:kern w:val="0"/>
                <w:sz w:val="24"/>
                <w:szCs w:val="24"/>
              </w:rPr>
              <w:br/>
            </w:r>
            <w:r w:rsidRPr="00384CED">
              <w:rPr>
                <w:rFonts w:ascii="inherit" w:eastAsia="宋体" w:hAnsi="inherit" w:cs="宋体"/>
                <w:b/>
                <w:bCs/>
                <w:color w:val="000000"/>
                <w:kern w:val="0"/>
                <w:sz w:val="24"/>
                <w:szCs w:val="24"/>
              </w:rPr>
              <w:t>2026</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center"/>
              <w:rPr>
                <w:rFonts w:ascii="宋体" w:eastAsia="宋体" w:hAnsi="宋体" w:cs="宋体"/>
                <w:kern w:val="0"/>
                <w:sz w:val="24"/>
                <w:szCs w:val="24"/>
              </w:rPr>
            </w:pPr>
            <w:r w:rsidRPr="00384CED">
              <w:rPr>
                <w:rFonts w:ascii="inherit" w:eastAsia="宋体" w:hAnsi="inherit" w:cs="宋体"/>
                <w:b/>
                <w:bCs/>
                <w:color w:val="000000"/>
                <w:kern w:val="0"/>
                <w:sz w:val="24"/>
                <w:szCs w:val="24"/>
              </w:rPr>
              <w:t>December 31,</w:t>
            </w:r>
            <w:r w:rsidRPr="00384CED">
              <w:rPr>
                <w:rFonts w:ascii="inherit" w:eastAsia="宋体" w:hAnsi="inherit" w:cs="宋体"/>
                <w:color w:val="000000"/>
                <w:kern w:val="0"/>
                <w:sz w:val="24"/>
                <w:szCs w:val="24"/>
              </w:rPr>
              <w:br/>
            </w:r>
            <w:r w:rsidRPr="00384CED">
              <w:rPr>
                <w:rFonts w:ascii="inherit" w:eastAsia="宋体" w:hAnsi="inherit" w:cs="宋体"/>
                <w:b/>
                <w:bCs/>
                <w:color w:val="000000"/>
                <w:kern w:val="0"/>
                <w:sz w:val="24"/>
                <w:szCs w:val="24"/>
              </w:rPr>
              <w:t>2025</w:t>
            </w:r>
          </w:p>
        </w:tc>
      </w:tr>
      <w:tr w:rsidR="00384CED" w:rsidRPr="00384CED" w:rsidTr="00384CED">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center"/>
              <w:rPr>
                <w:rFonts w:ascii="宋体" w:eastAsia="宋体" w:hAnsi="宋体" w:cs="宋体"/>
                <w:kern w:val="0"/>
                <w:sz w:val="24"/>
                <w:szCs w:val="24"/>
              </w:rPr>
            </w:pPr>
            <w:r w:rsidRPr="00384CED">
              <w:rPr>
                <w:rFonts w:ascii="inherit" w:eastAsia="宋体" w:hAnsi="inherit" w:cs="宋体"/>
                <w:b/>
                <w:bCs/>
                <w:color w:val="000000"/>
                <w:kern w:val="0"/>
                <w:sz w:val="24"/>
                <w:szCs w:val="24"/>
              </w:rPr>
              <w:t>(unaudited)</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Assets</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Current assets:</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Cash and cash equivalents</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       246,636</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       350,545</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Accounts receivable, net</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94,934</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156,466</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Inventory</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44,685</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49,508</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Prepaid expenses and other current assets</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126,278</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120,450</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Income tax receivable</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91,393</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Investments</w:t>
            </w:r>
          </w:p>
        </w:tc>
        <w:tc>
          <w:tcPr>
            <w:tcW w:w="0" w:type="auto"/>
            <w:tcBorders>
              <w:top w:val="nil"/>
              <w:left w:val="nil"/>
              <w:bottom w:val="single" w:sz="4" w:space="0" w:color="000000"/>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624,786</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698,591</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Total current assets</w:t>
            </w:r>
          </w:p>
        </w:tc>
        <w:tc>
          <w:tcPr>
            <w:tcW w:w="0" w:type="auto"/>
            <w:tcBorders>
              <w:top w:val="single" w:sz="4" w:space="0" w:color="000000"/>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1,137,319</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1,466,953</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Leasehold improvements, property and equipment, net</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2,767,047</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2,679,361</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Long-term investments</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96,397</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197,123</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Restricted cash</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35,662</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35,364</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Operating lease assets</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4,614,939</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4,463,010</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Other assets</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129,916</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130,781</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Goodwill</w:t>
            </w:r>
          </w:p>
        </w:tc>
        <w:tc>
          <w:tcPr>
            <w:tcW w:w="0" w:type="auto"/>
            <w:tcBorders>
              <w:top w:val="nil"/>
              <w:left w:val="nil"/>
              <w:bottom w:val="single" w:sz="4" w:space="0" w:color="000000"/>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21,939</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21,939</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Total assets</w:t>
            </w:r>
          </w:p>
        </w:tc>
        <w:tc>
          <w:tcPr>
            <w:tcW w:w="0" w:type="auto"/>
            <w:tcBorders>
              <w:top w:val="single" w:sz="4" w:space="0" w:color="000000"/>
              <w:left w:val="nil"/>
              <w:bottom w:val="double" w:sz="6" w:space="0" w:color="000000"/>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     8,803,219</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single" w:sz="4" w:space="0" w:color="000000"/>
              <w:left w:val="nil"/>
              <w:bottom w:val="double" w:sz="6" w:space="0" w:color="000000"/>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     8,994,531</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Liabilities and shareholders' equity</w:t>
            </w:r>
          </w:p>
        </w:tc>
        <w:tc>
          <w:tcPr>
            <w:tcW w:w="0" w:type="auto"/>
            <w:tcBorders>
              <w:top w:val="double" w:sz="6" w:space="0" w:color="000000"/>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double" w:sz="6" w:space="0" w:color="000000"/>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Current liabilities:</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Accounts payable</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       247,287</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       212,813</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Accrued payroll and benefits</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192,520</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250,126</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Accrued liabilities</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231,312</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182,448</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Unearned revenue</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207,417</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240,375</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Current operating lease liabilities</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310,151</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302,380</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Income tax payable</w:t>
            </w:r>
          </w:p>
        </w:tc>
        <w:tc>
          <w:tcPr>
            <w:tcW w:w="0" w:type="auto"/>
            <w:tcBorders>
              <w:top w:val="nil"/>
              <w:left w:val="nil"/>
              <w:bottom w:val="single" w:sz="4" w:space="0" w:color="000000"/>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48,666</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Total current liabilities</w:t>
            </w:r>
          </w:p>
        </w:tc>
        <w:tc>
          <w:tcPr>
            <w:tcW w:w="0" w:type="auto"/>
            <w:tcBorders>
              <w:top w:val="single" w:sz="4" w:space="0" w:color="000000"/>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1,237,353</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1,188,142</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Long-term operating lease liabilities</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4,935,729</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4,773,434</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Deferred income tax liabilities</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143,559</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125,674</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Other liabilities</w:t>
            </w:r>
          </w:p>
        </w:tc>
        <w:tc>
          <w:tcPr>
            <w:tcW w:w="0" w:type="auto"/>
            <w:tcBorders>
              <w:top w:val="nil"/>
              <w:left w:val="nil"/>
              <w:bottom w:val="single" w:sz="4" w:space="0" w:color="000000"/>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78,943</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76,674</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Total liabilities</w:t>
            </w:r>
          </w:p>
        </w:tc>
        <w:tc>
          <w:tcPr>
            <w:tcW w:w="0" w:type="auto"/>
            <w:tcBorders>
              <w:top w:val="single" w:sz="4" w:space="0" w:color="000000"/>
              <w:left w:val="nil"/>
              <w:bottom w:val="single" w:sz="4" w:space="0" w:color="000000"/>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6,395,584</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single" w:sz="4" w:space="0" w:color="000000"/>
              <w:left w:val="nil"/>
              <w:bottom w:val="single" w:sz="4" w:space="0" w:color="000000"/>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6,163,924</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Shareholders' equity:</w:t>
            </w:r>
          </w:p>
        </w:tc>
        <w:tc>
          <w:tcPr>
            <w:tcW w:w="0" w:type="auto"/>
            <w:tcBorders>
              <w:top w:val="single" w:sz="4" w:space="0" w:color="000000"/>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r>
      <w:tr w:rsidR="00384CED" w:rsidRPr="00384CED" w:rsidTr="00384CED">
        <w:tc>
          <w:tcPr>
            <w:tcW w:w="0" w:type="auto"/>
            <w:tcBorders>
              <w:top w:val="nil"/>
              <w:left w:val="nil"/>
              <w:bottom w:val="nil"/>
              <w:right w:val="nil"/>
            </w:tcBorders>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Common stock, $0.01 par value, 11,500,000 shares authorized, 1,287,050 and 1,304,360 shares issued as of March 31, 2026 and  December 31, 2025, respectively</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12,871</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13,044</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Additional paid-in capital</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2,235,107</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2,204,944</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Accumulated other comprehensive loss</w:t>
            </w:r>
          </w:p>
        </w:tc>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(8,013)</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(7,289)</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Retained earnings</w:t>
            </w:r>
          </w:p>
        </w:tc>
        <w:tc>
          <w:tcPr>
            <w:tcW w:w="0" w:type="auto"/>
            <w:tcBorders>
              <w:top w:val="nil"/>
              <w:left w:val="nil"/>
              <w:bottom w:val="single" w:sz="4" w:space="0" w:color="000000"/>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167,670</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619,908</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Total shareholders' equity</w:t>
            </w:r>
          </w:p>
        </w:tc>
        <w:tc>
          <w:tcPr>
            <w:tcW w:w="0" w:type="auto"/>
            <w:tcBorders>
              <w:top w:val="single" w:sz="4" w:space="0" w:color="000000"/>
              <w:left w:val="nil"/>
              <w:bottom w:val="single" w:sz="4" w:space="0" w:color="000000"/>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2,407,635</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single" w:sz="4" w:space="0" w:color="000000"/>
              <w:left w:val="nil"/>
              <w:bottom w:val="single" w:sz="4" w:space="0" w:color="000000"/>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2,830,607</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Total liabilities and shareholders' equity</w:t>
            </w:r>
          </w:p>
        </w:tc>
        <w:tc>
          <w:tcPr>
            <w:tcW w:w="0" w:type="auto"/>
            <w:tcBorders>
              <w:top w:val="single" w:sz="4" w:space="0" w:color="000000"/>
              <w:left w:val="nil"/>
              <w:bottom w:val="double" w:sz="6" w:space="0" w:color="000000"/>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     8,803,219</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single" w:sz="4" w:space="0" w:color="000000"/>
              <w:left w:val="nil"/>
              <w:bottom w:val="double" w:sz="6" w:space="0" w:color="000000"/>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     8,994,531</w:t>
            </w:r>
          </w:p>
        </w:tc>
      </w:tr>
    </w:tbl>
    <w:p w:rsidR="00384CED" w:rsidRPr="00384CED" w:rsidRDefault="00384CED" w:rsidP="00384CED">
      <w:pPr>
        <w:widowControl/>
        <w:shd w:val="clear" w:color="auto" w:fill="FFFFFF"/>
        <w:spacing w:after="180"/>
        <w:jc w:val="left"/>
        <w:rPr>
          <w:rFonts w:ascii="Helvetica" w:eastAsia="宋体" w:hAnsi="Helvetica" w:cs="Helvetica"/>
          <w:color w:val="54392D"/>
          <w:kern w:val="0"/>
          <w:sz w:val="24"/>
          <w:szCs w:val="24"/>
        </w:rPr>
      </w:pPr>
      <w:r w:rsidRPr="00384CED">
        <w:rPr>
          <w:rFonts w:ascii="Helvetica" w:eastAsia="宋体" w:hAnsi="Helvetica" w:cs="Helvetica"/>
          <w:color w:val="54392D"/>
          <w:kern w:val="0"/>
          <w:sz w:val="24"/>
          <w:szCs w:val="24"/>
        </w:rPr>
        <w:t> </w:t>
      </w:r>
    </w:p>
    <w:p w:rsidR="00384CED" w:rsidRPr="00384CED" w:rsidRDefault="00384CED" w:rsidP="00384CED">
      <w:pPr>
        <w:widowControl/>
        <w:shd w:val="clear" w:color="auto" w:fill="FFFFFF"/>
        <w:jc w:val="left"/>
        <w:rPr>
          <w:rFonts w:ascii="Helvetica" w:eastAsia="宋体" w:hAnsi="Helvetica" w:cs="Helvetica"/>
          <w:color w:val="54392D"/>
          <w:kern w:val="0"/>
          <w:sz w:val="24"/>
          <w:szCs w:val="24"/>
        </w:rPr>
      </w:pPr>
      <w:r w:rsidRPr="00384CED">
        <w:rPr>
          <w:rFonts w:ascii="Helvetica" w:eastAsia="宋体" w:hAnsi="Helvetica" w:cs="Helvetica"/>
          <w:color w:val="54392D"/>
          <w:kern w:val="0"/>
          <w:sz w:val="24"/>
          <w:szCs w:val="24"/>
        </w:rPr>
        <w:t>View News Release Full Screen</w:t>
      </w:r>
    </w:p>
    <w:tbl>
      <w:tblPr>
        <w:tblW w:w="0" w:type="auto"/>
        <w:tblCellMar>
          <w:top w:w="15" w:type="dxa"/>
          <w:left w:w="15" w:type="dxa"/>
          <w:bottom w:w="15" w:type="dxa"/>
          <w:right w:w="15" w:type="dxa"/>
        </w:tblCellMar>
        <w:tblLook w:val="04A0" w:firstRow="1" w:lastRow="0" w:firstColumn="1" w:lastColumn="0" w:noHBand="0" w:noVBand="1"/>
      </w:tblPr>
      <w:tblGrid>
        <w:gridCol w:w="6419"/>
        <w:gridCol w:w="883"/>
        <w:gridCol w:w="123"/>
        <w:gridCol w:w="881"/>
      </w:tblGrid>
      <w:tr w:rsidR="00384CED" w:rsidRPr="00384CED" w:rsidTr="00384CED">
        <w:tc>
          <w:tcPr>
            <w:tcW w:w="0" w:type="auto"/>
            <w:gridSpan w:val="4"/>
            <w:tcBorders>
              <w:top w:val="nil"/>
              <w:left w:val="nil"/>
              <w:bottom w:val="nil"/>
              <w:right w:val="nil"/>
            </w:tcBorders>
            <w:tcMar>
              <w:top w:w="75" w:type="dxa"/>
              <w:left w:w="41" w:type="dxa"/>
              <w:bottom w:w="75" w:type="dxa"/>
              <w:right w:w="41" w:type="dxa"/>
            </w:tcMar>
            <w:vAlign w:val="bottom"/>
            <w:hideMark/>
          </w:tcPr>
          <w:p w:rsidR="00384CED" w:rsidRPr="00384CED" w:rsidRDefault="00384CED" w:rsidP="00384CED">
            <w:pPr>
              <w:widowControl/>
              <w:spacing w:after="180"/>
              <w:jc w:val="center"/>
              <w:rPr>
                <w:rFonts w:ascii="宋体" w:eastAsia="宋体" w:hAnsi="宋体" w:cs="宋体"/>
                <w:kern w:val="0"/>
                <w:sz w:val="24"/>
                <w:szCs w:val="24"/>
              </w:rPr>
            </w:pPr>
            <w:r w:rsidRPr="00384CED">
              <w:rPr>
                <w:rFonts w:ascii="inherit" w:eastAsia="宋体" w:hAnsi="inherit" w:cs="宋体"/>
                <w:b/>
                <w:bCs/>
                <w:color w:val="000000"/>
                <w:kern w:val="0"/>
                <w:sz w:val="24"/>
                <w:szCs w:val="24"/>
              </w:rPr>
              <w:t>CHIPOTLE MEXICAN GRILL, INC.</w:t>
            </w:r>
          </w:p>
          <w:p w:rsidR="00384CED" w:rsidRPr="00384CED" w:rsidRDefault="00384CED" w:rsidP="00384CED">
            <w:pPr>
              <w:widowControl/>
              <w:spacing w:after="180"/>
              <w:jc w:val="center"/>
              <w:rPr>
                <w:rFonts w:ascii="宋体" w:eastAsia="宋体" w:hAnsi="宋体" w:cs="宋体"/>
                <w:kern w:val="0"/>
                <w:sz w:val="24"/>
                <w:szCs w:val="24"/>
              </w:rPr>
            </w:pPr>
            <w:r w:rsidRPr="00384CED">
              <w:rPr>
                <w:rFonts w:ascii="inherit" w:eastAsia="宋体" w:hAnsi="inherit" w:cs="宋体"/>
                <w:b/>
                <w:bCs/>
                <w:color w:val="000000"/>
                <w:kern w:val="0"/>
                <w:sz w:val="24"/>
                <w:szCs w:val="24"/>
              </w:rPr>
              <w:t>CONDENSED CONSOLIDATED STATEMENTS OF CASH FLOWS</w:t>
            </w:r>
          </w:p>
          <w:p w:rsidR="00384CED" w:rsidRPr="00384CED" w:rsidRDefault="00384CED" w:rsidP="00384CED">
            <w:pPr>
              <w:widowControl/>
              <w:spacing w:after="180"/>
              <w:jc w:val="center"/>
              <w:rPr>
                <w:rFonts w:ascii="宋体" w:eastAsia="宋体" w:hAnsi="宋体" w:cs="宋体"/>
                <w:kern w:val="0"/>
                <w:sz w:val="24"/>
                <w:szCs w:val="24"/>
              </w:rPr>
            </w:pPr>
            <w:r w:rsidRPr="00384CED">
              <w:rPr>
                <w:rFonts w:ascii="inherit" w:eastAsia="宋体" w:hAnsi="inherit" w:cs="宋体"/>
                <w:b/>
                <w:bCs/>
                <w:color w:val="000000"/>
                <w:kern w:val="0"/>
                <w:sz w:val="24"/>
                <w:szCs w:val="24"/>
              </w:rPr>
              <w:t>(in thousands)</w:t>
            </w:r>
          </w:p>
          <w:p w:rsidR="00384CED" w:rsidRPr="00384CED" w:rsidRDefault="00384CED" w:rsidP="00384CED">
            <w:pPr>
              <w:widowControl/>
              <w:spacing w:after="180"/>
              <w:jc w:val="center"/>
              <w:rPr>
                <w:rFonts w:ascii="宋体" w:eastAsia="宋体" w:hAnsi="宋体" w:cs="宋体"/>
                <w:kern w:val="0"/>
                <w:sz w:val="24"/>
                <w:szCs w:val="24"/>
              </w:rPr>
            </w:pPr>
            <w:r w:rsidRPr="00384CED">
              <w:rPr>
                <w:rFonts w:ascii="inherit" w:eastAsia="宋体" w:hAnsi="inherit" w:cs="宋体"/>
                <w:b/>
                <w:bCs/>
                <w:color w:val="000000"/>
                <w:kern w:val="0"/>
                <w:sz w:val="24"/>
                <w:szCs w:val="24"/>
              </w:rPr>
              <w:t>(unaudited)</w:t>
            </w:r>
          </w:p>
          <w:p w:rsidR="00384CED" w:rsidRPr="00384CED" w:rsidRDefault="00384CED" w:rsidP="00384CED">
            <w:pPr>
              <w:widowControl/>
              <w:spacing w:after="180"/>
              <w:jc w:val="center"/>
              <w:rPr>
                <w:rFonts w:ascii="宋体" w:eastAsia="宋体" w:hAnsi="宋体" w:cs="宋体"/>
                <w:kern w:val="0"/>
                <w:sz w:val="24"/>
                <w:szCs w:val="24"/>
              </w:rPr>
            </w:pPr>
            <w:r w:rsidRPr="00384CED">
              <w:rPr>
                <w:rFonts w:ascii="inherit" w:eastAsia="宋体" w:hAnsi="inherit" w:cs="宋体"/>
                <w:color w:val="000000"/>
                <w:kern w:val="0"/>
                <w:sz w:val="24"/>
                <w:szCs w:val="24"/>
              </w:rPr>
              <w:t> </w:t>
            </w:r>
          </w:p>
        </w:tc>
      </w:tr>
      <w:tr w:rsidR="00384CED" w:rsidRPr="00384CED" w:rsidTr="00384CED">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gridSpan w:val="3"/>
            <w:tcBorders>
              <w:top w:val="nil"/>
              <w:left w:val="nil"/>
              <w:bottom w:val="single" w:sz="4" w:space="0" w:color="000000"/>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center"/>
              <w:rPr>
                <w:rFonts w:ascii="宋体" w:eastAsia="宋体" w:hAnsi="宋体" w:cs="宋体"/>
                <w:kern w:val="0"/>
                <w:sz w:val="24"/>
                <w:szCs w:val="24"/>
              </w:rPr>
            </w:pPr>
            <w:r w:rsidRPr="00384CED">
              <w:rPr>
                <w:rFonts w:ascii="inherit" w:eastAsia="宋体" w:hAnsi="inherit" w:cs="宋体"/>
                <w:b/>
                <w:bCs/>
                <w:color w:val="000000"/>
                <w:kern w:val="0"/>
                <w:sz w:val="24"/>
                <w:szCs w:val="24"/>
              </w:rPr>
              <w:t>Three months ended</w:t>
            </w:r>
            <w:r w:rsidRPr="00384CED">
              <w:rPr>
                <w:rFonts w:ascii="inherit" w:eastAsia="宋体" w:hAnsi="inherit" w:cs="宋体"/>
                <w:color w:val="000000"/>
                <w:kern w:val="0"/>
                <w:sz w:val="24"/>
                <w:szCs w:val="24"/>
              </w:rPr>
              <w:br/>
            </w:r>
            <w:r w:rsidRPr="00384CED">
              <w:rPr>
                <w:rFonts w:ascii="inherit" w:eastAsia="宋体" w:hAnsi="inherit" w:cs="宋体"/>
                <w:b/>
                <w:bCs/>
                <w:color w:val="000000"/>
                <w:kern w:val="0"/>
                <w:sz w:val="24"/>
                <w:szCs w:val="24"/>
              </w:rPr>
              <w:t>March 31,</w:t>
            </w:r>
          </w:p>
        </w:tc>
      </w:tr>
      <w:tr w:rsidR="00384CED" w:rsidRPr="00384CED" w:rsidTr="00384CED">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center"/>
              <w:rPr>
                <w:rFonts w:ascii="宋体" w:eastAsia="宋体" w:hAnsi="宋体" w:cs="宋体"/>
                <w:kern w:val="0"/>
                <w:sz w:val="24"/>
                <w:szCs w:val="24"/>
              </w:rPr>
            </w:pPr>
            <w:r w:rsidRPr="00384CED">
              <w:rPr>
                <w:rFonts w:ascii="inherit" w:eastAsia="宋体" w:hAnsi="inherit" w:cs="宋体"/>
                <w:b/>
                <w:bCs/>
                <w:color w:val="000000"/>
                <w:kern w:val="0"/>
                <w:sz w:val="24"/>
                <w:szCs w:val="24"/>
              </w:rPr>
              <w:t>2026</w:t>
            </w:r>
          </w:p>
        </w:tc>
        <w:tc>
          <w:tcPr>
            <w:tcW w:w="0" w:type="auto"/>
            <w:tcBorders>
              <w:top w:val="single" w:sz="4" w:space="0" w:color="000000"/>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center"/>
              <w:rPr>
                <w:rFonts w:ascii="宋体" w:eastAsia="宋体" w:hAnsi="宋体" w:cs="宋体"/>
                <w:kern w:val="0"/>
                <w:sz w:val="24"/>
                <w:szCs w:val="24"/>
              </w:rPr>
            </w:pPr>
            <w:r w:rsidRPr="00384CED">
              <w:rPr>
                <w:rFonts w:ascii="inherit" w:eastAsia="宋体" w:hAnsi="inherit" w:cs="宋体"/>
                <w:b/>
                <w:bCs/>
                <w:color w:val="000000"/>
                <w:kern w:val="0"/>
                <w:sz w:val="24"/>
                <w:szCs w:val="24"/>
              </w:rPr>
              <w:t>2025</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b/>
                <w:bCs/>
                <w:color w:val="000000"/>
                <w:kern w:val="0"/>
                <w:sz w:val="24"/>
                <w:szCs w:val="24"/>
              </w:rPr>
              <w:t>Operating activities</w:t>
            </w:r>
          </w:p>
        </w:tc>
        <w:tc>
          <w:tcPr>
            <w:tcW w:w="0" w:type="auto"/>
            <w:tcBorders>
              <w:top w:val="single" w:sz="4" w:space="0" w:color="000000"/>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Net income</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       302,824</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       386,599</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Adjustments to reconcile net income to net cash provided by operating activities:</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Depreciation and amortization</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96,718</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87,211</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Deferred income tax provision</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17,887</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(7,329)</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Impairment, closure costs, and asset disposals</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9,658</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6,018</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Provision for credit losses</w:t>
            </w:r>
          </w:p>
        </w:tc>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(454)</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(1,294)</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Stock-based compensation expense</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28,000</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37,601</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Other</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578</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914</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Changes in operating assets and liabilities:</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Accounts receivable</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59,842</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43,239</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Inventory</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4,745</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7,535</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Prepaid expenses and other current assets</w:t>
            </w:r>
          </w:p>
        </w:tc>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(9,438)</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(9,748)</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Operating lease assets</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79,793</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72,540</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Other assets</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1,759</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61</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Accounts payable</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22,678</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13,208</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Accrued payroll and benefits</w:t>
            </w:r>
          </w:p>
        </w:tc>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(55,394)</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(107,013)</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Accrued liabilities</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41,962</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(183)</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Unearned revenue</w:t>
            </w:r>
          </w:p>
        </w:tc>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(27,663)</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(31,001)</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Income tax payable/receivable</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140,039</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113,377</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Operating lease liabilities</w:t>
            </w:r>
          </w:p>
        </w:tc>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(62,990)</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(55,662)</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Other long-term liabilities</w:t>
            </w:r>
          </w:p>
        </w:tc>
        <w:tc>
          <w:tcPr>
            <w:tcW w:w="0" w:type="auto"/>
            <w:tcBorders>
              <w:top w:val="nil"/>
              <w:left w:val="nil"/>
              <w:bottom w:val="single" w:sz="4" w:space="0" w:color="000000"/>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806</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1,002</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Net cash provided by operating activities</w:t>
            </w:r>
          </w:p>
        </w:tc>
        <w:tc>
          <w:tcPr>
            <w:tcW w:w="0" w:type="auto"/>
            <w:tcBorders>
              <w:top w:val="single" w:sz="4" w:space="0" w:color="000000"/>
              <w:left w:val="nil"/>
              <w:bottom w:val="single" w:sz="4" w:space="0" w:color="000000"/>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651,350</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single" w:sz="4" w:space="0" w:color="000000"/>
              <w:left w:val="nil"/>
              <w:bottom w:val="single" w:sz="4" w:space="0" w:color="000000"/>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557,075</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b/>
                <w:bCs/>
                <w:color w:val="000000"/>
                <w:kern w:val="0"/>
                <w:sz w:val="24"/>
                <w:szCs w:val="24"/>
              </w:rPr>
              <w:t>Investing activities</w:t>
            </w:r>
          </w:p>
        </w:tc>
        <w:tc>
          <w:tcPr>
            <w:tcW w:w="0" w:type="auto"/>
            <w:tcBorders>
              <w:top w:val="single" w:sz="4" w:space="0" w:color="000000"/>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Purchases of leasehold improvements, property and equipment</w:t>
            </w:r>
          </w:p>
        </w:tc>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(180,332)</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(144,810)</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Purchases of investments</w:t>
            </w:r>
          </w:p>
        </w:tc>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(250)</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(4,000)</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Maturities of investments</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172,509</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154,889</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Net cash (used in)/provided by investing activities</w:t>
            </w:r>
          </w:p>
        </w:tc>
        <w:tc>
          <w:tcPr>
            <w:tcW w:w="0" w:type="auto"/>
            <w:tcBorders>
              <w:top w:val="single" w:sz="4" w:space="0" w:color="000000"/>
              <w:left w:val="nil"/>
              <w:bottom w:val="single" w:sz="4" w:space="0" w:color="000000"/>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(8,073)</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single" w:sz="4" w:space="0" w:color="000000"/>
              <w:left w:val="nil"/>
              <w:bottom w:val="single" w:sz="4" w:space="0" w:color="000000"/>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6,079</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b/>
                <w:bCs/>
                <w:color w:val="000000"/>
                <w:kern w:val="0"/>
                <w:sz w:val="24"/>
                <w:szCs w:val="24"/>
              </w:rPr>
              <w:t>Financing activities</w:t>
            </w:r>
          </w:p>
        </w:tc>
        <w:tc>
          <w:tcPr>
            <w:tcW w:w="0" w:type="auto"/>
            <w:tcBorders>
              <w:top w:val="single" w:sz="4" w:space="0" w:color="000000"/>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Repurchase of common stock</w:t>
            </w:r>
          </w:p>
        </w:tc>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(701,027)</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(553,796)</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Tax withholding on stock-based compensation awards</w:t>
            </w:r>
          </w:p>
        </w:tc>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(47,997)</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(32,902)</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Other financing activities</w:t>
            </w:r>
          </w:p>
        </w:tc>
        <w:tc>
          <w:tcPr>
            <w:tcW w:w="0" w:type="auto"/>
            <w:tcBorders>
              <w:top w:val="nil"/>
              <w:left w:val="nil"/>
              <w:bottom w:val="single" w:sz="4" w:space="0" w:color="000000"/>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1,534</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1,524</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Net cash used in financing activities</w:t>
            </w:r>
          </w:p>
        </w:tc>
        <w:tc>
          <w:tcPr>
            <w:tcW w:w="0" w:type="auto"/>
            <w:tcBorders>
              <w:top w:val="single" w:sz="4" w:space="0" w:color="000000"/>
              <w:left w:val="nil"/>
              <w:bottom w:val="single" w:sz="4" w:space="0" w:color="000000"/>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(747,490)</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single" w:sz="4" w:space="0" w:color="000000"/>
              <w:left w:val="nil"/>
              <w:bottom w:val="single" w:sz="4" w:space="0" w:color="000000"/>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(585,174)</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Effect of exchange rate changes on cash, cash equivalents and restricted cash</w:t>
            </w:r>
          </w:p>
        </w:tc>
        <w:tc>
          <w:tcPr>
            <w:tcW w:w="0" w:type="auto"/>
            <w:tcBorders>
              <w:top w:val="single" w:sz="4" w:space="0" w:color="000000"/>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602</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(236)</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Net change in cash, cash equivalents, and restricted cash</w:t>
            </w:r>
          </w:p>
        </w:tc>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(103,611)</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(22,256)</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Cash, cash equivalents, and restricted cash at beginning of period</w:t>
            </w:r>
          </w:p>
        </w:tc>
        <w:tc>
          <w:tcPr>
            <w:tcW w:w="0" w:type="auto"/>
            <w:tcBorders>
              <w:top w:val="nil"/>
              <w:left w:val="nil"/>
              <w:bottom w:val="single" w:sz="4" w:space="0" w:color="000000"/>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385,909</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778,379</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Cash, cash equivalents, and restricted cash at end of period</w:t>
            </w:r>
          </w:p>
        </w:tc>
        <w:tc>
          <w:tcPr>
            <w:tcW w:w="0" w:type="auto"/>
            <w:tcBorders>
              <w:top w:val="single" w:sz="4" w:space="0" w:color="000000"/>
              <w:left w:val="nil"/>
              <w:bottom w:val="double" w:sz="6" w:space="0" w:color="000000"/>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       282,298</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single" w:sz="4" w:space="0" w:color="000000"/>
              <w:left w:val="nil"/>
              <w:bottom w:val="double" w:sz="6" w:space="0" w:color="000000"/>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       756,123</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b/>
                <w:bCs/>
                <w:color w:val="000000"/>
                <w:kern w:val="0"/>
                <w:sz w:val="24"/>
                <w:szCs w:val="24"/>
              </w:rPr>
              <w:t>Supplemental disclosures of cash flow information</w:t>
            </w:r>
          </w:p>
        </w:tc>
        <w:tc>
          <w:tcPr>
            <w:tcW w:w="0" w:type="auto"/>
            <w:tcBorders>
              <w:top w:val="double" w:sz="6" w:space="0" w:color="000000"/>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double" w:sz="6" w:space="0" w:color="000000"/>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Income taxes paid/(refunded)</w:t>
            </w:r>
          </w:p>
        </w:tc>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       (55,146)</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          8,754</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Purchases of leasehold improvements, property and equipment accrued in accounts payable and accrued liabilities</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       102,570</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        76,389</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Repurchase of common stock accrued in accounts payable and accrued liabilities</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        29,190</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        12,102</w:t>
            </w:r>
          </w:p>
        </w:tc>
      </w:tr>
    </w:tbl>
    <w:p w:rsidR="00384CED" w:rsidRPr="00384CED" w:rsidRDefault="00384CED" w:rsidP="00384CED">
      <w:pPr>
        <w:widowControl/>
        <w:shd w:val="clear" w:color="auto" w:fill="FFFFFF"/>
        <w:spacing w:after="180"/>
        <w:jc w:val="left"/>
        <w:rPr>
          <w:rFonts w:ascii="Helvetica" w:eastAsia="宋体" w:hAnsi="Helvetica" w:cs="Helvetica"/>
          <w:color w:val="54392D"/>
          <w:kern w:val="0"/>
          <w:sz w:val="24"/>
          <w:szCs w:val="24"/>
        </w:rPr>
      </w:pPr>
      <w:r w:rsidRPr="00384CED">
        <w:rPr>
          <w:rFonts w:ascii="Helvetica" w:eastAsia="宋体" w:hAnsi="Helvetica" w:cs="Helvetica"/>
          <w:color w:val="54392D"/>
          <w:kern w:val="0"/>
          <w:sz w:val="24"/>
          <w:szCs w:val="24"/>
        </w:rPr>
        <w:t> </w:t>
      </w:r>
    </w:p>
    <w:tbl>
      <w:tblPr>
        <w:tblW w:w="0" w:type="auto"/>
        <w:tblCellMar>
          <w:top w:w="15" w:type="dxa"/>
          <w:left w:w="15" w:type="dxa"/>
          <w:bottom w:w="15" w:type="dxa"/>
          <w:right w:w="15" w:type="dxa"/>
        </w:tblCellMar>
        <w:tblLook w:val="04A0" w:firstRow="1" w:lastRow="0" w:firstColumn="1" w:lastColumn="0" w:noHBand="0" w:noVBand="1"/>
      </w:tblPr>
      <w:tblGrid>
        <w:gridCol w:w="2837"/>
        <w:gridCol w:w="905"/>
        <w:gridCol w:w="243"/>
        <w:gridCol w:w="906"/>
        <w:gridCol w:w="244"/>
        <w:gridCol w:w="906"/>
        <w:gridCol w:w="244"/>
        <w:gridCol w:w="906"/>
        <w:gridCol w:w="244"/>
        <w:gridCol w:w="871"/>
      </w:tblGrid>
      <w:tr w:rsidR="00384CED" w:rsidRPr="00384CED" w:rsidTr="00384CED">
        <w:tc>
          <w:tcPr>
            <w:tcW w:w="0" w:type="auto"/>
            <w:gridSpan w:val="10"/>
            <w:tcBorders>
              <w:top w:val="nil"/>
              <w:left w:val="nil"/>
              <w:bottom w:val="nil"/>
              <w:right w:val="nil"/>
            </w:tcBorders>
            <w:tcMar>
              <w:top w:w="75" w:type="dxa"/>
              <w:left w:w="41" w:type="dxa"/>
              <w:bottom w:w="75" w:type="dxa"/>
              <w:right w:w="41" w:type="dxa"/>
            </w:tcMar>
            <w:vAlign w:val="bottom"/>
            <w:hideMark/>
          </w:tcPr>
          <w:p w:rsidR="00384CED" w:rsidRPr="00384CED" w:rsidRDefault="00384CED" w:rsidP="00384CED">
            <w:pPr>
              <w:widowControl/>
              <w:spacing w:after="180"/>
              <w:jc w:val="center"/>
              <w:rPr>
                <w:rFonts w:ascii="宋体" w:eastAsia="宋体" w:hAnsi="宋体" w:cs="宋体"/>
                <w:kern w:val="0"/>
                <w:sz w:val="24"/>
                <w:szCs w:val="24"/>
              </w:rPr>
            </w:pPr>
            <w:r w:rsidRPr="00384CED">
              <w:rPr>
                <w:rFonts w:ascii="inherit" w:eastAsia="宋体" w:hAnsi="inherit" w:cs="宋体"/>
                <w:b/>
                <w:bCs/>
                <w:color w:val="000000"/>
                <w:kern w:val="0"/>
                <w:sz w:val="24"/>
                <w:szCs w:val="24"/>
              </w:rPr>
              <w:t>CHIPOTLE MEXICAN GRILL, INC.</w:t>
            </w:r>
          </w:p>
          <w:p w:rsidR="00384CED" w:rsidRPr="00384CED" w:rsidRDefault="00384CED" w:rsidP="00384CED">
            <w:pPr>
              <w:widowControl/>
              <w:spacing w:after="180"/>
              <w:jc w:val="center"/>
              <w:rPr>
                <w:rFonts w:ascii="宋体" w:eastAsia="宋体" w:hAnsi="宋体" w:cs="宋体"/>
                <w:kern w:val="0"/>
                <w:sz w:val="24"/>
                <w:szCs w:val="24"/>
              </w:rPr>
            </w:pPr>
            <w:r w:rsidRPr="00384CED">
              <w:rPr>
                <w:rFonts w:ascii="inherit" w:eastAsia="宋体" w:hAnsi="inherit" w:cs="宋体"/>
                <w:b/>
                <w:bCs/>
                <w:color w:val="000000"/>
                <w:kern w:val="0"/>
                <w:sz w:val="24"/>
                <w:szCs w:val="24"/>
              </w:rPr>
              <w:t>SUPPLEMENTAL FINANCIAL AND OTHER DATA</w:t>
            </w:r>
          </w:p>
          <w:p w:rsidR="00384CED" w:rsidRPr="00384CED" w:rsidRDefault="00384CED" w:rsidP="00384CED">
            <w:pPr>
              <w:widowControl/>
              <w:spacing w:after="180"/>
              <w:jc w:val="center"/>
              <w:rPr>
                <w:rFonts w:ascii="宋体" w:eastAsia="宋体" w:hAnsi="宋体" w:cs="宋体"/>
                <w:kern w:val="0"/>
                <w:sz w:val="24"/>
                <w:szCs w:val="24"/>
              </w:rPr>
            </w:pPr>
            <w:r w:rsidRPr="00384CED">
              <w:rPr>
                <w:rFonts w:ascii="inherit" w:eastAsia="宋体" w:hAnsi="inherit" w:cs="宋体"/>
                <w:b/>
                <w:bCs/>
                <w:color w:val="000000"/>
                <w:kern w:val="0"/>
                <w:sz w:val="24"/>
                <w:szCs w:val="24"/>
              </w:rPr>
              <w:t>(dollars in thousands)</w:t>
            </w:r>
          </w:p>
          <w:p w:rsidR="00384CED" w:rsidRPr="00384CED" w:rsidRDefault="00384CED" w:rsidP="00384CED">
            <w:pPr>
              <w:widowControl/>
              <w:spacing w:after="180"/>
              <w:jc w:val="center"/>
              <w:rPr>
                <w:rFonts w:ascii="宋体" w:eastAsia="宋体" w:hAnsi="宋体" w:cs="宋体"/>
                <w:kern w:val="0"/>
                <w:sz w:val="24"/>
                <w:szCs w:val="24"/>
              </w:rPr>
            </w:pPr>
            <w:r w:rsidRPr="00384CED">
              <w:rPr>
                <w:rFonts w:ascii="inherit" w:eastAsia="宋体" w:hAnsi="inherit" w:cs="宋体"/>
                <w:b/>
                <w:bCs/>
                <w:color w:val="000000"/>
                <w:kern w:val="0"/>
                <w:sz w:val="24"/>
                <w:szCs w:val="24"/>
              </w:rPr>
              <w:t>(unaudited)</w:t>
            </w:r>
          </w:p>
          <w:p w:rsidR="00384CED" w:rsidRPr="00384CED" w:rsidRDefault="00384CED" w:rsidP="00384CED">
            <w:pPr>
              <w:widowControl/>
              <w:spacing w:after="180"/>
              <w:jc w:val="center"/>
              <w:rPr>
                <w:rFonts w:ascii="宋体" w:eastAsia="宋体" w:hAnsi="宋体" w:cs="宋体"/>
                <w:kern w:val="0"/>
                <w:sz w:val="24"/>
                <w:szCs w:val="24"/>
              </w:rPr>
            </w:pPr>
            <w:r w:rsidRPr="00384CED">
              <w:rPr>
                <w:rFonts w:ascii="inherit" w:eastAsia="宋体" w:hAnsi="inherit" w:cs="宋体"/>
                <w:color w:val="000000"/>
                <w:kern w:val="0"/>
                <w:sz w:val="24"/>
                <w:szCs w:val="24"/>
              </w:rPr>
              <w:t> </w:t>
            </w:r>
          </w:p>
        </w:tc>
      </w:tr>
      <w:tr w:rsidR="00384CED" w:rsidRPr="00384CED" w:rsidTr="00384CED">
        <w:tc>
          <w:tcPr>
            <w:tcW w:w="0" w:type="auto"/>
            <w:gridSpan w:val="10"/>
            <w:tcBorders>
              <w:top w:val="nil"/>
              <w:left w:val="nil"/>
              <w:bottom w:val="nil"/>
              <w:right w:val="nil"/>
            </w:tcBorders>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The following table details company-owned restaurant unit data for the periods indicated:</w:t>
            </w:r>
          </w:p>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 </w:t>
            </w:r>
          </w:p>
        </w:tc>
      </w:tr>
      <w:tr w:rsidR="00384CED" w:rsidRPr="00384CED" w:rsidTr="00384CED">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left"/>
              <w:rPr>
                <w:rFonts w:ascii="Arial" w:eastAsia="宋体" w:hAnsi="Arial" w:cs="Arial"/>
                <w:color w:val="000000"/>
                <w:kern w:val="0"/>
                <w:sz w:val="16"/>
                <w:szCs w:val="16"/>
              </w:rPr>
            </w:pPr>
          </w:p>
        </w:tc>
        <w:tc>
          <w:tcPr>
            <w:tcW w:w="0" w:type="auto"/>
            <w:gridSpan w:val="9"/>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center"/>
              <w:rPr>
                <w:rFonts w:ascii="宋体" w:eastAsia="宋体" w:hAnsi="宋体" w:cs="宋体"/>
                <w:kern w:val="0"/>
                <w:sz w:val="24"/>
                <w:szCs w:val="24"/>
              </w:rPr>
            </w:pPr>
            <w:r w:rsidRPr="00384CED">
              <w:rPr>
                <w:rFonts w:ascii="inherit" w:eastAsia="宋体" w:hAnsi="inherit" w:cs="宋体"/>
                <w:b/>
                <w:bCs/>
                <w:color w:val="000000"/>
                <w:kern w:val="0"/>
                <w:sz w:val="24"/>
                <w:szCs w:val="24"/>
              </w:rPr>
              <w:t>For the three months ended</w:t>
            </w:r>
          </w:p>
        </w:tc>
      </w:tr>
      <w:tr w:rsidR="00384CED" w:rsidRPr="00384CED" w:rsidTr="00384CED">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left"/>
              <w:rPr>
                <w:rFonts w:ascii="Arial" w:eastAsia="宋体" w:hAnsi="Arial" w:cs="Arial"/>
                <w:color w:val="000000"/>
                <w:kern w:val="0"/>
                <w:sz w:val="16"/>
                <w:szCs w:val="16"/>
              </w:rPr>
            </w:pPr>
          </w:p>
        </w:tc>
        <w:tc>
          <w:tcPr>
            <w:tcW w:w="0" w:type="auto"/>
            <w:tcBorders>
              <w:top w:val="nil"/>
              <w:left w:val="nil"/>
              <w:bottom w:val="single" w:sz="4" w:space="0" w:color="000000"/>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center"/>
              <w:rPr>
                <w:rFonts w:ascii="宋体" w:eastAsia="宋体" w:hAnsi="宋体" w:cs="宋体"/>
                <w:kern w:val="0"/>
                <w:sz w:val="24"/>
                <w:szCs w:val="24"/>
              </w:rPr>
            </w:pPr>
            <w:r w:rsidRPr="00384CED">
              <w:rPr>
                <w:rFonts w:ascii="inherit" w:eastAsia="宋体" w:hAnsi="inherit" w:cs="宋体"/>
                <w:b/>
                <w:bCs/>
                <w:color w:val="000000"/>
                <w:kern w:val="0"/>
                <w:sz w:val="24"/>
                <w:szCs w:val="24"/>
              </w:rPr>
              <w:t>Mar. 31,</w:t>
            </w:r>
            <w:r w:rsidRPr="00384CED">
              <w:rPr>
                <w:rFonts w:ascii="inherit" w:eastAsia="宋体" w:hAnsi="inherit" w:cs="宋体"/>
                <w:color w:val="000000"/>
                <w:kern w:val="0"/>
                <w:sz w:val="24"/>
                <w:szCs w:val="24"/>
              </w:rPr>
              <w:br/>
            </w:r>
            <w:r w:rsidRPr="00384CED">
              <w:rPr>
                <w:rFonts w:ascii="inherit" w:eastAsia="宋体" w:hAnsi="inherit" w:cs="宋体"/>
                <w:b/>
                <w:bCs/>
                <w:color w:val="000000"/>
                <w:kern w:val="0"/>
                <w:sz w:val="24"/>
                <w:szCs w:val="24"/>
              </w:rPr>
              <w:t>2026</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left"/>
              <w:rPr>
                <w:rFonts w:ascii="Arial" w:eastAsia="宋体" w:hAnsi="Arial" w:cs="Arial"/>
                <w:color w:val="000000"/>
                <w:kern w:val="0"/>
                <w:sz w:val="16"/>
                <w:szCs w:val="16"/>
              </w:rPr>
            </w:pPr>
          </w:p>
        </w:tc>
        <w:tc>
          <w:tcPr>
            <w:tcW w:w="0" w:type="auto"/>
            <w:tcBorders>
              <w:top w:val="nil"/>
              <w:left w:val="nil"/>
              <w:bottom w:val="single" w:sz="4" w:space="0" w:color="000000"/>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center"/>
              <w:rPr>
                <w:rFonts w:ascii="宋体" w:eastAsia="宋体" w:hAnsi="宋体" w:cs="宋体"/>
                <w:kern w:val="0"/>
                <w:sz w:val="24"/>
                <w:szCs w:val="24"/>
              </w:rPr>
            </w:pPr>
            <w:r w:rsidRPr="00384CED">
              <w:rPr>
                <w:rFonts w:ascii="inherit" w:eastAsia="宋体" w:hAnsi="inherit" w:cs="宋体"/>
                <w:b/>
                <w:bCs/>
                <w:color w:val="000000"/>
                <w:kern w:val="0"/>
                <w:sz w:val="24"/>
                <w:szCs w:val="24"/>
              </w:rPr>
              <w:t>Dec. 31,</w:t>
            </w:r>
            <w:r w:rsidRPr="00384CED">
              <w:rPr>
                <w:rFonts w:ascii="inherit" w:eastAsia="宋体" w:hAnsi="inherit" w:cs="宋体"/>
                <w:color w:val="000000"/>
                <w:kern w:val="0"/>
                <w:sz w:val="24"/>
                <w:szCs w:val="24"/>
              </w:rPr>
              <w:br/>
            </w:r>
            <w:r w:rsidRPr="00384CED">
              <w:rPr>
                <w:rFonts w:ascii="inherit" w:eastAsia="宋体" w:hAnsi="inherit" w:cs="宋体"/>
                <w:b/>
                <w:bCs/>
                <w:color w:val="000000"/>
                <w:kern w:val="0"/>
                <w:sz w:val="24"/>
                <w:szCs w:val="24"/>
              </w:rPr>
              <w:t>2025</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left"/>
              <w:rPr>
                <w:rFonts w:ascii="Arial" w:eastAsia="宋体" w:hAnsi="Arial" w:cs="Arial"/>
                <w:color w:val="000000"/>
                <w:kern w:val="0"/>
                <w:sz w:val="16"/>
                <w:szCs w:val="16"/>
              </w:rPr>
            </w:pPr>
          </w:p>
        </w:tc>
        <w:tc>
          <w:tcPr>
            <w:tcW w:w="0" w:type="auto"/>
            <w:tcBorders>
              <w:top w:val="nil"/>
              <w:left w:val="nil"/>
              <w:bottom w:val="single" w:sz="4" w:space="0" w:color="000000"/>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center"/>
              <w:rPr>
                <w:rFonts w:ascii="宋体" w:eastAsia="宋体" w:hAnsi="宋体" w:cs="宋体"/>
                <w:kern w:val="0"/>
                <w:sz w:val="24"/>
                <w:szCs w:val="24"/>
              </w:rPr>
            </w:pPr>
            <w:r w:rsidRPr="00384CED">
              <w:rPr>
                <w:rFonts w:ascii="inherit" w:eastAsia="宋体" w:hAnsi="inherit" w:cs="宋体"/>
                <w:b/>
                <w:bCs/>
                <w:color w:val="000000"/>
                <w:kern w:val="0"/>
                <w:sz w:val="24"/>
                <w:szCs w:val="24"/>
              </w:rPr>
              <w:t>Sep. 30,</w:t>
            </w:r>
            <w:r w:rsidRPr="00384CED">
              <w:rPr>
                <w:rFonts w:ascii="inherit" w:eastAsia="宋体" w:hAnsi="inherit" w:cs="宋体"/>
                <w:color w:val="000000"/>
                <w:kern w:val="0"/>
                <w:sz w:val="24"/>
                <w:szCs w:val="24"/>
              </w:rPr>
              <w:br/>
            </w:r>
            <w:r w:rsidRPr="00384CED">
              <w:rPr>
                <w:rFonts w:ascii="inherit" w:eastAsia="宋体" w:hAnsi="inherit" w:cs="宋体"/>
                <w:b/>
                <w:bCs/>
                <w:color w:val="000000"/>
                <w:kern w:val="0"/>
                <w:sz w:val="24"/>
                <w:szCs w:val="24"/>
              </w:rPr>
              <w:t>2025</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left"/>
              <w:rPr>
                <w:rFonts w:ascii="Arial" w:eastAsia="宋体" w:hAnsi="Arial" w:cs="Arial"/>
                <w:color w:val="000000"/>
                <w:kern w:val="0"/>
                <w:sz w:val="16"/>
                <w:szCs w:val="16"/>
              </w:rPr>
            </w:pPr>
          </w:p>
        </w:tc>
        <w:tc>
          <w:tcPr>
            <w:tcW w:w="0" w:type="auto"/>
            <w:tcBorders>
              <w:top w:val="nil"/>
              <w:left w:val="nil"/>
              <w:bottom w:val="single" w:sz="4" w:space="0" w:color="000000"/>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center"/>
              <w:rPr>
                <w:rFonts w:ascii="宋体" w:eastAsia="宋体" w:hAnsi="宋体" w:cs="宋体"/>
                <w:kern w:val="0"/>
                <w:sz w:val="24"/>
                <w:szCs w:val="24"/>
              </w:rPr>
            </w:pPr>
            <w:r w:rsidRPr="00384CED">
              <w:rPr>
                <w:rFonts w:ascii="inherit" w:eastAsia="宋体" w:hAnsi="inherit" w:cs="宋体"/>
                <w:b/>
                <w:bCs/>
                <w:color w:val="000000"/>
                <w:kern w:val="0"/>
                <w:sz w:val="24"/>
                <w:szCs w:val="24"/>
              </w:rPr>
              <w:t>Jun. 30,</w:t>
            </w:r>
            <w:r w:rsidRPr="00384CED">
              <w:rPr>
                <w:rFonts w:ascii="inherit" w:eastAsia="宋体" w:hAnsi="inherit" w:cs="宋体"/>
                <w:color w:val="000000"/>
                <w:kern w:val="0"/>
                <w:sz w:val="24"/>
                <w:szCs w:val="24"/>
              </w:rPr>
              <w:br/>
            </w:r>
            <w:r w:rsidRPr="00384CED">
              <w:rPr>
                <w:rFonts w:ascii="inherit" w:eastAsia="宋体" w:hAnsi="inherit" w:cs="宋体"/>
                <w:b/>
                <w:bCs/>
                <w:color w:val="000000"/>
                <w:kern w:val="0"/>
                <w:sz w:val="24"/>
                <w:szCs w:val="24"/>
              </w:rPr>
              <w:t>2025</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left"/>
              <w:rPr>
                <w:rFonts w:ascii="Arial" w:eastAsia="宋体" w:hAnsi="Arial" w:cs="Arial"/>
                <w:color w:val="000000"/>
                <w:kern w:val="0"/>
                <w:sz w:val="16"/>
                <w:szCs w:val="16"/>
              </w:rPr>
            </w:pPr>
          </w:p>
        </w:tc>
        <w:tc>
          <w:tcPr>
            <w:tcW w:w="0" w:type="auto"/>
            <w:tcBorders>
              <w:top w:val="nil"/>
              <w:left w:val="nil"/>
              <w:bottom w:val="single" w:sz="4" w:space="0" w:color="000000"/>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center"/>
              <w:rPr>
                <w:rFonts w:ascii="宋体" w:eastAsia="宋体" w:hAnsi="宋体" w:cs="宋体"/>
                <w:kern w:val="0"/>
                <w:sz w:val="24"/>
                <w:szCs w:val="24"/>
              </w:rPr>
            </w:pPr>
            <w:r w:rsidRPr="00384CED">
              <w:rPr>
                <w:rFonts w:ascii="inherit" w:eastAsia="宋体" w:hAnsi="inherit" w:cs="宋体"/>
                <w:b/>
                <w:bCs/>
                <w:color w:val="000000"/>
                <w:kern w:val="0"/>
                <w:sz w:val="24"/>
                <w:szCs w:val="24"/>
              </w:rPr>
              <w:t>Mar. 31,</w:t>
            </w:r>
            <w:r w:rsidRPr="00384CED">
              <w:rPr>
                <w:rFonts w:ascii="inherit" w:eastAsia="宋体" w:hAnsi="inherit" w:cs="宋体"/>
                <w:color w:val="000000"/>
                <w:kern w:val="0"/>
                <w:sz w:val="24"/>
                <w:szCs w:val="24"/>
              </w:rPr>
              <w:br/>
            </w:r>
            <w:r w:rsidRPr="00384CED">
              <w:rPr>
                <w:rFonts w:ascii="inherit" w:eastAsia="宋体" w:hAnsi="inherit" w:cs="宋体"/>
                <w:b/>
                <w:bCs/>
                <w:color w:val="000000"/>
                <w:kern w:val="0"/>
                <w:sz w:val="24"/>
                <w:szCs w:val="24"/>
              </w:rPr>
              <w:t>2025</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Opened</w:t>
            </w:r>
          </w:p>
        </w:tc>
        <w:tc>
          <w:tcPr>
            <w:tcW w:w="0" w:type="auto"/>
            <w:tcBorders>
              <w:top w:val="single" w:sz="4" w:space="0" w:color="000000"/>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49</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left"/>
              <w:rPr>
                <w:rFonts w:ascii="Arial" w:eastAsia="宋体" w:hAnsi="Arial" w:cs="Arial"/>
                <w:color w:val="000000"/>
                <w:kern w:val="0"/>
                <w:sz w:val="16"/>
                <w:szCs w:val="16"/>
              </w:rPr>
            </w:pPr>
          </w:p>
        </w:tc>
        <w:tc>
          <w:tcPr>
            <w:tcW w:w="0" w:type="auto"/>
            <w:tcBorders>
              <w:top w:val="single" w:sz="4" w:space="0" w:color="000000"/>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132</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left"/>
              <w:rPr>
                <w:rFonts w:ascii="Arial" w:eastAsia="宋体" w:hAnsi="Arial" w:cs="Arial"/>
                <w:color w:val="000000"/>
                <w:kern w:val="0"/>
                <w:sz w:val="16"/>
                <w:szCs w:val="16"/>
              </w:rPr>
            </w:pPr>
          </w:p>
        </w:tc>
        <w:tc>
          <w:tcPr>
            <w:tcW w:w="0" w:type="auto"/>
            <w:tcBorders>
              <w:top w:val="single" w:sz="4" w:space="0" w:color="000000"/>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84</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left"/>
              <w:rPr>
                <w:rFonts w:ascii="Arial" w:eastAsia="宋体" w:hAnsi="Arial" w:cs="Arial"/>
                <w:color w:val="000000"/>
                <w:kern w:val="0"/>
                <w:sz w:val="16"/>
                <w:szCs w:val="16"/>
              </w:rPr>
            </w:pPr>
          </w:p>
        </w:tc>
        <w:tc>
          <w:tcPr>
            <w:tcW w:w="0" w:type="auto"/>
            <w:tcBorders>
              <w:top w:val="single" w:sz="4" w:space="0" w:color="000000"/>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61</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left"/>
              <w:rPr>
                <w:rFonts w:ascii="Arial" w:eastAsia="宋体" w:hAnsi="Arial" w:cs="Arial"/>
                <w:color w:val="000000"/>
                <w:kern w:val="0"/>
                <w:sz w:val="16"/>
                <w:szCs w:val="16"/>
              </w:rPr>
            </w:pPr>
          </w:p>
        </w:tc>
        <w:tc>
          <w:tcPr>
            <w:tcW w:w="0" w:type="auto"/>
            <w:tcBorders>
              <w:top w:val="single" w:sz="4" w:space="0" w:color="000000"/>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57</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Permanent closures</w:t>
            </w:r>
          </w:p>
        </w:tc>
        <w:tc>
          <w:tcPr>
            <w:tcW w:w="0" w:type="auto"/>
            <w:tcBorders>
              <w:top w:val="nil"/>
              <w:left w:val="nil"/>
              <w:bottom w:val="nil"/>
              <w:right w:val="nil"/>
            </w:tcBorders>
            <w:noWrap/>
            <w:tcMar>
              <w:top w:w="75" w:type="dxa"/>
              <w:left w:w="41" w:type="dxa"/>
              <w:bottom w:w="75" w:type="dxa"/>
              <w:right w:w="120"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(1)</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left"/>
              <w:rPr>
                <w:rFonts w:ascii="Arial" w:eastAsia="宋体" w:hAnsi="Arial" w:cs="Arial"/>
                <w:color w:val="000000"/>
                <w:kern w:val="0"/>
                <w:sz w:val="16"/>
                <w:szCs w:val="16"/>
              </w:rPr>
            </w:pPr>
          </w:p>
        </w:tc>
        <w:tc>
          <w:tcPr>
            <w:tcW w:w="0" w:type="auto"/>
            <w:tcBorders>
              <w:top w:val="nil"/>
              <w:left w:val="nil"/>
              <w:bottom w:val="nil"/>
              <w:right w:val="nil"/>
            </w:tcBorders>
            <w:noWrap/>
            <w:tcMar>
              <w:top w:w="75" w:type="dxa"/>
              <w:left w:w="41" w:type="dxa"/>
              <w:bottom w:w="75" w:type="dxa"/>
              <w:right w:w="120"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(5)</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left"/>
              <w:rPr>
                <w:rFonts w:ascii="Arial" w:eastAsia="宋体" w:hAnsi="Arial" w:cs="Arial"/>
                <w:color w:val="000000"/>
                <w:kern w:val="0"/>
                <w:sz w:val="16"/>
                <w:szCs w:val="16"/>
              </w:rPr>
            </w:pPr>
          </w:p>
        </w:tc>
        <w:tc>
          <w:tcPr>
            <w:tcW w:w="0" w:type="auto"/>
            <w:tcBorders>
              <w:top w:val="nil"/>
              <w:left w:val="nil"/>
              <w:bottom w:val="nil"/>
              <w:right w:val="nil"/>
            </w:tcBorders>
            <w:noWrap/>
            <w:tcMar>
              <w:top w:w="75" w:type="dxa"/>
              <w:left w:w="41" w:type="dxa"/>
              <w:bottom w:w="75" w:type="dxa"/>
              <w:right w:w="120"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(4)</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left"/>
              <w:rPr>
                <w:rFonts w:ascii="Arial" w:eastAsia="宋体" w:hAnsi="Arial" w:cs="Arial"/>
                <w:color w:val="000000"/>
                <w:kern w:val="0"/>
                <w:sz w:val="16"/>
                <w:szCs w:val="16"/>
              </w:rPr>
            </w:pPr>
          </w:p>
        </w:tc>
        <w:tc>
          <w:tcPr>
            <w:tcW w:w="0" w:type="auto"/>
            <w:tcBorders>
              <w:top w:val="nil"/>
              <w:left w:val="nil"/>
              <w:bottom w:val="nil"/>
              <w:right w:val="nil"/>
            </w:tcBorders>
            <w:noWrap/>
            <w:tcMar>
              <w:top w:w="75" w:type="dxa"/>
              <w:left w:w="41" w:type="dxa"/>
              <w:bottom w:w="75" w:type="dxa"/>
              <w:right w:w="120"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(2)</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left"/>
              <w:rPr>
                <w:rFonts w:ascii="Arial" w:eastAsia="宋体" w:hAnsi="Arial" w:cs="Arial"/>
                <w:color w:val="000000"/>
                <w:kern w:val="0"/>
                <w:sz w:val="16"/>
                <w:szCs w:val="16"/>
              </w:rPr>
            </w:pPr>
          </w:p>
        </w:tc>
        <w:tc>
          <w:tcPr>
            <w:tcW w:w="0" w:type="auto"/>
            <w:tcBorders>
              <w:top w:val="nil"/>
              <w:left w:val="nil"/>
              <w:bottom w:val="nil"/>
              <w:right w:val="nil"/>
            </w:tcBorders>
            <w:noWrap/>
            <w:tcMar>
              <w:top w:w="75" w:type="dxa"/>
              <w:left w:w="41" w:type="dxa"/>
              <w:bottom w:w="75" w:type="dxa"/>
              <w:right w:w="120"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(2)</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Relocations</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left"/>
              <w:rPr>
                <w:rFonts w:ascii="Arial" w:eastAsia="宋体" w:hAnsi="Arial" w:cs="Arial"/>
                <w:color w:val="000000"/>
                <w:kern w:val="0"/>
                <w:sz w:val="16"/>
                <w:szCs w:val="16"/>
              </w:rPr>
            </w:pPr>
          </w:p>
        </w:tc>
        <w:tc>
          <w:tcPr>
            <w:tcW w:w="0" w:type="auto"/>
            <w:tcBorders>
              <w:top w:val="nil"/>
              <w:left w:val="nil"/>
              <w:bottom w:val="nil"/>
              <w:right w:val="nil"/>
            </w:tcBorders>
            <w:noWrap/>
            <w:tcMar>
              <w:top w:w="75" w:type="dxa"/>
              <w:left w:w="41" w:type="dxa"/>
              <w:bottom w:w="75" w:type="dxa"/>
              <w:right w:w="120"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(1)</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left"/>
              <w:rPr>
                <w:rFonts w:ascii="Arial" w:eastAsia="宋体" w:hAnsi="Arial" w:cs="Arial"/>
                <w:color w:val="000000"/>
                <w:kern w:val="0"/>
                <w:sz w:val="16"/>
                <w:szCs w:val="16"/>
              </w:rPr>
            </w:pPr>
          </w:p>
        </w:tc>
        <w:tc>
          <w:tcPr>
            <w:tcW w:w="0" w:type="auto"/>
            <w:tcBorders>
              <w:top w:val="nil"/>
              <w:left w:val="nil"/>
              <w:bottom w:val="nil"/>
              <w:right w:val="nil"/>
            </w:tcBorders>
            <w:noWrap/>
            <w:tcMar>
              <w:top w:w="75" w:type="dxa"/>
              <w:left w:w="41" w:type="dxa"/>
              <w:bottom w:w="75" w:type="dxa"/>
              <w:right w:w="120"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(3)</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left"/>
              <w:rPr>
                <w:rFonts w:ascii="Arial" w:eastAsia="宋体" w:hAnsi="Arial" w:cs="Arial"/>
                <w:color w:val="000000"/>
                <w:kern w:val="0"/>
                <w:sz w:val="16"/>
                <w:szCs w:val="16"/>
              </w:rPr>
            </w:pPr>
          </w:p>
        </w:tc>
        <w:tc>
          <w:tcPr>
            <w:tcW w:w="0" w:type="auto"/>
            <w:tcBorders>
              <w:top w:val="nil"/>
              <w:left w:val="nil"/>
              <w:bottom w:val="nil"/>
              <w:right w:val="nil"/>
            </w:tcBorders>
            <w:noWrap/>
            <w:tcMar>
              <w:top w:w="75" w:type="dxa"/>
              <w:left w:w="41" w:type="dxa"/>
              <w:bottom w:w="75" w:type="dxa"/>
              <w:right w:w="120"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(1)</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left"/>
              <w:rPr>
                <w:rFonts w:ascii="Arial" w:eastAsia="宋体" w:hAnsi="Arial" w:cs="Arial"/>
                <w:color w:val="000000"/>
                <w:kern w:val="0"/>
                <w:sz w:val="16"/>
                <w:szCs w:val="16"/>
              </w:rPr>
            </w:pP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Total</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4,090</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left"/>
              <w:rPr>
                <w:rFonts w:ascii="Arial" w:eastAsia="宋体" w:hAnsi="Arial" w:cs="Arial"/>
                <w:color w:val="000000"/>
                <w:kern w:val="0"/>
                <w:sz w:val="16"/>
                <w:szCs w:val="16"/>
              </w:rPr>
            </w:pP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4,042</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left"/>
              <w:rPr>
                <w:rFonts w:ascii="Arial" w:eastAsia="宋体" w:hAnsi="Arial" w:cs="Arial"/>
                <w:color w:val="000000"/>
                <w:kern w:val="0"/>
                <w:sz w:val="16"/>
                <w:szCs w:val="16"/>
              </w:rPr>
            </w:pP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3,916</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left"/>
              <w:rPr>
                <w:rFonts w:ascii="Arial" w:eastAsia="宋体" w:hAnsi="Arial" w:cs="Arial"/>
                <w:color w:val="000000"/>
                <w:kern w:val="0"/>
                <w:sz w:val="16"/>
                <w:szCs w:val="16"/>
              </w:rPr>
            </w:pP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3,839</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left"/>
              <w:rPr>
                <w:rFonts w:ascii="Arial" w:eastAsia="宋体" w:hAnsi="Arial" w:cs="Arial"/>
                <w:color w:val="000000"/>
                <w:kern w:val="0"/>
                <w:sz w:val="16"/>
                <w:szCs w:val="16"/>
              </w:rPr>
            </w:pP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3,781</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Average restaurant sales</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        3,094</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left"/>
              <w:rPr>
                <w:rFonts w:ascii="Arial" w:eastAsia="宋体" w:hAnsi="Arial" w:cs="Arial"/>
                <w:color w:val="000000"/>
                <w:kern w:val="0"/>
                <w:sz w:val="16"/>
                <w:szCs w:val="16"/>
              </w:rPr>
            </w:pP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        3,104</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left"/>
              <w:rPr>
                <w:rFonts w:ascii="Arial" w:eastAsia="宋体" w:hAnsi="Arial" w:cs="Arial"/>
                <w:color w:val="000000"/>
                <w:kern w:val="0"/>
                <w:sz w:val="16"/>
                <w:szCs w:val="16"/>
              </w:rPr>
            </w:pP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        3,132</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left"/>
              <w:rPr>
                <w:rFonts w:ascii="Arial" w:eastAsia="宋体" w:hAnsi="Arial" w:cs="Arial"/>
                <w:color w:val="000000"/>
                <w:kern w:val="0"/>
                <w:sz w:val="16"/>
                <w:szCs w:val="16"/>
              </w:rPr>
            </w:pP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        3,142</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left"/>
              <w:rPr>
                <w:rFonts w:ascii="Arial" w:eastAsia="宋体" w:hAnsi="Arial" w:cs="Arial"/>
                <w:color w:val="000000"/>
                <w:kern w:val="0"/>
                <w:sz w:val="16"/>
                <w:szCs w:val="16"/>
              </w:rPr>
            </w:pP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       3,186</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Comparable restaurant sales increase/(decrease)</w:t>
            </w:r>
          </w:p>
        </w:tc>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0.5 %</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left"/>
              <w:rPr>
                <w:rFonts w:ascii="Arial" w:eastAsia="宋体" w:hAnsi="Arial" w:cs="Arial"/>
                <w:color w:val="000000"/>
                <w:kern w:val="0"/>
                <w:sz w:val="16"/>
                <w:szCs w:val="16"/>
              </w:rPr>
            </w:pPr>
          </w:p>
        </w:tc>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(2.5 %)</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left"/>
              <w:rPr>
                <w:rFonts w:ascii="Arial" w:eastAsia="宋体" w:hAnsi="Arial" w:cs="Arial"/>
                <w:color w:val="000000"/>
                <w:kern w:val="0"/>
                <w:sz w:val="16"/>
                <w:szCs w:val="16"/>
              </w:rPr>
            </w:pPr>
          </w:p>
        </w:tc>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0.3 %</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left"/>
              <w:rPr>
                <w:rFonts w:ascii="Arial" w:eastAsia="宋体" w:hAnsi="Arial" w:cs="Arial"/>
                <w:color w:val="000000"/>
                <w:kern w:val="0"/>
                <w:sz w:val="16"/>
                <w:szCs w:val="16"/>
              </w:rPr>
            </w:pPr>
          </w:p>
        </w:tc>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(4.0 %)</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left"/>
              <w:rPr>
                <w:rFonts w:ascii="Arial" w:eastAsia="宋体" w:hAnsi="Arial" w:cs="Arial"/>
                <w:color w:val="000000"/>
                <w:kern w:val="0"/>
                <w:sz w:val="16"/>
                <w:szCs w:val="16"/>
              </w:rPr>
            </w:pPr>
          </w:p>
        </w:tc>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(0.4 %)</w:t>
            </w:r>
          </w:p>
        </w:tc>
      </w:tr>
    </w:tbl>
    <w:p w:rsidR="00384CED" w:rsidRPr="00384CED" w:rsidRDefault="00384CED" w:rsidP="00384CED">
      <w:pPr>
        <w:widowControl/>
        <w:shd w:val="clear" w:color="auto" w:fill="FFFFFF"/>
        <w:spacing w:after="180"/>
        <w:jc w:val="left"/>
        <w:rPr>
          <w:rFonts w:ascii="Helvetica" w:eastAsia="宋体" w:hAnsi="Helvetica" w:cs="Helvetica"/>
          <w:color w:val="54392D"/>
          <w:kern w:val="0"/>
          <w:sz w:val="24"/>
          <w:szCs w:val="24"/>
        </w:rPr>
      </w:pPr>
      <w:r w:rsidRPr="00384CED">
        <w:rPr>
          <w:rFonts w:ascii="Helvetica" w:eastAsia="宋体" w:hAnsi="Helvetica" w:cs="Helvetica"/>
          <w:color w:val="54392D"/>
          <w:kern w:val="0"/>
          <w:sz w:val="24"/>
          <w:szCs w:val="24"/>
        </w:rPr>
        <w:t> </w:t>
      </w:r>
    </w:p>
    <w:tbl>
      <w:tblPr>
        <w:tblW w:w="0" w:type="auto"/>
        <w:tblCellMar>
          <w:top w:w="15" w:type="dxa"/>
          <w:left w:w="15" w:type="dxa"/>
          <w:bottom w:w="15" w:type="dxa"/>
          <w:right w:w="15" w:type="dxa"/>
        </w:tblCellMar>
        <w:tblLook w:val="04A0" w:firstRow="1" w:lastRow="0" w:firstColumn="1" w:lastColumn="0" w:noHBand="0" w:noVBand="1"/>
      </w:tblPr>
      <w:tblGrid>
        <w:gridCol w:w="1198"/>
        <w:gridCol w:w="1382"/>
        <w:gridCol w:w="127"/>
        <w:gridCol w:w="1285"/>
        <w:gridCol w:w="127"/>
        <w:gridCol w:w="1266"/>
        <w:gridCol w:w="127"/>
        <w:gridCol w:w="1285"/>
        <w:gridCol w:w="127"/>
        <w:gridCol w:w="1382"/>
      </w:tblGrid>
      <w:tr w:rsidR="00384CED" w:rsidRPr="00384CED" w:rsidTr="00384CED">
        <w:tc>
          <w:tcPr>
            <w:tcW w:w="0" w:type="auto"/>
            <w:gridSpan w:val="10"/>
            <w:tcBorders>
              <w:top w:val="nil"/>
              <w:left w:val="nil"/>
              <w:bottom w:val="nil"/>
              <w:right w:val="nil"/>
            </w:tcBorders>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The following table details partner-operated restaurant unit data for the periods indicated:</w:t>
            </w:r>
          </w:p>
        </w:tc>
      </w:tr>
      <w:tr w:rsidR="00384CED" w:rsidRPr="00384CED" w:rsidTr="00384CED">
        <w:tc>
          <w:tcPr>
            <w:tcW w:w="0" w:type="auto"/>
            <w:gridSpan w:val="10"/>
            <w:tcBorders>
              <w:top w:val="nil"/>
              <w:left w:val="nil"/>
              <w:bottom w:val="nil"/>
              <w:right w:val="nil"/>
            </w:tcBorders>
            <w:tcMar>
              <w:top w:w="75" w:type="dxa"/>
              <w:left w:w="41" w:type="dxa"/>
              <w:bottom w:w="75" w:type="dxa"/>
              <w:right w:w="41" w:type="dxa"/>
            </w:tcMar>
            <w:vAlign w:val="bottom"/>
            <w:hideMark/>
          </w:tcPr>
          <w:p w:rsidR="00384CED" w:rsidRPr="00384CED" w:rsidRDefault="00384CED" w:rsidP="00384CED">
            <w:pPr>
              <w:widowControl/>
              <w:jc w:val="center"/>
              <w:rPr>
                <w:rFonts w:ascii="宋体" w:eastAsia="宋体" w:hAnsi="宋体" w:cs="宋体"/>
                <w:kern w:val="0"/>
                <w:sz w:val="24"/>
                <w:szCs w:val="24"/>
              </w:rPr>
            </w:pP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jc w:val="center"/>
              <w:rPr>
                <w:rFonts w:ascii="宋体" w:eastAsia="宋体" w:hAnsi="宋体" w:cs="宋体"/>
                <w:kern w:val="0"/>
                <w:sz w:val="24"/>
                <w:szCs w:val="24"/>
              </w:rPr>
            </w:pPr>
          </w:p>
        </w:tc>
        <w:tc>
          <w:tcPr>
            <w:tcW w:w="0" w:type="auto"/>
            <w:gridSpan w:val="9"/>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center"/>
              <w:rPr>
                <w:rFonts w:ascii="宋体" w:eastAsia="宋体" w:hAnsi="宋体" w:cs="宋体"/>
                <w:kern w:val="0"/>
                <w:sz w:val="24"/>
                <w:szCs w:val="24"/>
              </w:rPr>
            </w:pPr>
            <w:r w:rsidRPr="00384CED">
              <w:rPr>
                <w:rFonts w:ascii="inherit" w:eastAsia="宋体" w:hAnsi="inherit" w:cs="宋体"/>
                <w:b/>
                <w:bCs/>
                <w:color w:val="000000"/>
                <w:kern w:val="0"/>
                <w:sz w:val="24"/>
                <w:szCs w:val="24"/>
              </w:rPr>
              <w:t>For the three months ended</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jc w:val="center"/>
              <w:rPr>
                <w:rFonts w:ascii="宋体" w:eastAsia="宋体" w:hAnsi="宋体" w:cs="宋体"/>
                <w:kern w:val="0"/>
                <w:sz w:val="24"/>
                <w:szCs w:val="24"/>
              </w:rPr>
            </w:pPr>
          </w:p>
        </w:tc>
        <w:tc>
          <w:tcPr>
            <w:tcW w:w="0" w:type="auto"/>
            <w:tcBorders>
              <w:top w:val="nil"/>
              <w:left w:val="nil"/>
              <w:bottom w:val="single" w:sz="4" w:space="0" w:color="000000"/>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center"/>
              <w:rPr>
                <w:rFonts w:ascii="宋体" w:eastAsia="宋体" w:hAnsi="宋体" w:cs="宋体"/>
                <w:kern w:val="0"/>
                <w:sz w:val="24"/>
                <w:szCs w:val="24"/>
              </w:rPr>
            </w:pPr>
            <w:r w:rsidRPr="00384CED">
              <w:rPr>
                <w:rFonts w:ascii="inherit" w:eastAsia="宋体" w:hAnsi="inherit" w:cs="宋体"/>
                <w:b/>
                <w:bCs/>
                <w:color w:val="000000"/>
                <w:kern w:val="0"/>
                <w:sz w:val="24"/>
                <w:szCs w:val="24"/>
              </w:rPr>
              <w:t>Mar. 31,</w:t>
            </w:r>
            <w:r w:rsidRPr="00384CED">
              <w:rPr>
                <w:rFonts w:ascii="inherit" w:eastAsia="宋体" w:hAnsi="inherit" w:cs="宋体"/>
                <w:color w:val="000000"/>
                <w:kern w:val="0"/>
                <w:sz w:val="24"/>
                <w:szCs w:val="24"/>
              </w:rPr>
              <w:br/>
            </w:r>
            <w:r w:rsidRPr="00384CED">
              <w:rPr>
                <w:rFonts w:ascii="inherit" w:eastAsia="宋体" w:hAnsi="inherit" w:cs="宋体"/>
                <w:b/>
                <w:bCs/>
                <w:color w:val="000000"/>
                <w:kern w:val="0"/>
                <w:sz w:val="24"/>
                <w:szCs w:val="24"/>
              </w:rPr>
              <w:t>2026</w:t>
            </w:r>
          </w:p>
        </w:tc>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jc w:val="center"/>
              <w:rPr>
                <w:rFonts w:ascii="宋体" w:eastAsia="宋体" w:hAnsi="宋体" w:cs="宋体"/>
                <w:kern w:val="0"/>
                <w:sz w:val="24"/>
                <w:szCs w:val="24"/>
              </w:rPr>
            </w:pPr>
          </w:p>
        </w:tc>
        <w:tc>
          <w:tcPr>
            <w:tcW w:w="0" w:type="auto"/>
            <w:tcBorders>
              <w:top w:val="nil"/>
              <w:left w:val="nil"/>
              <w:bottom w:val="single" w:sz="4" w:space="0" w:color="000000"/>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center"/>
              <w:rPr>
                <w:rFonts w:ascii="宋体" w:eastAsia="宋体" w:hAnsi="宋体" w:cs="宋体"/>
                <w:kern w:val="0"/>
                <w:sz w:val="24"/>
                <w:szCs w:val="24"/>
              </w:rPr>
            </w:pPr>
            <w:r w:rsidRPr="00384CED">
              <w:rPr>
                <w:rFonts w:ascii="inherit" w:eastAsia="宋体" w:hAnsi="inherit" w:cs="宋体"/>
                <w:b/>
                <w:bCs/>
                <w:color w:val="000000"/>
                <w:kern w:val="0"/>
                <w:sz w:val="24"/>
                <w:szCs w:val="24"/>
              </w:rPr>
              <w:t>Dec. 31,</w:t>
            </w:r>
            <w:r w:rsidRPr="00384CED">
              <w:rPr>
                <w:rFonts w:ascii="inherit" w:eastAsia="宋体" w:hAnsi="inherit" w:cs="宋体"/>
                <w:color w:val="000000"/>
                <w:kern w:val="0"/>
                <w:sz w:val="24"/>
                <w:szCs w:val="24"/>
              </w:rPr>
              <w:br/>
            </w:r>
            <w:r w:rsidRPr="00384CED">
              <w:rPr>
                <w:rFonts w:ascii="inherit" w:eastAsia="宋体" w:hAnsi="inherit" w:cs="宋体"/>
                <w:b/>
                <w:bCs/>
                <w:color w:val="000000"/>
                <w:kern w:val="0"/>
                <w:sz w:val="24"/>
                <w:szCs w:val="24"/>
              </w:rPr>
              <w:t>2025</w:t>
            </w:r>
          </w:p>
        </w:tc>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jc w:val="center"/>
              <w:rPr>
                <w:rFonts w:ascii="宋体" w:eastAsia="宋体" w:hAnsi="宋体" w:cs="宋体"/>
                <w:kern w:val="0"/>
                <w:sz w:val="24"/>
                <w:szCs w:val="24"/>
              </w:rPr>
            </w:pPr>
          </w:p>
        </w:tc>
        <w:tc>
          <w:tcPr>
            <w:tcW w:w="0" w:type="auto"/>
            <w:tcBorders>
              <w:top w:val="nil"/>
              <w:left w:val="nil"/>
              <w:bottom w:val="single" w:sz="4" w:space="0" w:color="000000"/>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center"/>
              <w:rPr>
                <w:rFonts w:ascii="宋体" w:eastAsia="宋体" w:hAnsi="宋体" w:cs="宋体"/>
                <w:kern w:val="0"/>
                <w:sz w:val="24"/>
                <w:szCs w:val="24"/>
              </w:rPr>
            </w:pPr>
            <w:r w:rsidRPr="00384CED">
              <w:rPr>
                <w:rFonts w:ascii="inherit" w:eastAsia="宋体" w:hAnsi="inherit" w:cs="宋体"/>
                <w:b/>
                <w:bCs/>
                <w:color w:val="000000"/>
                <w:kern w:val="0"/>
                <w:sz w:val="24"/>
                <w:szCs w:val="24"/>
              </w:rPr>
              <w:t>Sep. 30,</w:t>
            </w:r>
            <w:r w:rsidRPr="00384CED">
              <w:rPr>
                <w:rFonts w:ascii="inherit" w:eastAsia="宋体" w:hAnsi="inherit" w:cs="宋体"/>
                <w:color w:val="000000"/>
                <w:kern w:val="0"/>
                <w:sz w:val="24"/>
                <w:szCs w:val="24"/>
              </w:rPr>
              <w:br/>
            </w:r>
            <w:r w:rsidRPr="00384CED">
              <w:rPr>
                <w:rFonts w:ascii="inherit" w:eastAsia="宋体" w:hAnsi="inherit" w:cs="宋体"/>
                <w:b/>
                <w:bCs/>
                <w:color w:val="000000"/>
                <w:kern w:val="0"/>
                <w:sz w:val="24"/>
                <w:szCs w:val="24"/>
              </w:rPr>
              <w:t>2025</w:t>
            </w:r>
          </w:p>
        </w:tc>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jc w:val="center"/>
              <w:rPr>
                <w:rFonts w:ascii="宋体" w:eastAsia="宋体" w:hAnsi="宋体" w:cs="宋体"/>
                <w:kern w:val="0"/>
                <w:sz w:val="24"/>
                <w:szCs w:val="24"/>
              </w:rPr>
            </w:pPr>
          </w:p>
        </w:tc>
        <w:tc>
          <w:tcPr>
            <w:tcW w:w="0" w:type="auto"/>
            <w:tcBorders>
              <w:top w:val="nil"/>
              <w:left w:val="nil"/>
              <w:bottom w:val="single" w:sz="4" w:space="0" w:color="000000"/>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center"/>
              <w:rPr>
                <w:rFonts w:ascii="宋体" w:eastAsia="宋体" w:hAnsi="宋体" w:cs="宋体"/>
                <w:kern w:val="0"/>
                <w:sz w:val="24"/>
                <w:szCs w:val="24"/>
              </w:rPr>
            </w:pPr>
            <w:r w:rsidRPr="00384CED">
              <w:rPr>
                <w:rFonts w:ascii="inherit" w:eastAsia="宋体" w:hAnsi="inherit" w:cs="宋体"/>
                <w:b/>
                <w:bCs/>
                <w:color w:val="000000"/>
                <w:kern w:val="0"/>
                <w:sz w:val="24"/>
                <w:szCs w:val="24"/>
              </w:rPr>
              <w:t>Jun. 30,</w:t>
            </w:r>
            <w:r w:rsidRPr="00384CED">
              <w:rPr>
                <w:rFonts w:ascii="inherit" w:eastAsia="宋体" w:hAnsi="inherit" w:cs="宋体"/>
                <w:color w:val="000000"/>
                <w:kern w:val="0"/>
                <w:sz w:val="24"/>
                <w:szCs w:val="24"/>
              </w:rPr>
              <w:br/>
            </w:r>
            <w:r w:rsidRPr="00384CED">
              <w:rPr>
                <w:rFonts w:ascii="inherit" w:eastAsia="宋体" w:hAnsi="inherit" w:cs="宋体"/>
                <w:b/>
                <w:bCs/>
                <w:color w:val="000000"/>
                <w:kern w:val="0"/>
                <w:sz w:val="24"/>
                <w:szCs w:val="24"/>
              </w:rPr>
              <w:t>2025</w:t>
            </w:r>
          </w:p>
        </w:tc>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jc w:val="center"/>
              <w:rPr>
                <w:rFonts w:ascii="宋体" w:eastAsia="宋体" w:hAnsi="宋体" w:cs="宋体"/>
                <w:kern w:val="0"/>
                <w:sz w:val="24"/>
                <w:szCs w:val="24"/>
              </w:rPr>
            </w:pPr>
          </w:p>
        </w:tc>
        <w:tc>
          <w:tcPr>
            <w:tcW w:w="0" w:type="auto"/>
            <w:tcBorders>
              <w:top w:val="nil"/>
              <w:left w:val="nil"/>
              <w:bottom w:val="single" w:sz="4" w:space="0" w:color="000000"/>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center"/>
              <w:rPr>
                <w:rFonts w:ascii="宋体" w:eastAsia="宋体" w:hAnsi="宋体" w:cs="宋体"/>
                <w:kern w:val="0"/>
                <w:sz w:val="24"/>
                <w:szCs w:val="24"/>
              </w:rPr>
            </w:pPr>
            <w:r w:rsidRPr="00384CED">
              <w:rPr>
                <w:rFonts w:ascii="inherit" w:eastAsia="宋体" w:hAnsi="inherit" w:cs="宋体"/>
                <w:b/>
                <w:bCs/>
                <w:color w:val="000000"/>
                <w:kern w:val="0"/>
                <w:sz w:val="24"/>
                <w:szCs w:val="24"/>
              </w:rPr>
              <w:t>Mar. 31,</w:t>
            </w:r>
            <w:r w:rsidRPr="00384CED">
              <w:rPr>
                <w:rFonts w:ascii="inherit" w:eastAsia="宋体" w:hAnsi="inherit" w:cs="宋体"/>
                <w:color w:val="000000"/>
                <w:kern w:val="0"/>
                <w:sz w:val="24"/>
                <w:szCs w:val="24"/>
              </w:rPr>
              <w:br/>
            </w:r>
            <w:r w:rsidRPr="00384CED">
              <w:rPr>
                <w:rFonts w:ascii="inherit" w:eastAsia="宋体" w:hAnsi="inherit" w:cs="宋体"/>
                <w:b/>
                <w:bCs/>
                <w:color w:val="000000"/>
                <w:kern w:val="0"/>
                <w:sz w:val="24"/>
                <w:szCs w:val="24"/>
              </w:rPr>
              <w:t>2025</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Opened</w:t>
            </w:r>
          </w:p>
        </w:tc>
        <w:tc>
          <w:tcPr>
            <w:tcW w:w="0" w:type="auto"/>
            <w:tcBorders>
              <w:top w:val="single" w:sz="4" w:space="0" w:color="000000"/>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w:t>
            </w:r>
          </w:p>
        </w:tc>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7</w:t>
            </w:r>
          </w:p>
        </w:tc>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2</w:t>
            </w:r>
          </w:p>
        </w:tc>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w:t>
            </w:r>
          </w:p>
        </w:tc>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2</w:t>
            </w:r>
          </w:p>
        </w:tc>
      </w:tr>
      <w:tr w:rsidR="00384CED" w:rsidRPr="00384CED" w:rsidTr="00384CED">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Total</w:t>
            </w:r>
          </w:p>
        </w:tc>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14</w:t>
            </w:r>
          </w:p>
        </w:tc>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14</w:t>
            </w:r>
          </w:p>
        </w:tc>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7</w:t>
            </w:r>
          </w:p>
        </w:tc>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5</w:t>
            </w:r>
          </w:p>
        </w:tc>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5</w:t>
            </w:r>
          </w:p>
        </w:tc>
      </w:tr>
    </w:tbl>
    <w:p w:rsidR="00384CED" w:rsidRPr="00384CED" w:rsidRDefault="00384CED" w:rsidP="00384CED">
      <w:pPr>
        <w:widowControl/>
        <w:shd w:val="clear" w:color="auto" w:fill="FFFFFF"/>
        <w:spacing w:after="180"/>
        <w:jc w:val="center"/>
        <w:rPr>
          <w:rFonts w:ascii="Helvetica" w:eastAsia="宋体" w:hAnsi="Helvetica" w:cs="Helvetica"/>
          <w:color w:val="54392D"/>
          <w:kern w:val="0"/>
          <w:sz w:val="24"/>
          <w:szCs w:val="24"/>
        </w:rPr>
      </w:pPr>
      <w:r w:rsidRPr="00384CED">
        <w:rPr>
          <w:rFonts w:ascii="Helvetica" w:eastAsia="宋体" w:hAnsi="Helvetica" w:cs="Helvetica"/>
          <w:b/>
          <w:bCs/>
          <w:color w:val="54392D"/>
          <w:kern w:val="0"/>
          <w:sz w:val="24"/>
          <w:szCs w:val="24"/>
        </w:rPr>
        <w:t>CHIPOTLE MEXICAN GRILL, INC</w:t>
      </w:r>
      <w:proofErr w:type="gramStart"/>
      <w:r w:rsidRPr="00384CED">
        <w:rPr>
          <w:rFonts w:ascii="Helvetica" w:eastAsia="宋体" w:hAnsi="Helvetica" w:cs="Helvetica"/>
          <w:b/>
          <w:bCs/>
          <w:color w:val="54392D"/>
          <w:kern w:val="0"/>
          <w:sz w:val="24"/>
          <w:szCs w:val="24"/>
        </w:rPr>
        <w:t>.</w:t>
      </w:r>
      <w:proofErr w:type="gramEnd"/>
      <w:r w:rsidRPr="00384CED">
        <w:rPr>
          <w:rFonts w:ascii="Helvetica" w:eastAsia="宋体" w:hAnsi="Helvetica" w:cs="Helvetica"/>
          <w:b/>
          <w:bCs/>
          <w:color w:val="54392D"/>
          <w:kern w:val="0"/>
          <w:sz w:val="24"/>
          <w:szCs w:val="24"/>
        </w:rPr>
        <w:br/>
        <w:t>RECONCILIATION OF NON-GAAP FINANCIAL MEASURES</w:t>
      </w:r>
    </w:p>
    <w:p w:rsidR="00384CED" w:rsidRPr="00384CED" w:rsidRDefault="00384CED" w:rsidP="00384CED">
      <w:pPr>
        <w:widowControl/>
        <w:shd w:val="clear" w:color="auto" w:fill="FFFFFF"/>
        <w:spacing w:after="180"/>
        <w:jc w:val="left"/>
        <w:rPr>
          <w:rFonts w:ascii="Helvetica" w:eastAsia="宋体" w:hAnsi="Helvetica" w:cs="Helvetica"/>
          <w:color w:val="54392D"/>
          <w:kern w:val="0"/>
          <w:sz w:val="24"/>
          <w:szCs w:val="24"/>
        </w:rPr>
      </w:pPr>
      <w:r w:rsidRPr="00384CED">
        <w:rPr>
          <w:rFonts w:ascii="Helvetica" w:eastAsia="宋体" w:hAnsi="Helvetica" w:cs="Helvetica"/>
          <w:color w:val="54392D"/>
          <w:kern w:val="0"/>
          <w:sz w:val="24"/>
          <w:szCs w:val="24"/>
        </w:rPr>
        <w:t>Below are definitions of the non-GAAP financial measures in this release. The following tables provide a reconciliation of non-GAAP financial measures presented in this release to the most directly comparable financial measures calculated and presented in accordance with GAAP.</w:t>
      </w:r>
    </w:p>
    <w:p w:rsidR="00384CED" w:rsidRPr="00384CED" w:rsidRDefault="00384CED" w:rsidP="00384CED">
      <w:pPr>
        <w:widowControl/>
        <w:shd w:val="clear" w:color="auto" w:fill="FFFFFF"/>
        <w:spacing w:after="180"/>
        <w:jc w:val="left"/>
        <w:rPr>
          <w:rFonts w:ascii="Helvetica" w:eastAsia="宋体" w:hAnsi="Helvetica" w:cs="Helvetica"/>
          <w:color w:val="54392D"/>
          <w:kern w:val="0"/>
          <w:sz w:val="24"/>
          <w:szCs w:val="24"/>
        </w:rPr>
      </w:pPr>
      <w:r w:rsidRPr="00384CED">
        <w:rPr>
          <w:rFonts w:ascii="Helvetica" w:eastAsia="宋体" w:hAnsi="Helvetica" w:cs="Helvetica"/>
          <w:color w:val="54392D"/>
          <w:kern w:val="0"/>
          <w:sz w:val="24"/>
          <w:szCs w:val="24"/>
        </w:rPr>
        <w:t>Adjusted net income is net income excluding certain legal proceedings, restructuring expenses and stock-based compensation retention.</w:t>
      </w:r>
    </w:p>
    <w:p w:rsidR="00384CED" w:rsidRPr="00384CED" w:rsidRDefault="00384CED" w:rsidP="00384CED">
      <w:pPr>
        <w:widowControl/>
        <w:shd w:val="clear" w:color="auto" w:fill="FFFFFF"/>
        <w:spacing w:after="180"/>
        <w:jc w:val="left"/>
        <w:rPr>
          <w:rFonts w:ascii="Helvetica" w:eastAsia="宋体" w:hAnsi="Helvetica" w:cs="Helvetica"/>
          <w:color w:val="54392D"/>
          <w:kern w:val="0"/>
          <w:sz w:val="24"/>
          <w:szCs w:val="24"/>
        </w:rPr>
      </w:pPr>
      <w:r w:rsidRPr="00384CED">
        <w:rPr>
          <w:rFonts w:ascii="Helvetica" w:eastAsia="宋体" w:hAnsi="Helvetica" w:cs="Helvetica"/>
          <w:color w:val="54392D"/>
          <w:kern w:val="0"/>
          <w:sz w:val="24"/>
          <w:szCs w:val="24"/>
        </w:rPr>
        <w:t>Adjusted labor is labor expense excluding expenses related to certain legal proceedings.</w:t>
      </w:r>
    </w:p>
    <w:p w:rsidR="00384CED" w:rsidRPr="00384CED" w:rsidRDefault="00384CED" w:rsidP="00384CED">
      <w:pPr>
        <w:widowControl/>
        <w:shd w:val="clear" w:color="auto" w:fill="FFFFFF"/>
        <w:spacing w:after="180"/>
        <w:jc w:val="left"/>
        <w:rPr>
          <w:rFonts w:ascii="Helvetica" w:eastAsia="宋体" w:hAnsi="Helvetica" w:cs="Helvetica"/>
          <w:color w:val="54392D"/>
          <w:kern w:val="0"/>
          <w:sz w:val="24"/>
          <w:szCs w:val="24"/>
        </w:rPr>
      </w:pPr>
      <w:r w:rsidRPr="00384CED">
        <w:rPr>
          <w:rFonts w:ascii="Helvetica" w:eastAsia="宋体" w:hAnsi="Helvetica" w:cs="Helvetica"/>
          <w:color w:val="54392D"/>
          <w:kern w:val="0"/>
          <w:sz w:val="24"/>
          <w:szCs w:val="24"/>
        </w:rPr>
        <w:t>Adjusted general and administrative expense is general and administrative expense excluding expenses related to restructuring, certain legal proceedings, and stock-based compensation retention.</w:t>
      </w:r>
    </w:p>
    <w:p w:rsidR="00384CED" w:rsidRPr="00384CED" w:rsidRDefault="00384CED" w:rsidP="00384CED">
      <w:pPr>
        <w:widowControl/>
        <w:shd w:val="clear" w:color="auto" w:fill="FFFFFF"/>
        <w:spacing w:after="180"/>
        <w:jc w:val="left"/>
        <w:rPr>
          <w:rFonts w:ascii="Helvetica" w:eastAsia="宋体" w:hAnsi="Helvetica" w:cs="Helvetica"/>
          <w:color w:val="54392D"/>
          <w:kern w:val="0"/>
          <w:sz w:val="24"/>
          <w:szCs w:val="24"/>
        </w:rPr>
      </w:pPr>
      <w:r w:rsidRPr="00384CED">
        <w:rPr>
          <w:rFonts w:ascii="Helvetica" w:eastAsia="宋体" w:hAnsi="Helvetica" w:cs="Helvetica"/>
          <w:color w:val="54392D"/>
          <w:kern w:val="0"/>
          <w:sz w:val="24"/>
          <w:szCs w:val="24"/>
        </w:rPr>
        <w:t>The adjusted effective income tax rate is the effective income tax rate adjusted to reflect the after-tax impact of non-GAAP adjustments.</w:t>
      </w:r>
    </w:p>
    <w:p w:rsidR="00384CED" w:rsidRPr="00384CED" w:rsidRDefault="00384CED" w:rsidP="00384CED">
      <w:pPr>
        <w:widowControl/>
        <w:shd w:val="clear" w:color="auto" w:fill="FFFFFF"/>
        <w:spacing w:after="180"/>
        <w:jc w:val="left"/>
        <w:rPr>
          <w:rFonts w:ascii="Helvetica" w:eastAsia="宋体" w:hAnsi="Helvetica" w:cs="Helvetica"/>
          <w:color w:val="54392D"/>
          <w:kern w:val="0"/>
          <w:sz w:val="24"/>
          <w:szCs w:val="24"/>
        </w:rPr>
      </w:pPr>
      <w:r w:rsidRPr="00384CED">
        <w:rPr>
          <w:rFonts w:ascii="Helvetica" w:eastAsia="宋体" w:hAnsi="Helvetica" w:cs="Helvetica"/>
          <w:color w:val="54392D"/>
          <w:kern w:val="0"/>
          <w:sz w:val="24"/>
          <w:szCs w:val="24"/>
        </w:rPr>
        <w:t>Restaurant level operating margin is equal to the revenues generated by our restaurants less direct restaurant operating costs, which consist of food, beverage and packaging, labor, occupancy and other operating costs, expressed as a percent of total revenue. This performance measure primarily includes the costs that restaurant level managers can directly control and excludes other costs that are essential to conduct our business. Management uses restaurant level operating margin as a measure of restaurant performance. Management believes restaurant level operating margin is useful because it highlights trends in our core business that may not otherwise be apparent when relying solely on GAAP financial measures.</w:t>
      </w:r>
    </w:p>
    <w:p w:rsidR="00384CED" w:rsidRPr="00384CED" w:rsidRDefault="00384CED" w:rsidP="00384CED">
      <w:pPr>
        <w:widowControl/>
        <w:shd w:val="clear" w:color="auto" w:fill="FFFFFF"/>
        <w:spacing w:after="180"/>
        <w:jc w:val="left"/>
        <w:rPr>
          <w:rFonts w:ascii="Helvetica" w:eastAsia="宋体" w:hAnsi="Helvetica" w:cs="Helvetica"/>
          <w:color w:val="54392D"/>
          <w:kern w:val="0"/>
          <w:sz w:val="24"/>
          <w:szCs w:val="24"/>
        </w:rPr>
      </w:pPr>
      <w:r w:rsidRPr="00384CED">
        <w:rPr>
          <w:rFonts w:ascii="Helvetica" w:eastAsia="宋体" w:hAnsi="Helvetica" w:cs="Helvetica"/>
          <w:color w:val="54392D"/>
          <w:kern w:val="0"/>
          <w:sz w:val="24"/>
          <w:szCs w:val="24"/>
        </w:rPr>
        <w:t>Adjusted restaurant level operating margin is equal to the restaurant level operating margin excluding certain legal proceedings, expressed as a percent of total revenue. Management uses adjusted restaurant level operating margin as a measure of restaurant performance. Management believes adjusted restaurant level operating margin is useful because it highlights trends in our core business that may not otherwise be apparent when relying solely on GAAP financial measures.</w:t>
      </w:r>
    </w:p>
    <w:p w:rsidR="00384CED" w:rsidRPr="00384CED" w:rsidRDefault="00384CED" w:rsidP="00384CED">
      <w:pPr>
        <w:widowControl/>
        <w:shd w:val="clear" w:color="auto" w:fill="FFFFFF"/>
        <w:spacing w:after="180"/>
        <w:jc w:val="left"/>
        <w:rPr>
          <w:rFonts w:ascii="Helvetica" w:eastAsia="宋体" w:hAnsi="Helvetica" w:cs="Helvetica"/>
          <w:color w:val="54392D"/>
          <w:kern w:val="0"/>
          <w:sz w:val="24"/>
          <w:szCs w:val="24"/>
        </w:rPr>
      </w:pPr>
      <w:r w:rsidRPr="00384CED">
        <w:rPr>
          <w:rFonts w:ascii="Helvetica" w:eastAsia="宋体" w:hAnsi="Helvetica" w:cs="Helvetica"/>
          <w:color w:val="54392D"/>
          <w:kern w:val="0"/>
          <w:sz w:val="24"/>
          <w:szCs w:val="24"/>
        </w:rPr>
        <w:t>We present these non-GAAP measures to facilitate a meaningful evaluation of our operating performance across periods. These adjustments are intended to provide greater transparency of underlying performance and to allow investors to evaluate our business on the same basis as management, which uses these non-GAAP measures in evaluating our performance.</w:t>
      </w:r>
    </w:p>
    <w:p w:rsidR="00384CED" w:rsidRPr="00384CED" w:rsidRDefault="00384CED" w:rsidP="00384CED">
      <w:pPr>
        <w:widowControl/>
        <w:shd w:val="clear" w:color="auto" w:fill="FFFFFF"/>
        <w:spacing w:after="180"/>
        <w:jc w:val="left"/>
        <w:rPr>
          <w:rFonts w:ascii="Helvetica" w:eastAsia="宋体" w:hAnsi="Helvetica" w:cs="Helvetica"/>
          <w:color w:val="54392D"/>
          <w:kern w:val="0"/>
          <w:sz w:val="24"/>
          <w:szCs w:val="24"/>
        </w:rPr>
      </w:pPr>
      <w:r w:rsidRPr="00384CED">
        <w:rPr>
          <w:rFonts w:ascii="Helvetica" w:eastAsia="宋体" w:hAnsi="Helvetica" w:cs="Helvetica"/>
          <w:color w:val="54392D"/>
          <w:kern w:val="0"/>
          <w:sz w:val="24"/>
          <w:szCs w:val="24"/>
        </w:rPr>
        <w:t>Our adjusted net income, adjusted diluted earnings per share, adjusted labor expenses, adjusted general and administrative expenses, adjusted effective income tax rate, restaurant level operating margin, and adjusted restaurant level operating margin measures may not be comparable to other companies' adjusted measures. These adjustments are not necessarily indicative of what our actual financial performance would have been during the periods presented and should be viewed in addition to, and not as an alternative to, our results prepared in accordance with GAAP. Further details regarding these adjustments are included in the tables below.</w:t>
      </w:r>
    </w:p>
    <w:p w:rsidR="00384CED" w:rsidRPr="00384CED" w:rsidRDefault="00384CED" w:rsidP="00384CED">
      <w:pPr>
        <w:widowControl/>
        <w:shd w:val="clear" w:color="auto" w:fill="FFFFFF"/>
        <w:spacing w:after="180"/>
        <w:jc w:val="left"/>
        <w:rPr>
          <w:rFonts w:ascii="Helvetica" w:eastAsia="宋体" w:hAnsi="Helvetica" w:cs="Helvetica"/>
          <w:color w:val="54392D"/>
          <w:kern w:val="0"/>
          <w:sz w:val="24"/>
          <w:szCs w:val="24"/>
        </w:rPr>
      </w:pPr>
      <w:r w:rsidRPr="00384CED">
        <w:rPr>
          <w:rFonts w:ascii="Helvetica" w:eastAsia="宋体" w:hAnsi="Helvetica" w:cs="Helvetica"/>
          <w:color w:val="54392D"/>
          <w:kern w:val="0"/>
          <w:sz w:val="24"/>
          <w:szCs w:val="24"/>
        </w:rPr>
        <w:t> </w:t>
      </w:r>
    </w:p>
    <w:tbl>
      <w:tblPr>
        <w:tblW w:w="0" w:type="auto"/>
        <w:tblCellMar>
          <w:top w:w="15" w:type="dxa"/>
          <w:left w:w="15" w:type="dxa"/>
          <w:bottom w:w="15" w:type="dxa"/>
          <w:right w:w="15" w:type="dxa"/>
        </w:tblCellMar>
        <w:tblLook w:val="04A0" w:firstRow="1" w:lastRow="0" w:firstColumn="1" w:lastColumn="0" w:noHBand="0" w:noVBand="1"/>
      </w:tblPr>
      <w:tblGrid>
        <w:gridCol w:w="362"/>
        <w:gridCol w:w="5329"/>
        <w:gridCol w:w="1245"/>
        <w:gridCol w:w="125"/>
        <w:gridCol w:w="1245"/>
      </w:tblGrid>
      <w:tr w:rsidR="00384CED" w:rsidRPr="00384CED" w:rsidTr="00384CED">
        <w:tc>
          <w:tcPr>
            <w:tcW w:w="0" w:type="auto"/>
            <w:gridSpan w:val="5"/>
            <w:tcBorders>
              <w:top w:val="nil"/>
              <w:left w:val="nil"/>
              <w:bottom w:val="nil"/>
              <w:right w:val="nil"/>
            </w:tcBorders>
            <w:tcMar>
              <w:top w:w="75" w:type="dxa"/>
              <w:left w:w="41" w:type="dxa"/>
              <w:bottom w:w="75" w:type="dxa"/>
              <w:right w:w="41" w:type="dxa"/>
            </w:tcMar>
            <w:vAlign w:val="bottom"/>
            <w:hideMark/>
          </w:tcPr>
          <w:p w:rsidR="00384CED" w:rsidRPr="00384CED" w:rsidRDefault="00384CED" w:rsidP="00384CED">
            <w:pPr>
              <w:widowControl/>
              <w:spacing w:after="180"/>
              <w:jc w:val="center"/>
              <w:rPr>
                <w:rFonts w:ascii="宋体" w:eastAsia="宋体" w:hAnsi="宋体" w:cs="宋体"/>
                <w:kern w:val="0"/>
                <w:sz w:val="24"/>
                <w:szCs w:val="24"/>
              </w:rPr>
            </w:pPr>
            <w:r w:rsidRPr="00384CED">
              <w:rPr>
                <w:rFonts w:ascii="inherit" w:eastAsia="宋体" w:hAnsi="inherit" w:cs="宋体"/>
                <w:b/>
                <w:bCs/>
                <w:color w:val="000000"/>
                <w:kern w:val="0"/>
                <w:sz w:val="24"/>
                <w:szCs w:val="24"/>
              </w:rPr>
              <w:t>CHIPOTLE MEXICAN GRILL, INC.</w:t>
            </w:r>
          </w:p>
          <w:p w:rsidR="00384CED" w:rsidRPr="00384CED" w:rsidRDefault="00384CED" w:rsidP="00384CED">
            <w:pPr>
              <w:widowControl/>
              <w:spacing w:after="180"/>
              <w:jc w:val="center"/>
              <w:rPr>
                <w:rFonts w:ascii="宋体" w:eastAsia="宋体" w:hAnsi="宋体" w:cs="宋体"/>
                <w:kern w:val="0"/>
                <w:sz w:val="24"/>
                <w:szCs w:val="24"/>
              </w:rPr>
            </w:pPr>
            <w:r w:rsidRPr="00384CED">
              <w:rPr>
                <w:rFonts w:ascii="inherit" w:eastAsia="宋体" w:hAnsi="inherit" w:cs="宋体"/>
                <w:b/>
                <w:bCs/>
                <w:color w:val="000000"/>
                <w:kern w:val="0"/>
                <w:sz w:val="24"/>
                <w:szCs w:val="24"/>
              </w:rPr>
              <w:t>RECONCILIATION OF NON-GAAP FINANCIAL MEASURES</w:t>
            </w:r>
          </w:p>
          <w:p w:rsidR="00384CED" w:rsidRPr="00384CED" w:rsidRDefault="00384CED" w:rsidP="00384CED">
            <w:pPr>
              <w:widowControl/>
              <w:spacing w:after="180"/>
              <w:jc w:val="center"/>
              <w:rPr>
                <w:rFonts w:ascii="宋体" w:eastAsia="宋体" w:hAnsi="宋体" w:cs="宋体"/>
                <w:kern w:val="0"/>
                <w:sz w:val="24"/>
                <w:szCs w:val="24"/>
              </w:rPr>
            </w:pPr>
            <w:r w:rsidRPr="00384CED">
              <w:rPr>
                <w:rFonts w:ascii="inherit" w:eastAsia="宋体" w:hAnsi="inherit" w:cs="宋体"/>
                <w:b/>
                <w:bCs/>
                <w:color w:val="000000"/>
                <w:kern w:val="0"/>
                <w:sz w:val="24"/>
                <w:szCs w:val="24"/>
              </w:rPr>
              <w:t>Adjusted Net Income and Adjusted Diluted Earnings per Share</w:t>
            </w:r>
          </w:p>
          <w:p w:rsidR="00384CED" w:rsidRPr="00384CED" w:rsidRDefault="00384CED" w:rsidP="00384CED">
            <w:pPr>
              <w:widowControl/>
              <w:spacing w:after="180"/>
              <w:jc w:val="center"/>
              <w:rPr>
                <w:rFonts w:ascii="宋体" w:eastAsia="宋体" w:hAnsi="宋体" w:cs="宋体"/>
                <w:kern w:val="0"/>
                <w:sz w:val="24"/>
                <w:szCs w:val="24"/>
              </w:rPr>
            </w:pPr>
            <w:r w:rsidRPr="00384CED">
              <w:rPr>
                <w:rFonts w:ascii="inherit" w:eastAsia="宋体" w:hAnsi="inherit" w:cs="宋体"/>
                <w:b/>
                <w:bCs/>
                <w:color w:val="000000"/>
                <w:kern w:val="0"/>
                <w:sz w:val="24"/>
                <w:szCs w:val="24"/>
              </w:rPr>
              <w:t>(in thousands, except per share amounts)</w:t>
            </w:r>
          </w:p>
          <w:p w:rsidR="00384CED" w:rsidRPr="00384CED" w:rsidRDefault="00384CED" w:rsidP="00384CED">
            <w:pPr>
              <w:widowControl/>
              <w:spacing w:after="180"/>
              <w:jc w:val="center"/>
              <w:rPr>
                <w:rFonts w:ascii="宋体" w:eastAsia="宋体" w:hAnsi="宋体" w:cs="宋体"/>
                <w:kern w:val="0"/>
                <w:sz w:val="24"/>
                <w:szCs w:val="24"/>
              </w:rPr>
            </w:pPr>
            <w:r w:rsidRPr="00384CED">
              <w:rPr>
                <w:rFonts w:ascii="inherit" w:eastAsia="宋体" w:hAnsi="inherit" w:cs="宋体"/>
                <w:b/>
                <w:bCs/>
                <w:color w:val="000000"/>
                <w:kern w:val="0"/>
                <w:sz w:val="24"/>
                <w:szCs w:val="24"/>
              </w:rPr>
              <w:t>(unaudited)</w:t>
            </w:r>
          </w:p>
          <w:p w:rsidR="00384CED" w:rsidRPr="00384CED" w:rsidRDefault="00384CED" w:rsidP="00384CED">
            <w:pPr>
              <w:widowControl/>
              <w:spacing w:after="180"/>
              <w:jc w:val="center"/>
              <w:rPr>
                <w:rFonts w:ascii="宋体" w:eastAsia="宋体" w:hAnsi="宋体" w:cs="宋体"/>
                <w:kern w:val="0"/>
                <w:sz w:val="24"/>
                <w:szCs w:val="24"/>
              </w:rPr>
            </w:pPr>
            <w:r w:rsidRPr="00384CED">
              <w:rPr>
                <w:rFonts w:ascii="inherit" w:eastAsia="宋体" w:hAnsi="inherit" w:cs="宋体"/>
                <w:color w:val="000000"/>
                <w:kern w:val="0"/>
                <w:sz w:val="24"/>
                <w:szCs w:val="24"/>
              </w:rPr>
              <w:t> </w:t>
            </w:r>
          </w:p>
        </w:tc>
      </w:tr>
      <w:tr w:rsidR="00384CED" w:rsidRPr="00384CED" w:rsidTr="00384CED">
        <w:tc>
          <w:tcPr>
            <w:tcW w:w="0" w:type="auto"/>
            <w:gridSpan w:val="2"/>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gridSpan w:val="3"/>
            <w:tcBorders>
              <w:top w:val="nil"/>
              <w:left w:val="nil"/>
              <w:bottom w:val="single" w:sz="4" w:space="0" w:color="000000"/>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center"/>
              <w:rPr>
                <w:rFonts w:ascii="宋体" w:eastAsia="宋体" w:hAnsi="宋体" w:cs="宋体"/>
                <w:kern w:val="0"/>
                <w:sz w:val="24"/>
                <w:szCs w:val="24"/>
              </w:rPr>
            </w:pPr>
            <w:r w:rsidRPr="00384CED">
              <w:rPr>
                <w:rFonts w:ascii="inherit" w:eastAsia="宋体" w:hAnsi="inherit" w:cs="宋体"/>
                <w:b/>
                <w:bCs/>
                <w:color w:val="000000"/>
                <w:kern w:val="0"/>
                <w:sz w:val="24"/>
                <w:szCs w:val="24"/>
              </w:rPr>
              <w:t>Three months ended</w:t>
            </w:r>
            <w:r w:rsidRPr="00384CED">
              <w:rPr>
                <w:rFonts w:ascii="inherit" w:eastAsia="宋体" w:hAnsi="inherit" w:cs="宋体"/>
                <w:color w:val="000000"/>
                <w:kern w:val="0"/>
                <w:sz w:val="24"/>
                <w:szCs w:val="24"/>
              </w:rPr>
              <w:br/>
            </w:r>
            <w:r w:rsidRPr="00384CED">
              <w:rPr>
                <w:rFonts w:ascii="inherit" w:eastAsia="宋体" w:hAnsi="inherit" w:cs="宋体"/>
                <w:b/>
                <w:bCs/>
                <w:color w:val="000000"/>
                <w:kern w:val="0"/>
                <w:sz w:val="24"/>
                <w:szCs w:val="24"/>
              </w:rPr>
              <w:t>March 31,</w:t>
            </w:r>
          </w:p>
        </w:tc>
      </w:tr>
      <w:tr w:rsidR="00384CED" w:rsidRPr="00384CED" w:rsidTr="00384CED">
        <w:tc>
          <w:tcPr>
            <w:tcW w:w="0" w:type="auto"/>
            <w:gridSpan w:val="2"/>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center"/>
              <w:rPr>
                <w:rFonts w:ascii="宋体" w:eastAsia="宋体" w:hAnsi="宋体" w:cs="宋体"/>
                <w:kern w:val="0"/>
                <w:sz w:val="24"/>
                <w:szCs w:val="24"/>
              </w:rPr>
            </w:pPr>
            <w:r w:rsidRPr="00384CED">
              <w:rPr>
                <w:rFonts w:ascii="inherit" w:eastAsia="宋体" w:hAnsi="inherit" w:cs="宋体"/>
                <w:b/>
                <w:bCs/>
                <w:color w:val="000000"/>
                <w:kern w:val="0"/>
                <w:sz w:val="24"/>
                <w:szCs w:val="24"/>
              </w:rPr>
              <w:t>2026</w:t>
            </w:r>
          </w:p>
        </w:tc>
        <w:tc>
          <w:tcPr>
            <w:tcW w:w="0" w:type="auto"/>
            <w:tcBorders>
              <w:top w:val="single" w:sz="4" w:space="0" w:color="000000"/>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single" w:sz="4" w:space="0" w:color="000000"/>
              <w:left w:val="nil"/>
              <w:bottom w:val="single" w:sz="4" w:space="0" w:color="000000"/>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center"/>
              <w:rPr>
                <w:rFonts w:ascii="宋体" w:eastAsia="宋体" w:hAnsi="宋体" w:cs="宋体"/>
                <w:kern w:val="0"/>
                <w:sz w:val="24"/>
                <w:szCs w:val="24"/>
              </w:rPr>
            </w:pPr>
            <w:r w:rsidRPr="00384CED">
              <w:rPr>
                <w:rFonts w:ascii="inherit" w:eastAsia="宋体" w:hAnsi="inherit" w:cs="宋体"/>
                <w:b/>
                <w:bCs/>
                <w:color w:val="000000"/>
                <w:kern w:val="0"/>
                <w:sz w:val="24"/>
                <w:szCs w:val="24"/>
              </w:rPr>
              <w:t>2025</w:t>
            </w:r>
          </w:p>
        </w:tc>
      </w:tr>
      <w:tr w:rsidR="00384CED" w:rsidRPr="00384CED" w:rsidTr="00384CED">
        <w:tc>
          <w:tcPr>
            <w:tcW w:w="0" w:type="auto"/>
            <w:gridSpan w:val="2"/>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Net income</w:t>
            </w:r>
          </w:p>
        </w:tc>
        <w:tc>
          <w:tcPr>
            <w:tcW w:w="0" w:type="auto"/>
            <w:tcBorders>
              <w:top w:val="single" w:sz="4" w:space="0" w:color="000000"/>
              <w:left w:val="nil"/>
              <w:bottom w:val="single" w:sz="4" w:space="0" w:color="000000"/>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      302,824</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single" w:sz="4" w:space="0" w:color="000000"/>
              <w:left w:val="nil"/>
              <w:bottom w:val="single" w:sz="4" w:space="0" w:color="000000"/>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      386,599</w:t>
            </w:r>
          </w:p>
        </w:tc>
      </w:tr>
      <w:tr w:rsidR="00384CED" w:rsidRPr="00384CED" w:rsidTr="00384CED">
        <w:tc>
          <w:tcPr>
            <w:tcW w:w="0" w:type="auto"/>
            <w:gridSpan w:val="2"/>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i/>
                <w:iCs/>
                <w:color w:val="000000"/>
                <w:kern w:val="0"/>
                <w:sz w:val="24"/>
                <w:szCs w:val="24"/>
              </w:rPr>
              <w:t>Non-GAAP adjustments:</w:t>
            </w:r>
          </w:p>
        </w:tc>
        <w:tc>
          <w:tcPr>
            <w:tcW w:w="0" w:type="auto"/>
            <w:tcBorders>
              <w:top w:val="single" w:sz="4" w:space="0" w:color="000000"/>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r>
      <w:tr w:rsidR="00384CED" w:rsidRPr="00384CED" w:rsidTr="00384CED">
        <w:tc>
          <w:tcPr>
            <w:tcW w:w="0" w:type="auto"/>
            <w:gridSpan w:val="2"/>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Legal proceedings-Labor</w:t>
            </w:r>
            <w:r w:rsidRPr="00384CED">
              <w:rPr>
                <w:rFonts w:ascii="inherit" w:eastAsia="宋体" w:hAnsi="inherit" w:cs="宋体"/>
                <w:color w:val="000000"/>
                <w:kern w:val="0"/>
                <w:sz w:val="18"/>
                <w:szCs w:val="18"/>
                <w:vertAlign w:val="superscript"/>
              </w:rPr>
              <w:t>(1)</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11,875</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w:t>
            </w:r>
          </w:p>
        </w:tc>
      </w:tr>
      <w:tr w:rsidR="00384CED" w:rsidRPr="00384CED" w:rsidTr="00384CED">
        <w:tc>
          <w:tcPr>
            <w:tcW w:w="0" w:type="auto"/>
            <w:gridSpan w:val="2"/>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Corporate restructuring costs:</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r>
      <w:tr w:rsidR="00384CED" w:rsidRPr="00384CED" w:rsidTr="00384CED">
        <w:tc>
          <w:tcPr>
            <w:tcW w:w="0" w:type="auto"/>
            <w:gridSpan w:val="2"/>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Recipe for Growth restructuring</w:t>
            </w:r>
            <w:r w:rsidRPr="00384CED">
              <w:rPr>
                <w:rFonts w:ascii="inherit" w:eastAsia="宋体" w:hAnsi="inherit" w:cs="宋体"/>
                <w:color w:val="000000"/>
                <w:kern w:val="0"/>
                <w:sz w:val="18"/>
                <w:szCs w:val="18"/>
                <w:vertAlign w:val="superscript"/>
              </w:rPr>
              <w:t>(2)</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2,140</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w:t>
            </w:r>
          </w:p>
        </w:tc>
      </w:tr>
      <w:tr w:rsidR="00384CED" w:rsidRPr="00384CED" w:rsidTr="00384CED">
        <w:tc>
          <w:tcPr>
            <w:tcW w:w="0" w:type="auto"/>
            <w:gridSpan w:val="2"/>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Legal proceedings-General and administrative</w:t>
            </w:r>
            <w:r w:rsidRPr="00384CED">
              <w:rPr>
                <w:rFonts w:ascii="inherit" w:eastAsia="宋体" w:hAnsi="inherit" w:cs="宋体"/>
                <w:color w:val="000000"/>
                <w:kern w:val="0"/>
                <w:sz w:val="18"/>
                <w:szCs w:val="18"/>
                <w:vertAlign w:val="superscript"/>
              </w:rPr>
              <w:t>(3)</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625</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w:t>
            </w:r>
          </w:p>
        </w:tc>
      </w:tr>
      <w:tr w:rsidR="00384CED" w:rsidRPr="00384CED" w:rsidTr="00384CED">
        <w:tc>
          <w:tcPr>
            <w:tcW w:w="0" w:type="auto"/>
            <w:gridSpan w:val="2"/>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Stock-based compensation</w:t>
            </w:r>
            <w:r w:rsidRPr="00384CED">
              <w:rPr>
                <w:rFonts w:ascii="inherit" w:eastAsia="宋体" w:hAnsi="inherit" w:cs="宋体"/>
                <w:color w:val="000000"/>
                <w:kern w:val="0"/>
                <w:sz w:val="18"/>
                <w:szCs w:val="18"/>
                <w:vertAlign w:val="superscript"/>
              </w:rPr>
              <w:t>(4)</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3,007</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11,877</w:t>
            </w:r>
          </w:p>
        </w:tc>
      </w:tr>
      <w:tr w:rsidR="00384CED" w:rsidRPr="00384CED" w:rsidTr="00384CED">
        <w:tc>
          <w:tcPr>
            <w:tcW w:w="0" w:type="auto"/>
            <w:gridSpan w:val="2"/>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Total non-GAAP adjustments</w:t>
            </w:r>
          </w:p>
        </w:tc>
        <w:tc>
          <w:tcPr>
            <w:tcW w:w="0" w:type="auto"/>
            <w:tcBorders>
              <w:top w:val="single" w:sz="4" w:space="0" w:color="000000"/>
              <w:left w:val="nil"/>
              <w:bottom w:val="single" w:sz="4" w:space="0" w:color="000000"/>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17,647</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single" w:sz="4" w:space="0" w:color="000000"/>
              <w:left w:val="nil"/>
              <w:bottom w:val="single" w:sz="4" w:space="0" w:color="000000"/>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11,877</w:t>
            </w:r>
          </w:p>
        </w:tc>
      </w:tr>
      <w:tr w:rsidR="00384CED" w:rsidRPr="00384CED" w:rsidTr="00384CED">
        <w:tc>
          <w:tcPr>
            <w:tcW w:w="0" w:type="auto"/>
            <w:gridSpan w:val="2"/>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Tax effect of non-GAAP adjustments above</w:t>
            </w:r>
            <w:r w:rsidRPr="00384CED">
              <w:rPr>
                <w:rFonts w:ascii="inherit" w:eastAsia="宋体" w:hAnsi="inherit" w:cs="宋体"/>
                <w:color w:val="000000"/>
                <w:kern w:val="0"/>
                <w:sz w:val="18"/>
                <w:szCs w:val="18"/>
                <w:vertAlign w:val="superscript"/>
              </w:rPr>
              <w:t>(5)</w:t>
            </w:r>
          </w:p>
        </w:tc>
        <w:tc>
          <w:tcPr>
            <w:tcW w:w="0" w:type="auto"/>
            <w:tcBorders>
              <w:top w:val="single" w:sz="4" w:space="0" w:color="000000"/>
              <w:left w:val="nil"/>
              <w:bottom w:val="single" w:sz="4" w:space="0" w:color="000000"/>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(4,249)</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single" w:sz="4" w:space="0" w:color="000000"/>
              <w:left w:val="nil"/>
              <w:bottom w:val="single" w:sz="4" w:space="0" w:color="000000"/>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(1,676)</w:t>
            </w:r>
          </w:p>
        </w:tc>
      </w:tr>
      <w:tr w:rsidR="00384CED" w:rsidRPr="00384CED" w:rsidTr="00384CED">
        <w:tc>
          <w:tcPr>
            <w:tcW w:w="0" w:type="auto"/>
            <w:gridSpan w:val="2"/>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After tax impact of non-GAAP adjustments</w:t>
            </w:r>
          </w:p>
        </w:tc>
        <w:tc>
          <w:tcPr>
            <w:tcW w:w="0" w:type="auto"/>
            <w:tcBorders>
              <w:top w:val="single" w:sz="4" w:space="0" w:color="000000"/>
              <w:left w:val="nil"/>
              <w:bottom w:val="single" w:sz="4" w:space="0" w:color="000000"/>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13,398</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single" w:sz="4" w:space="0" w:color="000000"/>
              <w:left w:val="nil"/>
              <w:bottom w:val="single" w:sz="4" w:space="0" w:color="000000"/>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10,201</w:t>
            </w:r>
          </w:p>
        </w:tc>
      </w:tr>
      <w:tr w:rsidR="00384CED" w:rsidRPr="00384CED" w:rsidTr="00384CED">
        <w:tc>
          <w:tcPr>
            <w:tcW w:w="0" w:type="auto"/>
            <w:gridSpan w:val="2"/>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Adjusted net income</w:t>
            </w:r>
          </w:p>
        </w:tc>
        <w:tc>
          <w:tcPr>
            <w:tcW w:w="0" w:type="auto"/>
            <w:tcBorders>
              <w:top w:val="single" w:sz="4" w:space="0" w:color="000000"/>
              <w:left w:val="nil"/>
              <w:bottom w:val="double" w:sz="6" w:space="0" w:color="000000"/>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      316,222</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single" w:sz="4" w:space="0" w:color="000000"/>
              <w:left w:val="nil"/>
              <w:bottom w:val="double" w:sz="6" w:space="0" w:color="000000"/>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      396,800</w:t>
            </w:r>
          </w:p>
        </w:tc>
      </w:tr>
      <w:tr w:rsidR="00384CED" w:rsidRPr="00384CED" w:rsidTr="00384CED">
        <w:tc>
          <w:tcPr>
            <w:tcW w:w="0" w:type="auto"/>
            <w:gridSpan w:val="2"/>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double" w:sz="6" w:space="0" w:color="000000"/>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double" w:sz="6" w:space="0" w:color="000000"/>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r>
      <w:tr w:rsidR="00384CED" w:rsidRPr="00384CED" w:rsidTr="00384CED">
        <w:tc>
          <w:tcPr>
            <w:tcW w:w="0" w:type="auto"/>
            <w:gridSpan w:val="2"/>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Diluted weighted-average number of common shares outstanding</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1,301,859</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1,360,719</w:t>
            </w:r>
          </w:p>
        </w:tc>
      </w:tr>
      <w:tr w:rsidR="00384CED" w:rsidRPr="00384CED" w:rsidTr="00384CED">
        <w:tc>
          <w:tcPr>
            <w:tcW w:w="0" w:type="auto"/>
            <w:gridSpan w:val="2"/>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Diluted earnings per share</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          0.23</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          0.28</w:t>
            </w:r>
          </w:p>
        </w:tc>
      </w:tr>
      <w:tr w:rsidR="00384CED" w:rsidRPr="00384CED" w:rsidTr="00384CED">
        <w:tc>
          <w:tcPr>
            <w:tcW w:w="0" w:type="auto"/>
            <w:gridSpan w:val="2"/>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Adjusted diluted earnings per share</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          0.24</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          0.29</w:t>
            </w:r>
          </w:p>
        </w:tc>
      </w:tr>
      <w:tr w:rsidR="00384CED" w:rsidRPr="00384CED" w:rsidTr="00384CED">
        <w:tc>
          <w:tcPr>
            <w:tcW w:w="0" w:type="auto"/>
            <w:tcBorders>
              <w:top w:val="nil"/>
              <w:left w:val="nil"/>
              <w:bottom w:val="nil"/>
              <w:right w:val="nil"/>
            </w:tcBorders>
            <w:tcMar>
              <w:top w:w="75" w:type="dxa"/>
              <w:left w:w="41" w:type="dxa"/>
              <w:bottom w:w="75" w:type="dxa"/>
              <w:right w:w="79" w:type="dxa"/>
            </w:tcMar>
            <w:hideMark/>
          </w:tcPr>
          <w:p w:rsidR="00384CED" w:rsidRPr="00384CED" w:rsidRDefault="00384CED" w:rsidP="00384CED">
            <w:pPr>
              <w:widowControl/>
              <w:jc w:val="left"/>
              <w:rPr>
                <w:rFonts w:ascii="Arial" w:eastAsia="宋体" w:hAnsi="Arial" w:cs="Arial"/>
                <w:color w:val="000000"/>
                <w:kern w:val="0"/>
                <w:sz w:val="16"/>
                <w:szCs w:val="16"/>
              </w:rPr>
            </w:pPr>
          </w:p>
        </w:tc>
        <w:tc>
          <w:tcPr>
            <w:tcW w:w="0" w:type="auto"/>
            <w:gridSpan w:val="4"/>
            <w:tcBorders>
              <w:top w:val="nil"/>
              <w:left w:val="nil"/>
              <w:bottom w:val="nil"/>
              <w:right w:val="nil"/>
            </w:tcBorders>
            <w:tcMar>
              <w:top w:w="75" w:type="dxa"/>
              <w:left w:w="41" w:type="dxa"/>
              <w:bottom w:w="75" w:type="dxa"/>
              <w:right w:w="79" w:type="dxa"/>
            </w:tcMar>
            <w:hideMark/>
          </w:tcPr>
          <w:p w:rsidR="00384CED" w:rsidRPr="00384CED" w:rsidRDefault="00384CED" w:rsidP="00384CED">
            <w:pPr>
              <w:widowControl/>
              <w:jc w:val="left"/>
              <w:rPr>
                <w:rFonts w:ascii="Arial" w:eastAsia="宋体" w:hAnsi="Arial" w:cs="Arial"/>
                <w:color w:val="000000"/>
                <w:kern w:val="0"/>
                <w:sz w:val="16"/>
                <w:szCs w:val="16"/>
              </w:rPr>
            </w:pPr>
          </w:p>
        </w:tc>
      </w:tr>
      <w:tr w:rsidR="00384CED" w:rsidRPr="00384CED" w:rsidTr="00384CED">
        <w:tc>
          <w:tcPr>
            <w:tcW w:w="0" w:type="auto"/>
            <w:tcBorders>
              <w:top w:val="nil"/>
              <w:left w:val="nil"/>
              <w:bottom w:val="nil"/>
              <w:right w:val="nil"/>
            </w:tcBorders>
            <w:tcMar>
              <w:top w:w="75" w:type="dxa"/>
              <w:left w:w="41" w:type="dxa"/>
              <w:bottom w:w="75" w:type="dxa"/>
              <w:right w:w="41" w:type="dxa"/>
            </w:tcMar>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(1)</w:t>
            </w:r>
          </w:p>
        </w:tc>
        <w:tc>
          <w:tcPr>
            <w:tcW w:w="0" w:type="auto"/>
            <w:gridSpan w:val="4"/>
            <w:tcBorders>
              <w:top w:val="nil"/>
              <w:left w:val="nil"/>
              <w:bottom w:val="nil"/>
              <w:right w:val="nil"/>
            </w:tcBorders>
            <w:tcMar>
              <w:top w:w="75" w:type="dxa"/>
              <w:left w:w="41" w:type="dxa"/>
              <w:bottom w:w="75" w:type="dxa"/>
              <w:right w:w="41" w:type="dxa"/>
            </w:tcMar>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Estimated liability recognized in labor on the condensed consolidated statements of income for legal matters that we expect to exceed typical costs for legal proceedings.</w:t>
            </w:r>
          </w:p>
        </w:tc>
      </w:tr>
      <w:tr w:rsidR="00384CED" w:rsidRPr="00384CED" w:rsidTr="00384CED">
        <w:tc>
          <w:tcPr>
            <w:tcW w:w="0" w:type="auto"/>
            <w:tcBorders>
              <w:top w:val="nil"/>
              <w:left w:val="nil"/>
              <w:bottom w:val="nil"/>
              <w:right w:val="nil"/>
            </w:tcBorders>
            <w:tcMar>
              <w:top w:w="75" w:type="dxa"/>
              <w:left w:w="41" w:type="dxa"/>
              <w:bottom w:w="75" w:type="dxa"/>
              <w:right w:w="41" w:type="dxa"/>
            </w:tcMar>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(2)</w:t>
            </w:r>
          </w:p>
        </w:tc>
        <w:tc>
          <w:tcPr>
            <w:tcW w:w="0" w:type="auto"/>
            <w:gridSpan w:val="4"/>
            <w:tcBorders>
              <w:top w:val="nil"/>
              <w:left w:val="nil"/>
              <w:bottom w:val="nil"/>
              <w:right w:val="nil"/>
            </w:tcBorders>
            <w:tcMar>
              <w:top w:w="75" w:type="dxa"/>
              <w:left w:w="41" w:type="dxa"/>
              <w:bottom w:w="75" w:type="dxa"/>
              <w:right w:w="41" w:type="dxa"/>
            </w:tcMar>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Cost for restructuring including employee severance, recruitment, other third-party restructuring costs, and stock-based compensation, net of forfeitures.</w:t>
            </w:r>
          </w:p>
        </w:tc>
      </w:tr>
      <w:tr w:rsidR="00384CED" w:rsidRPr="00384CED" w:rsidTr="00384CED">
        <w:tc>
          <w:tcPr>
            <w:tcW w:w="0" w:type="auto"/>
            <w:tcBorders>
              <w:top w:val="nil"/>
              <w:left w:val="nil"/>
              <w:bottom w:val="nil"/>
              <w:right w:val="nil"/>
            </w:tcBorders>
            <w:tcMar>
              <w:top w:w="75" w:type="dxa"/>
              <w:left w:w="41" w:type="dxa"/>
              <w:bottom w:w="75" w:type="dxa"/>
              <w:right w:w="41" w:type="dxa"/>
            </w:tcMar>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(3)</w:t>
            </w:r>
          </w:p>
        </w:tc>
        <w:tc>
          <w:tcPr>
            <w:tcW w:w="0" w:type="auto"/>
            <w:gridSpan w:val="4"/>
            <w:tcBorders>
              <w:top w:val="nil"/>
              <w:left w:val="nil"/>
              <w:bottom w:val="nil"/>
              <w:right w:val="nil"/>
            </w:tcBorders>
            <w:tcMar>
              <w:top w:w="75" w:type="dxa"/>
              <w:left w:w="41" w:type="dxa"/>
              <w:bottom w:w="75" w:type="dxa"/>
              <w:right w:w="41" w:type="dxa"/>
            </w:tcMar>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Estimated liability recognized in general and administrative expenses on the condensed consolidated statements of income for legal matters that we expect to exceed typical costs for legal proceedings.</w:t>
            </w:r>
          </w:p>
        </w:tc>
      </w:tr>
      <w:tr w:rsidR="00384CED" w:rsidRPr="00384CED" w:rsidTr="00384CED">
        <w:tc>
          <w:tcPr>
            <w:tcW w:w="0" w:type="auto"/>
            <w:tcBorders>
              <w:top w:val="nil"/>
              <w:left w:val="nil"/>
              <w:bottom w:val="nil"/>
              <w:right w:val="nil"/>
            </w:tcBorders>
            <w:tcMar>
              <w:top w:w="75" w:type="dxa"/>
              <w:left w:w="41" w:type="dxa"/>
              <w:bottom w:w="75" w:type="dxa"/>
              <w:right w:w="41" w:type="dxa"/>
            </w:tcMar>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(4)</w:t>
            </w:r>
          </w:p>
        </w:tc>
        <w:tc>
          <w:tcPr>
            <w:tcW w:w="0" w:type="auto"/>
            <w:gridSpan w:val="4"/>
            <w:tcBorders>
              <w:top w:val="nil"/>
              <w:left w:val="nil"/>
              <w:bottom w:val="nil"/>
              <w:right w:val="nil"/>
            </w:tcBorders>
            <w:tcMar>
              <w:top w:w="75" w:type="dxa"/>
              <w:left w:w="41" w:type="dxa"/>
              <w:bottom w:w="75" w:type="dxa"/>
              <w:right w:w="41" w:type="dxa"/>
            </w:tcMar>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Stock-based compensation for retention equity awards granted to certain executives in connection with the former CEO's departure.</w:t>
            </w:r>
          </w:p>
        </w:tc>
      </w:tr>
      <w:tr w:rsidR="00384CED" w:rsidRPr="00384CED" w:rsidTr="00384CED">
        <w:tc>
          <w:tcPr>
            <w:tcW w:w="0" w:type="auto"/>
            <w:tcBorders>
              <w:top w:val="nil"/>
              <w:left w:val="nil"/>
              <w:bottom w:val="nil"/>
              <w:right w:val="nil"/>
            </w:tcBorders>
            <w:tcMar>
              <w:top w:w="75" w:type="dxa"/>
              <w:left w:w="41" w:type="dxa"/>
              <w:bottom w:w="75" w:type="dxa"/>
              <w:right w:w="41" w:type="dxa"/>
            </w:tcMar>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(5)</w:t>
            </w:r>
          </w:p>
        </w:tc>
        <w:tc>
          <w:tcPr>
            <w:tcW w:w="0" w:type="auto"/>
            <w:gridSpan w:val="4"/>
            <w:tcBorders>
              <w:top w:val="nil"/>
              <w:left w:val="nil"/>
              <w:bottom w:val="nil"/>
              <w:right w:val="nil"/>
            </w:tcBorders>
            <w:tcMar>
              <w:top w:w="75" w:type="dxa"/>
              <w:left w:w="41" w:type="dxa"/>
              <w:bottom w:w="75" w:type="dxa"/>
              <w:right w:w="41" w:type="dxa"/>
            </w:tcMar>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Adjustments related to the tax effect of non-GAAP adjustments, which were determined based on the nature of the underlying non-GAAP adjustments and their relevant jurisdictional tax rates.</w:t>
            </w:r>
          </w:p>
        </w:tc>
      </w:tr>
    </w:tbl>
    <w:p w:rsidR="00384CED" w:rsidRPr="00384CED" w:rsidRDefault="00384CED" w:rsidP="00384CED">
      <w:pPr>
        <w:widowControl/>
        <w:shd w:val="clear" w:color="auto" w:fill="FFFFFF"/>
        <w:spacing w:after="180"/>
        <w:jc w:val="left"/>
        <w:rPr>
          <w:rFonts w:ascii="Helvetica" w:eastAsia="宋体" w:hAnsi="Helvetica" w:cs="Helvetica"/>
          <w:color w:val="54392D"/>
          <w:kern w:val="0"/>
          <w:sz w:val="24"/>
          <w:szCs w:val="24"/>
        </w:rPr>
      </w:pPr>
      <w:r w:rsidRPr="00384CED">
        <w:rPr>
          <w:rFonts w:ascii="Helvetica" w:eastAsia="宋体" w:hAnsi="Helvetica" w:cs="Helvetica"/>
          <w:color w:val="54392D"/>
          <w:kern w:val="0"/>
          <w:sz w:val="24"/>
          <w:szCs w:val="24"/>
        </w:rPr>
        <w:t> </w:t>
      </w:r>
    </w:p>
    <w:tbl>
      <w:tblPr>
        <w:tblW w:w="0" w:type="auto"/>
        <w:tblCellMar>
          <w:top w:w="15" w:type="dxa"/>
          <w:left w:w="15" w:type="dxa"/>
          <w:bottom w:w="15" w:type="dxa"/>
          <w:right w:w="15" w:type="dxa"/>
        </w:tblCellMar>
        <w:tblLook w:val="04A0" w:firstRow="1" w:lastRow="0" w:firstColumn="1" w:lastColumn="0" w:noHBand="0" w:noVBand="1"/>
      </w:tblPr>
      <w:tblGrid>
        <w:gridCol w:w="362"/>
        <w:gridCol w:w="3899"/>
        <w:gridCol w:w="1440"/>
        <w:gridCol w:w="246"/>
        <w:gridCol w:w="1440"/>
        <w:gridCol w:w="919"/>
      </w:tblGrid>
      <w:tr w:rsidR="00384CED" w:rsidRPr="00384CED" w:rsidTr="00384CED">
        <w:trPr>
          <w:gridAfter w:val="1"/>
        </w:trPr>
        <w:tc>
          <w:tcPr>
            <w:tcW w:w="0" w:type="auto"/>
            <w:gridSpan w:val="5"/>
            <w:tcBorders>
              <w:top w:val="nil"/>
              <w:left w:val="nil"/>
              <w:bottom w:val="nil"/>
              <w:right w:val="nil"/>
            </w:tcBorders>
            <w:tcMar>
              <w:top w:w="75" w:type="dxa"/>
              <w:left w:w="41" w:type="dxa"/>
              <w:bottom w:w="75" w:type="dxa"/>
              <w:right w:w="41" w:type="dxa"/>
            </w:tcMar>
            <w:vAlign w:val="bottom"/>
            <w:hideMark/>
          </w:tcPr>
          <w:p w:rsidR="00384CED" w:rsidRPr="00384CED" w:rsidRDefault="00384CED" w:rsidP="00384CED">
            <w:pPr>
              <w:widowControl/>
              <w:spacing w:after="180"/>
              <w:jc w:val="center"/>
              <w:rPr>
                <w:rFonts w:ascii="宋体" w:eastAsia="宋体" w:hAnsi="宋体" w:cs="宋体"/>
                <w:kern w:val="0"/>
                <w:sz w:val="24"/>
                <w:szCs w:val="24"/>
              </w:rPr>
            </w:pPr>
            <w:r w:rsidRPr="00384CED">
              <w:rPr>
                <w:rFonts w:ascii="inherit" w:eastAsia="宋体" w:hAnsi="inherit" w:cs="宋体"/>
                <w:b/>
                <w:bCs/>
                <w:color w:val="000000"/>
                <w:kern w:val="0"/>
                <w:sz w:val="24"/>
                <w:szCs w:val="24"/>
              </w:rPr>
              <w:t>CHIPOTLE MEXICAN GRILL, INC.</w:t>
            </w:r>
          </w:p>
          <w:p w:rsidR="00384CED" w:rsidRPr="00384CED" w:rsidRDefault="00384CED" w:rsidP="00384CED">
            <w:pPr>
              <w:widowControl/>
              <w:spacing w:after="180"/>
              <w:jc w:val="center"/>
              <w:rPr>
                <w:rFonts w:ascii="宋体" w:eastAsia="宋体" w:hAnsi="宋体" w:cs="宋体"/>
                <w:kern w:val="0"/>
                <w:sz w:val="24"/>
                <w:szCs w:val="24"/>
              </w:rPr>
            </w:pPr>
            <w:r w:rsidRPr="00384CED">
              <w:rPr>
                <w:rFonts w:ascii="inherit" w:eastAsia="宋体" w:hAnsi="inherit" w:cs="宋体"/>
                <w:b/>
                <w:bCs/>
                <w:color w:val="000000"/>
                <w:kern w:val="0"/>
                <w:sz w:val="24"/>
                <w:szCs w:val="24"/>
              </w:rPr>
              <w:t>RECONCILIATION OF NON-GAAP FINANCIAL MEASURES</w:t>
            </w:r>
          </w:p>
          <w:p w:rsidR="00384CED" w:rsidRPr="00384CED" w:rsidRDefault="00384CED" w:rsidP="00384CED">
            <w:pPr>
              <w:widowControl/>
              <w:spacing w:after="180"/>
              <w:jc w:val="center"/>
              <w:rPr>
                <w:rFonts w:ascii="宋体" w:eastAsia="宋体" w:hAnsi="宋体" w:cs="宋体"/>
                <w:kern w:val="0"/>
                <w:sz w:val="24"/>
                <w:szCs w:val="24"/>
              </w:rPr>
            </w:pPr>
            <w:r w:rsidRPr="00384CED">
              <w:rPr>
                <w:rFonts w:ascii="inherit" w:eastAsia="宋体" w:hAnsi="inherit" w:cs="宋体"/>
                <w:b/>
                <w:bCs/>
                <w:color w:val="000000"/>
                <w:kern w:val="0"/>
                <w:sz w:val="24"/>
                <w:szCs w:val="24"/>
              </w:rPr>
              <w:t>Adjusted Labor</w:t>
            </w:r>
          </w:p>
          <w:p w:rsidR="00384CED" w:rsidRPr="00384CED" w:rsidRDefault="00384CED" w:rsidP="00384CED">
            <w:pPr>
              <w:widowControl/>
              <w:spacing w:after="180"/>
              <w:jc w:val="center"/>
              <w:rPr>
                <w:rFonts w:ascii="宋体" w:eastAsia="宋体" w:hAnsi="宋体" w:cs="宋体"/>
                <w:kern w:val="0"/>
                <w:sz w:val="24"/>
                <w:szCs w:val="24"/>
              </w:rPr>
            </w:pPr>
            <w:r w:rsidRPr="00384CED">
              <w:rPr>
                <w:rFonts w:ascii="inherit" w:eastAsia="宋体" w:hAnsi="inherit" w:cs="宋体"/>
                <w:b/>
                <w:bCs/>
                <w:color w:val="000000"/>
                <w:kern w:val="0"/>
                <w:sz w:val="24"/>
                <w:szCs w:val="24"/>
              </w:rPr>
              <w:t>(in thousands)</w:t>
            </w:r>
          </w:p>
          <w:p w:rsidR="00384CED" w:rsidRPr="00384CED" w:rsidRDefault="00384CED" w:rsidP="00384CED">
            <w:pPr>
              <w:widowControl/>
              <w:spacing w:after="180"/>
              <w:jc w:val="center"/>
              <w:rPr>
                <w:rFonts w:ascii="宋体" w:eastAsia="宋体" w:hAnsi="宋体" w:cs="宋体"/>
                <w:kern w:val="0"/>
                <w:sz w:val="24"/>
                <w:szCs w:val="24"/>
              </w:rPr>
            </w:pPr>
            <w:r w:rsidRPr="00384CED">
              <w:rPr>
                <w:rFonts w:ascii="inherit" w:eastAsia="宋体" w:hAnsi="inherit" w:cs="宋体"/>
                <w:b/>
                <w:bCs/>
                <w:color w:val="000000"/>
                <w:kern w:val="0"/>
                <w:sz w:val="24"/>
                <w:szCs w:val="24"/>
              </w:rPr>
              <w:t>(unaudited)</w:t>
            </w:r>
          </w:p>
          <w:p w:rsidR="00384CED" w:rsidRPr="00384CED" w:rsidRDefault="00384CED" w:rsidP="00384CED">
            <w:pPr>
              <w:widowControl/>
              <w:spacing w:after="180"/>
              <w:jc w:val="center"/>
              <w:rPr>
                <w:rFonts w:ascii="宋体" w:eastAsia="宋体" w:hAnsi="宋体" w:cs="宋体"/>
                <w:kern w:val="0"/>
                <w:sz w:val="24"/>
                <w:szCs w:val="24"/>
              </w:rPr>
            </w:pPr>
            <w:r w:rsidRPr="00384CED">
              <w:rPr>
                <w:rFonts w:ascii="inherit" w:eastAsia="宋体" w:hAnsi="inherit" w:cs="宋体"/>
                <w:color w:val="000000"/>
                <w:kern w:val="0"/>
                <w:sz w:val="24"/>
                <w:szCs w:val="24"/>
              </w:rPr>
              <w:t> </w:t>
            </w:r>
          </w:p>
        </w:tc>
      </w:tr>
      <w:tr w:rsidR="00384CED" w:rsidRPr="00384CED" w:rsidTr="00384CED">
        <w:trPr>
          <w:gridAfter w:val="1"/>
        </w:trPr>
        <w:tc>
          <w:tcPr>
            <w:tcW w:w="0" w:type="auto"/>
            <w:gridSpan w:val="2"/>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gridSpan w:val="3"/>
            <w:tcBorders>
              <w:top w:val="nil"/>
              <w:left w:val="nil"/>
              <w:bottom w:val="single" w:sz="4" w:space="0" w:color="000000"/>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center"/>
              <w:rPr>
                <w:rFonts w:ascii="宋体" w:eastAsia="宋体" w:hAnsi="宋体" w:cs="宋体"/>
                <w:kern w:val="0"/>
                <w:sz w:val="24"/>
                <w:szCs w:val="24"/>
              </w:rPr>
            </w:pPr>
            <w:r w:rsidRPr="00384CED">
              <w:rPr>
                <w:rFonts w:ascii="inherit" w:eastAsia="宋体" w:hAnsi="inherit" w:cs="宋体"/>
                <w:b/>
                <w:bCs/>
                <w:color w:val="000000"/>
                <w:kern w:val="0"/>
                <w:sz w:val="24"/>
                <w:szCs w:val="24"/>
              </w:rPr>
              <w:t>Three months ended</w:t>
            </w:r>
            <w:r w:rsidRPr="00384CED">
              <w:rPr>
                <w:rFonts w:ascii="inherit" w:eastAsia="宋体" w:hAnsi="inherit" w:cs="宋体"/>
                <w:color w:val="000000"/>
                <w:kern w:val="0"/>
                <w:sz w:val="24"/>
                <w:szCs w:val="24"/>
              </w:rPr>
              <w:br/>
            </w:r>
            <w:r w:rsidRPr="00384CED">
              <w:rPr>
                <w:rFonts w:ascii="inherit" w:eastAsia="宋体" w:hAnsi="inherit" w:cs="宋体"/>
                <w:b/>
                <w:bCs/>
                <w:color w:val="000000"/>
                <w:kern w:val="0"/>
                <w:sz w:val="24"/>
                <w:szCs w:val="24"/>
              </w:rPr>
              <w:t>March 31,</w:t>
            </w:r>
          </w:p>
        </w:tc>
      </w:tr>
      <w:tr w:rsidR="00384CED" w:rsidRPr="00384CED" w:rsidTr="00384CED">
        <w:trPr>
          <w:gridAfter w:val="1"/>
        </w:trPr>
        <w:tc>
          <w:tcPr>
            <w:tcW w:w="0" w:type="auto"/>
            <w:gridSpan w:val="2"/>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center"/>
              <w:rPr>
                <w:rFonts w:ascii="宋体" w:eastAsia="宋体" w:hAnsi="宋体" w:cs="宋体"/>
                <w:kern w:val="0"/>
                <w:sz w:val="24"/>
                <w:szCs w:val="24"/>
              </w:rPr>
            </w:pPr>
            <w:r w:rsidRPr="00384CED">
              <w:rPr>
                <w:rFonts w:ascii="inherit" w:eastAsia="宋体" w:hAnsi="inherit" w:cs="宋体"/>
                <w:b/>
                <w:bCs/>
                <w:color w:val="000000"/>
                <w:kern w:val="0"/>
                <w:sz w:val="24"/>
                <w:szCs w:val="24"/>
              </w:rPr>
              <w:t>2026</w:t>
            </w:r>
          </w:p>
        </w:tc>
        <w:tc>
          <w:tcPr>
            <w:tcW w:w="0" w:type="auto"/>
            <w:tcBorders>
              <w:top w:val="single" w:sz="4" w:space="0" w:color="000000"/>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single" w:sz="4" w:space="0" w:color="000000"/>
              <w:left w:val="nil"/>
              <w:bottom w:val="single" w:sz="4" w:space="0" w:color="000000"/>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center"/>
              <w:rPr>
                <w:rFonts w:ascii="宋体" w:eastAsia="宋体" w:hAnsi="宋体" w:cs="宋体"/>
                <w:kern w:val="0"/>
                <w:sz w:val="24"/>
                <w:szCs w:val="24"/>
              </w:rPr>
            </w:pPr>
            <w:r w:rsidRPr="00384CED">
              <w:rPr>
                <w:rFonts w:ascii="inherit" w:eastAsia="宋体" w:hAnsi="inherit" w:cs="宋体"/>
                <w:b/>
                <w:bCs/>
                <w:color w:val="000000"/>
                <w:kern w:val="0"/>
                <w:sz w:val="24"/>
                <w:szCs w:val="24"/>
              </w:rPr>
              <w:t>2025</w:t>
            </w:r>
          </w:p>
        </w:tc>
      </w:tr>
      <w:tr w:rsidR="00384CED" w:rsidRPr="00384CED" w:rsidTr="00384CED">
        <w:trPr>
          <w:gridAfter w:val="1"/>
        </w:trPr>
        <w:tc>
          <w:tcPr>
            <w:tcW w:w="0" w:type="auto"/>
            <w:gridSpan w:val="2"/>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Labor</w:t>
            </w:r>
          </w:p>
        </w:tc>
        <w:tc>
          <w:tcPr>
            <w:tcW w:w="0" w:type="auto"/>
            <w:tcBorders>
              <w:top w:val="single" w:sz="4" w:space="0" w:color="000000"/>
              <w:left w:val="nil"/>
              <w:bottom w:val="single" w:sz="4" w:space="0" w:color="000000"/>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     805,411</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single" w:sz="4" w:space="0" w:color="000000"/>
              <w:left w:val="nil"/>
              <w:bottom w:val="single" w:sz="4" w:space="0" w:color="000000"/>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     718,226</w:t>
            </w:r>
          </w:p>
        </w:tc>
      </w:tr>
      <w:tr w:rsidR="00384CED" w:rsidRPr="00384CED" w:rsidTr="00384CED">
        <w:trPr>
          <w:gridAfter w:val="1"/>
        </w:trPr>
        <w:tc>
          <w:tcPr>
            <w:tcW w:w="0" w:type="auto"/>
            <w:gridSpan w:val="2"/>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i/>
                <w:iCs/>
                <w:color w:val="000000"/>
                <w:kern w:val="0"/>
                <w:sz w:val="24"/>
                <w:szCs w:val="24"/>
              </w:rPr>
              <w:t>Non-GAAP adjustments:</w:t>
            </w:r>
          </w:p>
        </w:tc>
        <w:tc>
          <w:tcPr>
            <w:tcW w:w="0" w:type="auto"/>
            <w:tcBorders>
              <w:top w:val="single" w:sz="4" w:space="0" w:color="000000"/>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r>
      <w:tr w:rsidR="00384CED" w:rsidRPr="00384CED" w:rsidTr="00384CED">
        <w:trPr>
          <w:gridAfter w:val="1"/>
        </w:trPr>
        <w:tc>
          <w:tcPr>
            <w:tcW w:w="0" w:type="auto"/>
            <w:gridSpan w:val="2"/>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Legal proceedings-Labor</w:t>
            </w:r>
            <w:r w:rsidRPr="00384CED">
              <w:rPr>
                <w:rFonts w:ascii="inherit" w:eastAsia="宋体" w:hAnsi="inherit" w:cs="宋体"/>
                <w:color w:val="000000"/>
                <w:kern w:val="0"/>
                <w:sz w:val="18"/>
                <w:szCs w:val="18"/>
                <w:vertAlign w:val="superscript"/>
              </w:rPr>
              <w:t>(1)</w:t>
            </w:r>
          </w:p>
        </w:tc>
        <w:tc>
          <w:tcPr>
            <w:tcW w:w="0" w:type="auto"/>
            <w:tcBorders>
              <w:top w:val="nil"/>
              <w:left w:val="nil"/>
              <w:bottom w:val="single" w:sz="4" w:space="0" w:color="000000"/>
              <w:right w:val="nil"/>
            </w:tcBorders>
            <w:noWrap/>
            <w:tcMar>
              <w:top w:w="75" w:type="dxa"/>
              <w:left w:w="41" w:type="dxa"/>
              <w:bottom w:w="75" w:type="dxa"/>
              <w:right w:w="120"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(11,875)</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w:t>
            </w:r>
          </w:p>
        </w:tc>
      </w:tr>
      <w:tr w:rsidR="00384CED" w:rsidRPr="00384CED" w:rsidTr="00384CED">
        <w:trPr>
          <w:gridAfter w:val="1"/>
        </w:trPr>
        <w:tc>
          <w:tcPr>
            <w:tcW w:w="0" w:type="auto"/>
            <w:gridSpan w:val="2"/>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Total non-GAAP adjustments</w:t>
            </w:r>
          </w:p>
        </w:tc>
        <w:tc>
          <w:tcPr>
            <w:tcW w:w="0" w:type="auto"/>
            <w:tcBorders>
              <w:top w:val="single" w:sz="4" w:space="0" w:color="000000"/>
              <w:left w:val="nil"/>
              <w:bottom w:val="single" w:sz="4" w:space="0" w:color="000000"/>
              <w:right w:val="nil"/>
            </w:tcBorders>
            <w:noWrap/>
            <w:tcMar>
              <w:top w:w="75" w:type="dxa"/>
              <w:left w:w="41" w:type="dxa"/>
              <w:bottom w:w="75" w:type="dxa"/>
              <w:right w:w="120"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(11,875)</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single" w:sz="4" w:space="0" w:color="000000"/>
              <w:left w:val="nil"/>
              <w:bottom w:val="single" w:sz="4" w:space="0" w:color="000000"/>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w:t>
            </w:r>
          </w:p>
        </w:tc>
      </w:tr>
      <w:tr w:rsidR="00384CED" w:rsidRPr="00384CED" w:rsidTr="00384CED">
        <w:trPr>
          <w:gridAfter w:val="1"/>
        </w:trPr>
        <w:tc>
          <w:tcPr>
            <w:tcW w:w="0" w:type="auto"/>
            <w:gridSpan w:val="2"/>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Adjusted labor</w:t>
            </w:r>
          </w:p>
        </w:tc>
        <w:tc>
          <w:tcPr>
            <w:tcW w:w="0" w:type="auto"/>
            <w:tcBorders>
              <w:top w:val="single" w:sz="4" w:space="0" w:color="000000"/>
              <w:left w:val="nil"/>
              <w:bottom w:val="double" w:sz="6" w:space="0" w:color="000000"/>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     793,536</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single" w:sz="4" w:space="0" w:color="000000"/>
              <w:left w:val="nil"/>
              <w:bottom w:val="double" w:sz="6" w:space="0" w:color="000000"/>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     718,226</w:t>
            </w:r>
          </w:p>
        </w:tc>
      </w:tr>
      <w:tr w:rsidR="00384CED" w:rsidRPr="00384CED" w:rsidTr="00384CED">
        <w:trPr>
          <w:gridAfter w:val="1"/>
        </w:trPr>
        <w:tc>
          <w:tcPr>
            <w:tcW w:w="0" w:type="auto"/>
            <w:gridSpan w:val="2"/>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Adjusted labor as a percent of total revenue</w:t>
            </w:r>
          </w:p>
        </w:tc>
        <w:tc>
          <w:tcPr>
            <w:tcW w:w="0" w:type="auto"/>
            <w:tcBorders>
              <w:top w:val="double" w:sz="6" w:space="0" w:color="000000"/>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25.7 %</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double" w:sz="6" w:space="0" w:color="000000"/>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25.0 %</w:t>
            </w:r>
          </w:p>
        </w:tc>
      </w:tr>
      <w:tr w:rsidR="00384CED" w:rsidRPr="00384CED" w:rsidTr="00384CED">
        <w:tc>
          <w:tcPr>
            <w:tcW w:w="0" w:type="auto"/>
            <w:tcBorders>
              <w:top w:val="nil"/>
              <w:left w:val="nil"/>
              <w:bottom w:val="nil"/>
              <w:right w:val="nil"/>
            </w:tcBorders>
            <w:tcMar>
              <w:top w:w="75" w:type="dxa"/>
              <w:left w:w="41" w:type="dxa"/>
              <w:bottom w:w="75" w:type="dxa"/>
              <w:right w:w="41" w:type="dxa"/>
            </w:tcMar>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(1)</w:t>
            </w:r>
          </w:p>
        </w:tc>
        <w:tc>
          <w:tcPr>
            <w:tcW w:w="0" w:type="auto"/>
            <w:gridSpan w:val="5"/>
            <w:tcBorders>
              <w:top w:val="nil"/>
              <w:left w:val="nil"/>
              <w:bottom w:val="nil"/>
              <w:right w:val="nil"/>
            </w:tcBorders>
            <w:tcMar>
              <w:top w:w="75" w:type="dxa"/>
              <w:left w:w="41" w:type="dxa"/>
              <w:bottom w:w="75" w:type="dxa"/>
              <w:right w:w="41" w:type="dxa"/>
            </w:tcMar>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Estimated liability recognized in labor on the condensed consolidated statements of income for legal matters that we expect to exceed typical costs for legal proceedings.</w:t>
            </w:r>
          </w:p>
        </w:tc>
      </w:tr>
    </w:tbl>
    <w:p w:rsidR="00384CED" w:rsidRPr="00384CED" w:rsidRDefault="00384CED" w:rsidP="00384CED">
      <w:pPr>
        <w:widowControl/>
        <w:shd w:val="clear" w:color="auto" w:fill="FFFFFF"/>
        <w:spacing w:after="180"/>
        <w:jc w:val="left"/>
        <w:rPr>
          <w:rFonts w:ascii="Helvetica" w:eastAsia="宋体" w:hAnsi="Helvetica" w:cs="Helvetica"/>
          <w:color w:val="54392D"/>
          <w:kern w:val="0"/>
          <w:sz w:val="24"/>
          <w:szCs w:val="24"/>
        </w:rPr>
      </w:pPr>
      <w:r w:rsidRPr="00384CED">
        <w:rPr>
          <w:rFonts w:ascii="Helvetica" w:eastAsia="宋体" w:hAnsi="Helvetica" w:cs="Helvetica"/>
          <w:color w:val="54392D"/>
          <w:kern w:val="0"/>
          <w:sz w:val="24"/>
          <w:szCs w:val="24"/>
        </w:rPr>
        <w:t> </w:t>
      </w:r>
    </w:p>
    <w:tbl>
      <w:tblPr>
        <w:tblW w:w="0" w:type="auto"/>
        <w:tblCellMar>
          <w:top w:w="15" w:type="dxa"/>
          <w:left w:w="15" w:type="dxa"/>
          <w:bottom w:w="15" w:type="dxa"/>
          <w:right w:w="15" w:type="dxa"/>
        </w:tblCellMar>
        <w:tblLook w:val="04A0" w:firstRow="1" w:lastRow="0" w:firstColumn="1" w:lastColumn="0" w:noHBand="0" w:noVBand="1"/>
      </w:tblPr>
      <w:tblGrid>
        <w:gridCol w:w="362"/>
        <w:gridCol w:w="4305"/>
        <w:gridCol w:w="1380"/>
        <w:gridCol w:w="126"/>
        <w:gridCol w:w="1380"/>
        <w:gridCol w:w="753"/>
      </w:tblGrid>
      <w:tr w:rsidR="00384CED" w:rsidRPr="00384CED" w:rsidTr="00384CED">
        <w:trPr>
          <w:gridAfter w:val="1"/>
        </w:trPr>
        <w:tc>
          <w:tcPr>
            <w:tcW w:w="0" w:type="auto"/>
            <w:gridSpan w:val="5"/>
            <w:tcBorders>
              <w:top w:val="nil"/>
              <w:left w:val="nil"/>
              <w:bottom w:val="nil"/>
              <w:right w:val="nil"/>
            </w:tcBorders>
            <w:tcMar>
              <w:top w:w="75" w:type="dxa"/>
              <w:left w:w="41" w:type="dxa"/>
              <w:bottom w:w="75" w:type="dxa"/>
              <w:right w:w="41" w:type="dxa"/>
            </w:tcMar>
            <w:vAlign w:val="bottom"/>
            <w:hideMark/>
          </w:tcPr>
          <w:p w:rsidR="00384CED" w:rsidRPr="00384CED" w:rsidRDefault="00384CED" w:rsidP="00384CED">
            <w:pPr>
              <w:widowControl/>
              <w:spacing w:after="180"/>
              <w:jc w:val="center"/>
              <w:rPr>
                <w:rFonts w:ascii="宋体" w:eastAsia="宋体" w:hAnsi="宋体" w:cs="宋体"/>
                <w:kern w:val="0"/>
                <w:sz w:val="24"/>
                <w:szCs w:val="24"/>
              </w:rPr>
            </w:pPr>
            <w:r w:rsidRPr="00384CED">
              <w:rPr>
                <w:rFonts w:ascii="inherit" w:eastAsia="宋体" w:hAnsi="inherit" w:cs="宋体"/>
                <w:b/>
                <w:bCs/>
                <w:color w:val="000000"/>
                <w:kern w:val="0"/>
                <w:sz w:val="24"/>
                <w:szCs w:val="24"/>
              </w:rPr>
              <w:t>CHIPOTLE MEXICAN GRILL, INC.</w:t>
            </w:r>
          </w:p>
          <w:p w:rsidR="00384CED" w:rsidRPr="00384CED" w:rsidRDefault="00384CED" w:rsidP="00384CED">
            <w:pPr>
              <w:widowControl/>
              <w:spacing w:after="180"/>
              <w:jc w:val="center"/>
              <w:rPr>
                <w:rFonts w:ascii="宋体" w:eastAsia="宋体" w:hAnsi="宋体" w:cs="宋体"/>
                <w:kern w:val="0"/>
                <w:sz w:val="24"/>
                <w:szCs w:val="24"/>
              </w:rPr>
            </w:pPr>
            <w:r w:rsidRPr="00384CED">
              <w:rPr>
                <w:rFonts w:ascii="inherit" w:eastAsia="宋体" w:hAnsi="inherit" w:cs="宋体"/>
                <w:b/>
                <w:bCs/>
                <w:color w:val="000000"/>
                <w:kern w:val="0"/>
                <w:sz w:val="24"/>
                <w:szCs w:val="24"/>
              </w:rPr>
              <w:t>RECONCILIATION OF NON-GAAP FINANCIAL MEASURES</w:t>
            </w:r>
          </w:p>
          <w:p w:rsidR="00384CED" w:rsidRPr="00384CED" w:rsidRDefault="00384CED" w:rsidP="00384CED">
            <w:pPr>
              <w:widowControl/>
              <w:spacing w:after="180"/>
              <w:jc w:val="center"/>
              <w:rPr>
                <w:rFonts w:ascii="宋体" w:eastAsia="宋体" w:hAnsi="宋体" w:cs="宋体"/>
                <w:kern w:val="0"/>
                <w:sz w:val="24"/>
                <w:szCs w:val="24"/>
              </w:rPr>
            </w:pPr>
            <w:r w:rsidRPr="00384CED">
              <w:rPr>
                <w:rFonts w:ascii="inherit" w:eastAsia="宋体" w:hAnsi="inherit" w:cs="宋体"/>
                <w:b/>
                <w:bCs/>
                <w:color w:val="000000"/>
                <w:kern w:val="0"/>
                <w:sz w:val="24"/>
                <w:szCs w:val="24"/>
              </w:rPr>
              <w:t>Adjusted General and Administrative Expenses</w:t>
            </w:r>
          </w:p>
          <w:p w:rsidR="00384CED" w:rsidRPr="00384CED" w:rsidRDefault="00384CED" w:rsidP="00384CED">
            <w:pPr>
              <w:widowControl/>
              <w:spacing w:after="180"/>
              <w:jc w:val="center"/>
              <w:rPr>
                <w:rFonts w:ascii="宋体" w:eastAsia="宋体" w:hAnsi="宋体" w:cs="宋体"/>
                <w:kern w:val="0"/>
                <w:sz w:val="24"/>
                <w:szCs w:val="24"/>
              </w:rPr>
            </w:pPr>
            <w:r w:rsidRPr="00384CED">
              <w:rPr>
                <w:rFonts w:ascii="inherit" w:eastAsia="宋体" w:hAnsi="inherit" w:cs="宋体"/>
                <w:b/>
                <w:bCs/>
                <w:color w:val="000000"/>
                <w:kern w:val="0"/>
                <w:sz w:val="24"/>
                <w:szCs w:val="24"/>
              </w:rPr>
              <w:t>(in thousands)</w:t>
            </w:r>
          </w:p>
          <w:p w:rsidR="00384CED" w:rsidRPr="00384CED" w:rsidRDefault="00384CED" w:rsidP="00384CED">
            <w:pPr>
              <w:widowControl/>
              <w:spacing w:after="180"/>
              <w:jc w:val="center"/>
              <w:rPr>
                <w:rFonts w:ascii="宋体" w:eastAsia="宋体" w:hAnsi="宋体" w:cs="宋体"/>
                <w:kern w:val="0"/>
                <w:sz w:val="24"/>
                <w:szCs w:val="24"/>
              </w:rPr>
            </w:pPr>
            <w:r w:rsidRPr="00384CED">
              <w:rPr>
                <w:rFonts w:ascii="inherit" w:eastAsia="宋体" w:hAnsi="inherit" w:cs="宋体"/>
                <w:b/>
                <w:bCs/>
                <w:color w:val="000000"/>
                <w:kern w:val="0"/>
                <w:sz w:val="24"/>
                <w:szCs w:val="24"/>
              </w:rPr>
              <w:t>(unaudited)</w:t>
            </w:r>
          </w:p>
          <w:p w:rsidR="00384CED" w:rsidRPr="00384CED" w:rsidRDefault="00384CED" w:rsidP="00384CED">
            <w:pPr>
              <w:widowControl/>
              <w:spacing w:after="180"/>
              <w:jc w:val="center"/>
              <w:rPr>
                <w:rFonts w:ascii="宋体" w:eastAsia="宋体" w:hAnsi="宋体" w:cs="宋体"/>
                <w:kern w:val="0"/>
                <w:sz w:val="24"/>
                <w:szCs w:val="24"/>
              </w:rPr>
            </w:pPr>
            <w:r w:rsidRPr="00384CED">
              <w:rPr>
                <w:rFonts w:ascii="inherit" w:eastAsia="宋体" w:hAnsi="inherit" w:cs="宋体"/>
                <w:color w:val="000000"/>
                <w:kern w:val="0"/>
                <w:sz w:val="24"/>
                <w:szCs w:val="24"/>
              </w:rPr>
              <w:t> </w:t>
            </w:r>
          </w:p>
        </w:tc>
      </w:tr>
      <w:tr w:rsidR="00384CED" w:rsidRPr="00384CED" w:rsidTr="00384CED">
        <w:trPr>
          <w:gridAfter w:val="1"/>
        </w:trPr>
        <w:tc>
          <w:tcPr>
            <w:tcW w:w="0" w:type="auto"/>
            <w:gridSpan w:val="2"/>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gridSpan w:val="3"/>
            <w:tcBorders>
              <w:top w:val="nil"/>
              <w:left w:val="nil"/>
              <w:bottom w:val="single" w:sz="4" w:space="0" w:color="000000"/>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center"/>
              <w:rPr>
                <w:rFonts w:ascii="宋体" w:eastAsia="宋体" w:hAnsi="宋体" w:cs="宋体"/>
                <w:kern w:val="0"/>
                <w:sz w:val="24"/>
                <w:szCs w:val="24"/>
              </w:rPr>
            </w:pPr>
            <w:r w:rsidRPr="00384CED">
              <w:rPr>
                <w:rFonts w:ascii="inherit" w:eastAsia="宋体" w:hAnsi="inherit" w:cs="宋体"/>
                <w:b/>
                <w:bCs/>
                <w:color w:val="000000"/>
                <w:kern w:val="0"/>
                <w:sz w:val="24"/>
                <w:szCs w:val="24"/>
              </w:rPr>
              <w:t>Three months ended</w:t>
            </w:r>
            <w:r w:rsidRPr="00384CED">
              <w:rPr>
                <w:rFonts w:ascii="inherit" w:eastAsia="宋体" w:hAnsi="inherit" w:cs="宋体"/>
                <w:color w:val="000000"/>
                <w:kern w:val="0"/>
                <w:sz w:val="24"/>
                <w:szCs w:val="24"/>
              </w:rPr>
              <w:br/>
            </w:r>
            <w:r w:rsidRPr="00384CED">
              <w:rPr>
                <w:rFonts w:ascii="inherit" w:eastAsia="宋体" w:hAnsi="inherit" w:cs="宋体"/>
                <w:b/>
                <w:bCs/>
                <w:color w:val="000000"/>
                <w:kern w:val="0"/>
                <w:sz w:val="24"/>
                <w:szCs w:val="24"/>
              </w:rPr>
              <w:t>March 31,</w:t>
            </w:r>
          </w:p>
        </w:tc>
      </w:tr>
      <w:tr w:rsidR="00384CED" w:rsidRPr="00384CED" w:rsidTr="00384CED">
        <w:trPr>
          <w:gridAfter w:val="1"/>
        </w:trPr>
        <w:tc>
          <w:tcPr>
            <w:tcW w:w="0" w:type="auto"/>
            <w:gridSpan w:val="2"/>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center"/>
              <w:rPr>
                <w:rFonts w:ascii="宋体" w:eastAsia="宋体" w:hAnsi="宋体" w:cs="宋体"/>
                <w:kern w:val="0"/>
                <w:sz w:val="24"/>
                <w:szCs w:val="24"/>
              </w:rPr>
            </w:pPr>
            <w:r w:rsidRPr="00384CED">
              <w:rPr>
                <w:rFonts w:ascii="inherit" w:eastAsia="宋体" w:hAnsi="inherit" w:cs="宋体"/>
                <w:b/>
                <w:bCs/>
                <w:color w:val="000000"/>
                <w:kern w:val="0"/>
                <w:sz w:val="24"/>
                <w:szCs w:val="24"/>
              </w:rPr>
              <w:t>2026</w:t>
            </w:r>
          </w:p>
        </w:tc>
        <w:tc>
          <w:tcPr>
            <w:tcW w:w="0" w:type="auto"/>
            <w:tcBorders>
              <w:top w:val="single" w:sz="4" w:space="0" w:color="000000"/>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single" w:sz="4" w:space="0" w:color="000000"/>
              <w:left w:val="nil"/>
              <w:bottom w:val="single" w:sz="4" w:space="0" w:color="000000"/>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center"/>
              <w:rPr>
                <w:rFonts w:ascii="宋体" w:eastAsia="宋体" w:hAnsi="宋体" w:cs="宋体"/>
                <w:kern w:val="0"/>
                <w:sz w:val="24"/>
                <w:szCs w:val="24"/>
              </w:rPr>
            </w:pPr>
            <w:r w:rsidRPr="00384CED">
              <w:rPr>
                <w:rFonts w:ascii="inherit" w:eastAsia="宋体" w:hAnsi="inherit" w:cs="宋体"/>
                <w:b/>
                <w:bCs/>
                <w:color w:val="000000"/>
                <w:kern w:val="0"/>
                <w:sz w:val="24"/>
                <w:szCs w:val="24"/>
              </w:rPr>
              <w:t>2025</w:t>
            </w:r>
          </w:p>
        </w:tc>
      </w:tr>
      <w:tr w:rsidR="00384CED" w:rsidRPr="00384CED" w:rsidTr="00384CED">
        <w:trPr>
          <w:gridAfter w:val="1"/>
        </w:trPr>
        <w:tc>
          <w:tcPr>
            <w:tcW w:w="0" w:type="auto"/>
            <w:gridSpan w:val="2"/>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General and administrative expenses</w:t>
            </w:r>
          </w:p>
        </w:tc>
        <w:tc>
          <w:tcPr>
            <w:tcW w:w="0" w:type="auto"/>
            <w:tcBorders>
              <w:top w:val="single" w:sz="4" w:space="0" w:color="000000"/>
              <w:left w:val="nil"/>
              <w:bottom w:val="single" w:sz="4" w:space="0" w:color="000000"/>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      203,720</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single" w:sz="4" w:space="0" w:color="000000"/>
              <w:left w:val="nil"/>
              <w:bottom w:val="single" w:sz="4" w:space="0" w:color="000000"/>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      172,783</w:t>
            </w:r>
          </w:p>
        </w:tc>
      </w:tr>
      <w:tr w:rsidR="00384CED" w:rsidRPr="00384CED" w:rsidTr="00384CED">
        <w:trPr>
          <w:gridAfter w:val="1"/>
        </w:trPr>
        <w:tc>
          <w:tcPr>
            <w:tcW w:w="0" w:type="auto"/>
            <w:gridSpan w:val="2"/>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i/>
                <w:iCs/>
                <w:color w:val="000000"/>
                <w:kern w:val="0"/>
                <w:sz w:val="24"/>
                <w:szCs w:val="24"/>
              </w:rPr>
              <w:t>Non-GAAP adjustments:</w:t>
            </w:r>
          </w:p>
        </w:tc>
        <w:tc>
          <w:tcPr>
            <w:tcW w:w="0" w:type="auto"/>
            <w:tcBorders>
              <w:top w:val="single" w:sz="4" w:space="0" w:color="000000"/>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r>
      <w:tr w:rsidR="00384CED" w:rsidRPr="00384CED" w:rsidTr="00384CED">
        <w:trPr>
          <w:gridAfter w:val="1"/>
        </w:trPr>
        <w:tc>
          <w:tcPr>
            <w:tcW w:w="0" w:type="auto"/>
            <w:gridSpan w:val="2"/>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Recipe for Growth restructuring</w:t>
            </w:r>
            <w:r w:rsidRPr="00384CED">
              <w:rPr>
                <w:rFonts w:ascii="inherit" w:eastAsia="宋体" w:hAnsi="inherit" w:cs="宋体"/>
                <w:color w:val="000000"/>
                <w:kern w:val="0"/>
                <w:sz w:val="18"/>
                <w:szCs w:val="18"/>
                <w:vertAlign w:val="superscript"/>
              </w:rPr>
              <w:t>(1)</w:t>
            </w:r>
          </w:p>
        </w:tc>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(2,140)</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w:t>
            </w:r>
          </w:p>
        </w:tc>
      </w:tr>
      <w:tr w:rsidR="00384CED" w:rsidRPr="00384CED" w:rsidTr="00384CED">
        <w:trPr>
          <w:gridAfter w:val="1"/>
        </w:trPr>
        <w:tc>
          <w:tcPr>
            <w:tcW w:w="0" w:type="auto"/>
            <w:gridSpan w:val="2"/>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Legal proceedings-General and administrative</w:t>
            </w:r>
            <w:r w:rsidRPr="00384CED">
              <w:rPr>
                <w:rFonts w:ascii="inherit" w:eastAsia="宋体" w:hAnsi="inherit" w:cs="宋体"/>
                <w:color w:val="000000"/>
                <w:kern w:val="0"/>
                <w:sz w:val="18"/>
                <w:szCs w:val="18"/>
                <w:vertAlign w:val="superscript"/>
              </w:rPr>
              <w:t>(2)</w:t>
            </w:r>
          </w:p>
        </w:tc>
        <w:tc>
          <w:tcPr>
            <w:tcW w:w="0" w:type="auto"/>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(625)</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w:t>
            </w:r>
          </w:p>
        </w:tc>
      </w:tr>
      <w:tr w:rsidR="00384CED" w:rsidRPr="00384CED" w:rsidTr="00384CED">
        <w:trPr>
          <w:gridAfter w:val="1"/>
        </w:trPr>
        <w:tc>
          <w:tcPr>
            <w:tcW w:w="0" w:type="auto"/>
            <w:gridSpan w:val="2"/>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Stock-based compensation</w:t>
            </w:r>
            <w:r w:rsidRPr="00384CED">
              <w:rPr>
                <w:rFonts w:ascii="inherit" w:eastAsia="宋体" w:hAnsi="inherit" w:cs="宋体"/>
                <w:color w:val="000000"/>
                <w:kern w:val="0"/>
                <w:sz w:val="18"/>
                <w:szCs w:val="18"/>
                <w:vertAlign w:val="superscript"/>
              </w:rPr>
              <w:t>(3)</w:t>
            </w:r>
          </w:p>
        </w:tc>
        <w:tc>
          <w:tcPr>
            <w:tcW w:w="0" w:type="auto"/>
            <w:tcBorders>
              <w:top w:val="nil"/>
              <w:left w:val="nil"/>
              <w:bottom w:val="single" w:sz="4" w:space="0" w:color="000000"/>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(3,007)</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(11,877)</w:t>
            </w:r>
          </w:p>
        </w:tc>
      </w:tr>
      <w:tr w:rsidR="00384CED" w:rsidRPr="00384CED" w:rsidTr="00384CED">
        <w:trPr>
          <w:gridAfter w:val="1"/>
        </w:trPr>
        <w:tc>
          <w:tcPr>
            <w:tcW w:w="0" w:type="auto"/>
            <w:gridSpan w:val="2"/>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Total non-GAAP adjustments</w:t>
            </w:r>
          </w:p>
        </w:tc>
        <w:tc>
          <w:tcPr>
            <w:tcW w:w="0" w:type="auto"/>
            <w:tcBorders>
              <w:top w:val="single" w:sz="4" w:space="0" w:color="000000"/>
              <w:left w:val="nil"/>
              <w:bottom w:val="single" w:sz="4" w:space="0" w:color="000000"/>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(5,772)</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single" w:sz="4" w:space="0" w:color="000000"/>
              <w:left w:val="nil"/>
              <w:bottom w:val="single" w:sz="4" w:space="0" w:color="000000"/>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(11,877)</w:t>
            </w:r>
          </w:p>
        </w:tc>
      </w:tr>
      <w:tr w:rsidR="00384CED" w:rsidRPr="00384CED" w:rsidTr="00384CED">
        <w:trPr>
          <w:gridAfter w:val="1"/>
        </w:trPr>
        <w:tc>
          <w:tcPr>
            <w:tcW w:w="0" w:type="auto"/>
            <w:gridSpan w:val="2"/>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Adjusted general and administrative expenses</w:t>
            </w:r>
          </w:p>
        </w:tc>
        <w:tc>
          <w:tcPr>
            <w:tcW w:w="0" w:type="auto"/>
            <w:tcBorders>
              <w:top w:val="single" w:sz="4" w:space="0" w:color="000000"/>
              <w:left w:val="nil"/>
              <w:bottom w:val="double" w:sz="6" w:space="0" w:color="000000"/>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      197,948</w:t>
            </w:r>
          </w:p>
        </w:tc>
        <w:tc>
          <w:tcPr>
            <w:tcW w:w="0" w:type="auto"/>
            <w:tcBorders>
              <w:top w:val="nil"/>
              <w:left w:val="nil"/>
              <w:bottom w:val="nil"/>
              <w:right w:val="nil"/>
            </w:tcBorders>
            <w:noWrap/>
            <w:tcMar>
              <w:top w:w="75" w:type="dxa"/>
              <w:left w:w="41" w:type="dxa"/>
              <w:bottom w:w="75" w:type="dxa"/>
              <w:right w:w="7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single" w:sz="4" w:space="0" w:color="000000"/>
              <w:left w:val="nil"/>
              <w:bottom w:val="double" w:sz="6" w:space="0" w:color="000000"/>
              <w:right w:val="nil"/>
            </w:tcBorders>
            <w:noWrap/>
            <w:tcMar>
              <w:top w:w="75" w:type="dxa"/>
              <w:left w:w="41" w:type="dxa"/>
              <w:bottom w:w="75" w:type="dxa"/>
              <w:right w:w="7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      160,906</w:t>
            </w:r>
          </w:p>
        </w:tc>
      </w:tr>
      <w:tr w:rsidR="00384CED" w:rsidRPr="00384CED" w:rsidTr="00384CED">
        <w:tc>
          <w:tcPr>
            <w:tcW w:w="0" w:type="auto"/>
            <w:tcBorders>
              <w:top w:val="nil"/>
              <w:left w:val="nil"/>
              <w:bottom w:val="nil"/>
              <w:right w:val="nil"/>
            </w:tcBorders>
            <w:tcMar>
              <w:top w:w="75" w:type="dxa"/>
              <w:left w:w="41" w:type="dxa"/>
              <w:bottom w:w="75" w:type="dxa"/>
              <w:right w:w="79" w:type="dxa"/>
            </w:tcMar>
            <w:hideMark/>
          </w:tcPr>
          <w:p w:rsidR="00384CED" w:rsidRPr="00384CED" w:rsidRDefault="00384CED" w:rsidP="00384CED">
            <w:pPr>
              <w:widowControl/>
              <w:jc w:val="left"/>
              <w:rPr>
                <w:rFonts w:ascii="Arial" w:eastAsia="宋体" w:hAnsi="Arial" w:cs="Arial"/>
                <w:color w:val="000000"/>
                <w:kern w:val="0"/>
                <w:sz w:val="16"/>
                <w:szCs w:val="16"/>
              </w:rPr>
            </w:pPr>
          </w:p>
        </w:tc>
        <w:tc>
          <w:tcPr>
            <w:tcW w:w="0" w:type="auto"/>
            <w:gridSpan w:val="5"/>
            <w:tcBorders>
              <w:top w:val="nil"/>
              <w:left w:val="nil"/>
              <w:bottom w:val="nil"/>
              <w:right w:val="nil"/>
            </w:tcBorders>
            <w:tcMar>
              <w:top w:w="75" w:type="dxa"/>
              <w:left w:w="41" w:type="dxa"/>
              <w:bottom w:w="75" w:type="dxa"/>
              <w:right w:w="79" w:type="dxa"/>
            </w:tcMar>
            <w:hideMark/>
          </w:tcPr>
          <w:p w:rsidR="00384CED" w:rsidRPr="00384CED" w:rsidRDefault="00384CED" w:rsidP="00384CED">
            <w:pPr>
              <w:widowControl/>
              <w:jc w:val="left"/>
              <w:rPr>
                <w:rFonts w:ascii="Arial" w:eastAsia="宋体" w:hAnsi="Arial" w:cs="Arial"/>
                <w:color w:val="000000"/>
                <w:kern w:val="0"/>
                <w:sz w:val="16"/>
                <w:szCs w:val="16"/>
              </w:rPr>
            </w:pPr>
          </w:p>
        </w:tc>
      </w:tr>
      <w:tr w:rsidR="00384CED" w:rsidRPr="00384CED" w:rsidTr="00384CED">
        <w:tc>
          <w:tcPr>
            <w:tcW w:w="0" w:type="auto"/>
            <w:tcBorders>
              <w:top w:val="nil"/>
              <w:left w:val="nil"/>
              <w:bottom w:val="nil"/>
              <w:right w:val="nil"/>
            </w:tcBorders>
            <w:tcMar>
              <w:top w:w="75" w:type="dxa"/>
              <w:left w:w="41" w:type="dxa"/>
              <w:bottom w:w="75" w:type="dxa"/>
              <w:right w:w="41" w:type="dxa"/>
            </w:tcMar>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(1)</w:t>
            </w:r>
          </w:p>
        </w:tc>
        <w:tc>
          <w:tcPr>
            <w:tcW w:w="0" w:type="auto"/>
            <w:gridSpan w:val="5"/>
            <w:tcBorders>
              <w:top w:val="nil"/>
              <w:left w:val="nil"/>
              <w:bottom w:val="nil"/>
              <w:right w:val="nil"/>
            </w:tcBorders>
            <w:tcMar>
              <w:top w:w="75" w:type="dxa"/>
              <w:left w:w="41" w:type="dxa"/>
              <w:bottom w:w="75" w:type="dxa"/>
              <w:right w:w="41" w:type="dxa"/>
            </w:tcMar>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Cost for restructuring including employee severance, recruitment, other third-party restructuring costs, and stock-based compensation, net of forfeitures.</w:t>
            </w:r>
          </w:p>
        </w:tc>
      </w:tr>
      <w:tr w:rsidR="00384CED" w:rsidRPr="00384CED" w:rsidTr="00384CED">
        <w:tc>
          <w:tcPr>
            <w:tcW w:w="0" w:type="auto"/>
            <w:tcBorders>
              <w:top w:val="nil"/>
              <w:left w:val="nil"/>
              <w:bottom w:val="nil"/>
              <w:right w:val="nil"/>
            </w:tcBorders>
            <w:tcMar>
              <w:top w:w="75" w:type="dxa"/>
              <w:left w:w="41" w:type="dxa"/>
              <w:bottom w:w="75" w:type="dxa"/>
              <w:right w:w="41" w:type="dxa"/>
            </w:tcMar>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(2)</w:t>
            </w:r>
          </w:p>
        </w:tc>
        <w:tc>
          <w:tcPr>
            <w:tcW w:w="0" w:type="auto"/>
            <w:gridSpan w:val="5"/>
            <w:tcBorders>
              <w:top w:val="nil"/>
              <w:left w:val="nil"/>
              <w:bottom w:val="nil"/>
              <w:right w:val="nil"/>
            </w:tcBorders>
            <w:tcMar>
              <w:top w:w="75" w:type="dxa"/>
              <w:left w:w="41" w:type="dxa"/>
              <w:bottom w:w="75" w:type="dxa"/>
              <w:right w:w="41" w:type="dxa"/>
            </w:tcMar>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Estimated liability recognized in general and administrative expenses on the condensed consolidated statements of income for legal matters that we expect to exceed typical costs for legal proceedings.</w:t>
            </w:r>
          </w:p>
        </w:tc>
      </w:tr>
      <w:tr w:rsidR="00384CED" w:rsidRPr="00384CED" w:rsidTr="00384CED">
        <w:tc>
          <w:tcPr>
            <w:tcW w:w="0" w:type="auto"/>
            <w:tcBorders>
              <w:top w:val="nil"/>
              <w:left w:val="nil"/>
              <w:bottom w:val="nil"/>
              <w:right w:val="nil"/>
            </w:tcBorders>
            <w:tcMar>
              <w:top w:w="75" w:type="dxa"/>
              <w:left w:w="41" w:type="dxa"/>
              <w:bottom w:w="75" w:type="dxa"/>
              <w:right w:w="41" w:type="dxa"/>
            </w:tcMar>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(3)</w:t>
            </w:r>
          </w:p>
        </w:tc>
        <w:tc>
          <w:tcPr>
            <w:tcW w:w="0" w:type="auto"/>
            <w:gridSpan w:val="5"/>
            <w:tcBorders>
              <w:top w:val="nil"/>
              <w:left w:val="nil"/>
              <w:bottom w:val="nil"/>
              <w:right w:val="nil"/>
            </w:tcBorders>
            <w:tcMar>
              <w:top w:w="75" w:type="dxa"/>
              <w:left w:w="41" w:type="dxa"/>
              <w:bottom w:w="75" w:type="dxa"/>
              <w:right w:w="41" w:type="dxa"/>
            </w:tcMar>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Stock-based compensation for retention equity awards granted to certain executives in connection with the former CEO's departure.</w:t>
            </w:r>
          </w:p>
        </w:tc>
      </w:tr>
    </w:tbl>
    <w:p w:rsidR="00384CED" w:rsidRPr="00384CED" w:rsidRDefault="00384CED" w:rsidP="00384CED">
      <w:pPr>
        <w:widowControl/>
        <w:shd w:val="clear" w:color="auto" w:fill="FFFFFF"/>
        <w:spacing w:after="180"/>
        <w:jc w:val="left"/>
        <w:rPr>
          <w:rFonts w:ascii="Helvetica" w:eastAsia="宋体" w:hAnsi="Helvetica" w:cs="Helvetica"/>
          <w:color w:val="54392D"/>
          <w:kern w:val="0"/>
          <w:sz w:val="24"/>
          <w:szCs w:val="24"/>
        </w:rPr>
      </w:pPr>
      <w:r w:rsidRPr="00384CED">
        <w:rPr>
          <w:rFonts w:ascii="Helvetica" w:eastAsia="宋体" w:hAnsi="Helvetica" w:cs="Helvetica"/>
          <w:color w:val="54392D"/>
          <w:kern w:val="0"/>
          <w:sz w:val="24"/>
          <w:szCs w:val="24"/>
        </w:rPr>
        <w:t> </w:t>
      </w:r>
    </w:p>
    <w:tbl>
      <w:tblPr>
        <w:tblW w:w="0" w:type="auto"/>
        <w:tblCellMar>
          <w:top w:w="15" w:type="dxa"/>
          <w:left w:w="15" w:type="dxa"/>
          <w:bottom w:w="15" w:type="dxa"/>
          <w:right w:w="15" w:type="dxa"/>
        </w:tblCellMar>
        <w:tblLook w:val="04A0" w:firstRow="1" w:lastRow="0" w:firstColumn="1" w:lastColumn="0" w:noHBand="0" w:noVBand="1"/>
      </w:tblPr>
      <w:tblGrid>
        <w:gridCol w:w="362"/>
        <w:gridCol w:w="4337"/>
        <w:gridCol w:w="943"/>
        <w:gridCol w:w="304"/>
        <w:gridCol w:w="942"/>
        <w:gridCol w:w="1418"/>
      </w:tblGrid>
      <w:tr w:rsidR="00384CED" w:rsidRPr="00384CED" w:rsidTr="00384CED">
        <w:trPr>
          <w:gridAfter w:val="1"/>
        </w:trPr>
        <w:tc>
          <w:tcPr>
            <w:tcW w:w="0" w:type="auto"/>
            <w:gridSpan w:val="5"/>
            <w:tcBorders>
              <w:top w:val="nil"/>
              <w:left w:val="nil"/>
              <w:bottom w:val="nil"/>
              <w:right w:val="nil"/>
            </w:tcBorders>
            <w:tcMar>
              <w:top w:w="75" w:type="dxa"/>
              <w:left w:w="41" w:type="dxa"/>
              <w:bottom w:w="75" w:type="dxa"/>
              <w:right w:w="41" w:type="dxa"/>
            </w:tcMar>
            <w:vAlign w:val="bottom"/>
            <w:hideMark/>
          </w:tcPr>
          <w:p w:rsidR="00384CED" w:rsidRPr="00384CED" w:rsidRDefault="00384CED" w:rsidP="00384CED">
            <w:pPr>
              <w:widowControl/>
              <w:spacing w:after="180"/>
              <w:jc w:val="center"/>
              <w:rPr>
                <w:rFonts w:ascii="宋体" w:eastAsia="宋体" w:hAnsi="宋体" w:cs="宋体"/>
                <w:kern w:val="0"/>
                <w:sz w:val="24"/>
                <w:szCs w:val="24"/>
              </w:rPr>
            </w:pPr>
            <w:r w:rsidRPr="00384CED">
              <w:rPr>
                <w:rFonts w:ascii="inherit" w:eastAsia="宋体" w:hAnsi="inherit" w:cs="宋体"/>
                <w:b/>
                <w:bCs/>
                <w:color w:val="000000"/>
                <w:kern w:val="0"/>
                <w:sz w:val="24"/>
                <w:szCs w:val="24"/>
              </w:rPr>
              <w:t>CHIPOTLE MEXICAN GRILL, INC.</w:t>
            </w:r>
          </w:p>
          <w:p w:rsidR="00384CED" w:rsidRPr="00384CED" w:rsidRDefault="00384CED" w:rsidP="00384CED">
            <w:pPr>
              <w:widowControl/>
              <w:spacing w:after="180"/>
              <w:jc w:val="center"/>
              <w:rPr>
                <w:rFonts w:ascii="宋体" w:eastAsia="宋体" w:hAnsi="宋体" w:cs="宋体"/>
                <w:kern w:val="0"/>
                <w:sz w:val="24"/>
                <w:szCs w:val="24"/>
              </w:rPr>
            </w:pPr>
            <w:r w:rsidRPr="00384CED">
              <w:rPr>
                <w:rFonts w:ascii="inherit" w:eastAsia="宋体" w:hAnsi="inherit" w:cs="宋体"/>
                <w:b/>
                <w:bCs/>
                <w:color w:val="000000"/>
                <w:kern w:val="0"/>
                <w:sz w:val="24"/>
                <w:szCs w:val="24"/>
              </w:rPr>
              <w:t>RECONCILIATION OF NON-GAAP FINANCIAL MEASURES</w:t>
            </w:r>
          </w:p>
          <w:p w:rsidR="00384CED" w:rsidRPr="00384CED" w:rsidRDefault="00384CED" w:rsidP="00384CED">
            <w:pPr>
              <w:widowControl/>
              <w:spacing w:after="180"/>
              <w:jc w:val="center"/>
              <w:rPr>
                <w:rFonts w:ascii="宋体" w:eastAsia="宋体" w:hAnsi="宋体" w:cs="宋体"/>
                <w:kern w:val="0"/>
                <w:sz w:val="24"/>
                <w:szCs w:val="24"/>
              </w:rPr>
            </w:pPr>
            <w:r w:rsidRPr="00384CED">
              <w:rPr>
                <w:rFonts w:ascii="inherit" w:eastAsia="宋体" w:hAnsi="inherit" w:cs="宋体"/>
                <w:b/>
                <w:bCs/>
                <w:color w:val="000000"/>
                <w:kern w:val="0"/>
                <w:sz w:val="24"/>
                <w:szCs w:val="24"/>
              </w:rPr>
              <w:t>Adjusted Effective Income Tax Rate</w:t>
            </w:r>
          </w:p>
          <w:p w:rsidR="00384CED" w:rsidRPr="00384CED" w:rsidRDefault="00384CED" w:rsidP="00384CED">
            <w:pPr>
              <w:widowControl/>
              <w:spacing w:after="180"/>
              <w:jc w:val="center"/>
              <w:rPr>
                <w:rFonts w:ascii="宋体" w:eastAsia="宋体" w:hAnsi="宋体" w:cs="宋体"/>
                <w:kern w:val="0"/>
                <w:sz w:val="24"/>
                <w:szCs w:val="24"/>
              </w:rPr>
            </w:pPr>
            <w:r w:rsidRPr="00384CED">
              <w:rPr>
                <w:rFonts w:ascii="inherit" w:eastAsia="宋体" w:hAnsi="inherit" w:cs="宋体"/>
                <w:b/>
                <w:bCs/>
                <w:color w:val="000000"/>
                <w:kern w:val="0"/>
                <w:sz w:val="24"/>
                <w:szCs w:val="24"/>
              </w:rPr>
              <w:t>(unaudited)</w:t>
            </w:r>
          </w:p>
        </w:tc>
      </w:tr>
      <w:tr w:rsidR="00384CED" w:rsidRPr="00384CED" w:rsidTr="00384CED">
        <w:trPr>
          <w:gridAfter w:val="1"/>
        </w:trPr>
        <w:tc>
          <w:tcPr>
            <w:tcW w:w="0" w:type="auto"/>
            <w:gridSpan w:val="2"/>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gridSpan w:val="3"/>
            <w:tcBorders>
              <w:top w:val="nil"/>
              <w:left w:val="nil"/>
              <w:bottom w:val="single" w:sz="4" w:space="0" w:color="000000"/>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center"/>
              <w:rPr>
                <w:rFonts w:ascii="宋体" w:eastAsia="宋体" w:hAnsi="宋体" w:cs="宋体"/>
                <w:kern w:val="0"/>
                <w:sz w:val="24"/>
                <w:szCs w:val="24"/>
              </w:rPr>
            </w:pPr>
            <w:r w:rsidRPr="00384CED">
              <w:rPr>
                <w:rFonts w:ascii="inherit" w:eastAsia="宋体" w:hAnsi="inherit" w:cs="宋体"/>
                <w:b/>
                <w:bCs/>
                <w:color w:val="000000"/>
                <w:kern w:val="0"/>
                <w:sz w:val="24"/>
                <w:szCs w:val="24"/>
              </w:rPr>
              <w:t>Three months ended</w:t>
            </w:r>
            <w:r w:rsidRPr="00384CED">
              <w:rPr>
                <w:rFonts w:ascii="inherit" w:eastAsia="宋体" w:hAnsi="inherit" w:cs="宋体"/>
                <w:color w:val="000000"/>
                <w:kern w:val="0"/>
                <w:sz w:val="24"/>
                <w:szCs w:val="24"/>
              </w:rPr>
              <w:br/>
            </w:r>
            <w:r w:rsidRPr="00384CED">
              <w:rPr>
                <w:rFonts w:ascii="inherit" w:eastAsia="宋体" w:hAnsi="inherit" w:cs="宋体"/>
                <w:b/>
                <w:bCs/>
                <w:color w:val="000000"/>
                <w:kern w:val="0"/>
                <w:sz w:val="24"/>
                <w:szCs w:val="24"/>
              </w:rPr>
              <w:t>March 31,</w:t>
            </w:r>
          </w:p>
        </w:tc>
      </w:tr>
      <w:tr w:rsidR="00384CED" w:rsidRPr="00384CED" w:rsidTr="00384CED">
        <w:trPr>
          <w:gridAfter w:val="1"/>
        </w:trPr>
        <w:tc>
          <w:tcPr>
            <w:tcW w:w="0" w:type="auto"/>
            <w:gridSpan w:val="2"/>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center"/>
              <w:rPr>
                <w:rFonts w:ascii="宋体" w:eastAsia="宋体" w:hAnsi="宋体" w:cs="宋体"/>
                <w:kern w:val="0"/>
                <w:sz w:val="24"/>
                <w:szCs w:val="24"/>
              </w:rPr>
            </w:pPr>
            <w:r w:rsidRPr="00384CED">
              <w:rPr>
                <w:rFonts w:ascii="inherit" w:eastAsia="宋体" w:hAnsi="inherit" w:cs="宋体"/>
                <w:b/>
                <w:bCs/>
                <w:color w:val="000000"/>
                <w:kern w:val="0"/>
                <w:sz w:val="24"/>
                <w:szCs w:val="24"/>
              </w:rPr>
              <w:t>2026</w:t>
            </w:r>
          </w:p>
        </w:tc>
        <w:tc>
          <w:tcPr>
            <w:tcW w:w="0" w:type="auto"/>
            <w:tcBorders>
              <w:top w:val="single" w:sz="4" w:space="0" w:color="000000"/>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single" w:sz="4" w:space="0" w:color="000000"/>
              <w:left w:val="nil"/>
              <w:bottom w:val="single" w:sz="4" w:space="0" w:color="000000"/>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center"/>
              <w:rPr>
                <w:rFonts w:ascii="宋体" w:eastAsia="宋体" w:hAnsi="宋体" w:cs="宋体"/>
                <w:kern w:val="0"/>
                <w:sz w:val="24"/>
                <w:szCs w:val="24"/>
              </w:rPr>
            </w:pPr>
            <w:r w:rsidRPr="00384CED">
              <w:rPr>
                <w:rFonts w:ascii="inherit" w:eastAsia="宋体" w:hAnsi="inherit" w:cs="宋体"/>
                <w:b/>
                <w:bCs/>
                <w:color w:val="000000"/>
                <w:kern w:val="0"/>
                <w:sz w:val="24"/>
                <w:szCs w:val="24"/>
              </w:rPr>
              <w:t>2025</w:t>
            </w:r>
          </w:p>
        </w:tc>
      </w:tr>
      <w:tr w:rsidR="00384CED" w:rsidRPr="00384CED" w:rsidTr="00384CED">
        <w:trPr>
          <w:gridAfter w:val="1"/>
        </w:trPr>
        <w:tc>
          <w:tcPr>
            <w:tcW w:w="0" w:type="auto"/>
            <w:gridSpan w:val="2"/>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Effective income tax rate</w:t>
            </w:r>
          </w:p>
        </w:tc>
        <w:tc>
          <w:tcPr>
            <w:tcW w:w="0" w:type="auto"/>
            <w:tcBorders>
              <w:top w:val="single" w:sz="4" w:space="0" w:color="000000"/>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25.4 %</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22.9 %</w:t>
            </w:r>
          </w:p>
        </w:tc>
      </w:tr>
      <w:tr w:rsidR="00384CED" w:rsidRPr="00384CED" w:rsidTr="00384CED">
        <w:trPr>
          <w:gridAfter w:val="1"/>
        </w:trPr>
        <w:tc>
          <w:tcPr>
            <w:tcW w:w="0" w:type="auto"/>
            <w:gridSpan w:val="2"/>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Tax impact of non-GAAP adjustments</w:t>
            </w:r>
            <w:r w:rsidRPr="00384CED">
              <w:rPr>
                <w:rFonts w:ascii="inherit" w:eastAsia="宋体" w:hAnsi="inherit" w:cs="宋体"/>
                <w:color w:val="000000"/>
                <w:kern w:val="0"/>
                <w:sz w:val="18"/>
                <w:szCs w:val="18"/>
                <w:vertAlign w:val="superscript"/>
              </w:rPr>
              <w:t>(1)</w:t>
            </w:r>
          </w:p>
        </w:tc>
        <w:tc>
          <w:tcPr>
            <w:tcW w:w="0" w:type="auto"/>
            <w:tcBorders>
              <w:top w:val="nil"/>
              <w:left w:val="nil"/>
              <w:bottom w:val="single" w:sz="4" w:space="0" w:color="000000"/>
              <w:right w:val="nil"/>
            </w:tcBorders>
            <w:noWrap/>
            <w:tcMar>
              <w:top w:w="75" w:type="dxa"/>
              <w:left w:w="41" w:type="dxa"/>
              <w:bottom w:w="75" w:type="dxa"/>
              <w:right w:w="120"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(0.1)</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75" w:type="dxa"/>
              <w:left w:w="41" w:type="dxa"/>
              <w:bottom w:w="75" w:type="dxa"/>
              <w:right w:w="120"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(0.2)</w:t>
            </w:r>
          </w:p>
        </w:tc>
      </w:tr>
      <w:tr w:rsidR="00384CED" w:rsidRPr="00384CED" w:rsidTr="00384CED">
        <w:trPr>
          <w:gridAfter w:val="1"/>
        </w:trPr>
        <w:tc>
          <w:tcPr>
            <w:tcW w:w="0" w:type="auto"/>
            <w:gridSpan w:val="2"/>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Adjusted effective income tax rate</w:t>
            </w:r>
          </w:p>
        </w:tc>
        <w:tc>
          <w:tcPr>
            <w:tcW w:w="0" w:type="auto"/>
            <w:tcBorders>
              <w:top w:val="single" w:sz="4" w:space="0" w:color="000000"/>
              <w:left w:val="nil"/>
              <w:bottom w:val="double" w:sz="6" w:space="0" w:color="000000"/>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25.3 %</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single" w:sz="4" w:space="0" w:color="000000"/>
              <w:left w:val="nil"/>
              <w:bottom w:val="double" w:sz="6" w:space="0" w:color="000000"/>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22.7 %</w:t>
            </w:r>
          </w:p>
        </w:tc>
      </w:tr>
      <w:tr w:rsidR="00384CED" w:rsidRPr="00384CED" w:rsidTr="00384CED">
        <w:tc>
          <w:tcPr>
            <w:tcW w:w="0" w:type="auto"/>
            <w:tcBorders>
              <w:top w:val="nil"/>
              <w:left w:val="nil"/>
              <w:bottom w:val="nil"/>
              <w:right w:val="nil"/>
            </w:tcBorders>
            <w:tcMar>
              <w:top w:w="75" w:type="dxa"/>
              <w:left w:w="41" w:type="dxa"/>
              <w:bottom w:w="75" w:type="dxa"/>
              <w:right w:w="79" w:type="dxa"/>
            </w:tcMar>
            <w:hideMark/>
          </w:tcPr>
          <w:p w:rsidR="00384CED" w:rsidRPr="00384CED" w:rsidRDefault="00384CED" w:rsidP="00384CED">
            <w:pPr>
              <w:widowControl/>
              <w:jc w:val="left"/>
              <w:rPr>
                <w:rFonts w:ascii="Arial" w:eastAsia="宋体" w:hAnsi="Arial" w:cs="Arial"/>
                <w:color w:val="000000"/>
                <w:kern w:val="0"/>
                <w:sz w:val="16"/>
                <w:szCs w:val="16"/>
              </w:rPr>
            </w:pPr>
          </w:p>
        </w:tc>
        <w:tc>
          <w:tcPr>
            <w:tcW w:w="0" w:type="auto"/>
            <w:gridSpan w:val="5"/>
            <w:tcBorders>
              <w:top w:val="nil"/>
              <w:left w:val="nil"/>
              <w:bottom w:val="nil"/>
              <w:right w:val="nil"/>
            </w:tcBorders>
            <w:tcMar>
              <w:top w:w="75" w:type="dxa"/>
              <w:left w:w="41" w:type="dxa"/>
              <w:bottom w:w="75" w:type="dxa"/>
              <w:right w:w="79" w:type="dxa"/>
            </w:tcMar>
            <w:hideMark/>
          </w:tcPr>
          <w:p w:rsidR="00384CED" w:rsidRPr="00384CED" w:rsidRDefault="00384CED" w:rsidP="00384CED">
            <w:pPr>
              <w:widowControl/>
              <w:jc w:val="left"/>
              <w:rPr>
                <w:rFonts w:ascii="Arial" w:eastAsia="宋体" w:hAnsi="Arial" w:cs="Arial"/>
                <w:color w:val="000000"/>
                <w:kern w:val="0"/>
                <w:sz w:val="16"/>
                <w:szCs w:val="16"/>
              </w:rPr>
            </w:pPr>
          </w:p>
        </w:tc>
      </w:tr>
      <w:tr w:rsidR="00384CED" w:rsidRPr="00384CED" w:rsidTr="00384CED">
        <w:tc>
          <w:tcPr>
            <w:tcW w:w="0" w:type="auto"/>
            <w:tcBorders>
              <w:top w:val="nil"/>
              <w:left w:val="nil"/>
              <w:bottom w:val="nil"/>
              <w:right w:val="nil"/>
            </w:tcBorders>
            <w:tcMar>
              <w:top w:w="75" w:type="dxa"/>
              <w:left w:w="41" w:type="dxa"/>
              <w:bottom w:w="75" w:type="dxa"/>
              <w:right w:w="41" w:type="dxa"/>
            </w:tcMar>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(1)</w:t>
            </w:r>
          </w:p>
        </w:tc>
        <w:tc>
          <w:tcPr>
            <w:tcW w:w="0" w:type="auto"/>
            <w:gridSpan w:val="5"/>
            <w:tcBorders>
              <w:top w:val="nil"/>
              <w:left w:val="nil"/>
              <w:bottom w:val="nil"/>
              <w:right w:val="nil"/>
            </w:tcBorders>
            <w:tcMar>
              <w:top w:w="75" w:type="dxa"/>
              <w:left w:w="41" w:type="dxa"/>
              <w:bottom w:w="75" w:type="dxa"/>
              <w:right w:w="41" w:type="dxa"/>
            </w:tcMar>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Adjustments related to the tax effect of non-GAAP adjustments, which were determined based on the nature of the underlying non-GAAP adjustments and their relevant jurisdictional tax rates.</w:t>
            </w:r>
          </w:p>
        </w:tc>
      </w:tr>
    </w:tbl>
    <w:p w:rsidR="00384CED" w:rsidRPr="00384CED" w:rsidRDefault="00384CED" w:rsidP="00384CED">
      <w:pPr>
        <w:widowControl/>
        <w:shd w:val="clear" w:color="auto" w:fill="FFFFFF"/>
        <w:spacing w:after="180"/>
        <w:jc w:val="left"/>
        <w:rPr>
          <w:rFonts w:ascii="Helvetica" w:eastAsia="宋体" w:hAnsi="Helvetica" w:cs="Helvetica"/>
          <w:color w:val="54392D"/>
          <w:kern w:val="0"/>
          <w:sz w:val="24"/>
          <w:szCs w:val="24"/>
        </w:rPr>
      </w:pPr>
      <w:r w:rsidRPr="00384CED">
        <w:rPr>
          <w:rFonts w:ascii="Helvetica" w:eastAsia="宋体" w:hAnsi="Helvetica" w:cs="Helvetica"/>
          <w:color w:val="54392D"/>
          <w:kern w:val="0"/>
          <w:sz w:val="24"/>
          <w:szCs w:val="24"/>
        </w:rPr>
        <w:t> </w:t>
      </w:r>
    </w:p>
    <w:tbl>
      <w:tblPr>
        <w:tblW w:w="0" w:type="auto"/>
        <w:tblCellMar>
          <w:top w:w="15" w:type="dxa"/>
          <w:left w:w="15" w:type="dxa"/>
          <w:bottom w:w="15" w:type="dxa"/>
          <w:right w:w="15" w:type="dxa"/>
        </w:tblCellMar>
        <w:tblLook w:val="04A0" w:firstRow="1" w:lastRow="0" w:firstColumn="1" w:lastColumn="0" w:noHBand="0" w:noVBand="1"/>
      </w:tblPr>
      <w:tblGrid>
        <w:gridCol w:w="362"/>
        <w:gridCol w:w="2844"/>
        <w:gridCol w:w="1119"/>
        <w:gridCol w:w="244"/>
        <w:gridCol w:w="1065"/>
        <w:gridCol w:w="244"/>
        <w:gridCol w:w="1119"/>
        <w:gridCol w:w="244"/>
        <w:gridCol w:w="1065"/>
      </w:tblGrid>
      <w:tr w:rsidR="00384CED" w:rsidRPr="00384CED" w:rsidTr="00384CED">
        <w:tc>
          <w:tcPr>
            <w:tcW w:w="0" w:type="auto"/>
            <w:gridSpan w:val="9"/>
            <w:tcBorders>
              <w:top w:val="nil"/>
              <w:left w:val="nil"/>
              <w:bottom w:val="nil"/>
              <w:right w:val="nil"/>
            </w:tcBorders>
            <w:tcMar>
              <w:top w:w="75" w:type="dxa"/>
              <w:left w:w="41" w:type="dxa"/>
              <w:bottom w:w="75" w:type="dxa"/>
              <w:right w:w="41" w:type="dxa"/>
            </w:tcMar>
            <w:vAlign w:val="bottom"/>
            <w:hideMark/>
          </w:tcPr>
          <w:p w:rsidR="00384CED" w:rsidRPr="00384CED" w:rsidRDefault="00384CED" w:rsidP="00384CED">
            <w:pPr>
              <w:widowControl/>
              <w:spacing w:after="180"/>
              <w:jc w:val="center"/>
              <w:rPr>
                <w:rFonts w:ascii="宋体" w:eastAsia="宋体" w:hAnsi="宋体" w:cs="宋体"/>
                <w:kern w:val="0"/>
                <w:sz w:val="24"/>
                <w:szCs w:val="24"/>
              </w:rPr>
            </w:pPr>
            <w:r w:rsidRPr="00384CED">
              <w:rPr>
                <w:rFonts w:ascii="inherit" w:eastAsia="宋体" w:hAnsi="inherit" w:cs="宋体"/>
                <w:b/>
                <w:bCs/>
                <w:color w:val="000000"/>
                <w:kern w:val="0"/>
                <w:sz w:val="24"/>
                <w:szCs w:val="24"/>
              </w:rPr>
              <w:t>CHIPOTLE MEXICAN GRILL, INC.</w:t>
            </w:r>
          </w:p>
          <w:p w:rsidR="00384CED" w:rsidRPr="00384CED" w:rsidRDefault="00384CED" w:rsidP="00384CED">
            <w:pPr>
              <w:widowControl/>
              <w:spacing w:after="180"/>
              <w:jc w:val="center"/>
              <w:rPr>
                <w:rFonts w:ascii="宋体" w:eastAsia="宋体" w:hAnsi="宋体" w:cs="宋体"/>
                <w:kern w:val="0"/>
                <w:sz w:val="24"/>
                <w:szCs w:val="24"/>
              </w:rPr>
            </w:pPr>
            <w:r w:rsidRPr="00384CED">
              <w:rPr>
                <w:rFonts w:ascii="inherit" w:eastAsia="宋体" w:hAnsi="inherit" w:cs="宋体"/>
                <w:b/>
                <w:bCs/>
                <w:color w:val="000000"/>
                <w:kern w:val="0"/>
                <w:sz w:val="24"/>
                <w:szCs w:val="24"/>
              </w:rPr>
              <w:t>RECONCILIATION OF NON-GAAP FINANCIAL MEASURES</w:t>
            </w:r>
          </w:p>
          <w:p w:rsidR="00384CED" w:rsidRPr="00384CED" w:rsidRDefault="00384CED" w:rsidP="00384CED">
            <w:pPr>
              <w:widowControl/>
              <w:spacing w:after="180"/>
              <w:jc w:val="center"/>
              <w:rPr>
                <w:rFonts w:ascii="宋体" w:eastAsia="宋体" w:hAnsi="宋体" w:cs="宋体"/>
                <w:kern w:val="0"/>
                <w:sz w:val="24"/>
                <w:szCs w:val="24"/>
              </w:rPr>
            </w:pPr>
            <w:r w:rsidRPr="00384CED">
              <w:rPr>
                <w:rFonts w:ascii="inherit" w:eastAsia="宋体" w:hAnsi="inherit" w:cs="宋体"/>
                <w:b/>
                <w:bCs/>
                <w:color w:val="000000"/>
                <w:kern w:val="0"/>
                <w:sz w:val="24"/>
                <w:szCs w:val="24"/>
              </w:rPr>
              <w:t>Restaurant Level Operating Margin</w:t>
            </w:r>
          </w:p>
          <w:p w:rsidR="00384CED" w:rsidRPr="00384CED" w:rsidRDefault="00384CED" w:rsidP="00384CED">
            <w:pPr>
              <w:widowControl/>
              <w:spacing w:after="180"/>
              <w:jc w:val="center"/>
              <w:rPr>
                <w:rFonts w:ascii="宋体" w:eastAsia="宋体" w:hAnsi="宋体" w:cs="宋体"/>
                <w:kern w:val="0"/>
                <w:sz w:val="24"/>
                <w:szCs w:val="24"/>
              </w:rPr>
            </w:pPr>
            <w:r w:rsidRPr="00384CED">
              <w:rPr>
                <w:rFonts w:ascii="inherit" w:eastAsia="宋体" w:hAnsi="inherit" w:cs="宋体"/>
                <w:b/>
                <w:bCs/>
                <w:color w:val="000000"/>
                <w:kern w:val="0"/>
                <w:sz w:val="24"/>
                <w:szCs w:val="24"/>
              </w:rPr>
              <w:t>(in thousands)</w:t>
            </w:r>
          </w:p>
          <w:p w:rsidR="00384CED" w:rsidRPr="00384CED" w:rsidRDefault="00384CED" w:rsidP="00384CED">
            <w:pPr>
              <w:widowControl/>
              <w:spacing w:after="180"/>
              <w:jc w:val="center"/>
              <w:rPr>
                <w:rFonts w:ascii="宋体" w:eastAsia="宋体" w:hAnsi="宋体" w:cs="宋体"/>
                <w:kern w:val="0"/>
                <w:sz w:val="24"/>
                <w:szCs w:val="24"/>
              </w:rPr>
            </w:pPr>
            <w:r w:rsidRPr="00384CED">
              <w:rPr>
                <w:rFonts w:ascii="inherit" w:eastAsia="宋体" w:hAnsi="inherit" w:cs="宋体"/>
                <w:b/>
                <w:bCs/>
                <w:color w:val="000000"/>
                <w:kern w:val="0"/>
                <w:sz w:val="24"/>
                <w:szCs w:val="24"/>
              </w:rPr>
              <w:t>(unaudited)</w:t>
            </w:r>
          </w:p>
          <w:p w:rsidR="00384CED" w:rsidRPr="00384CED" w:rsidRDefault="00384CED" w:rsidP="00384CED">
            <w:pPr>
              <w:widowControl/>
              <w:spacing w:after="180"/>
              <w:jc w:val="center"/>
              <w:rPr>
                <w:rFonts w:ascii="宋体" w:eastAsia="宋体" w:hAnsi="宋体" w:cs="宋体"/>
                <w:kern w:val="0"/>
                <w:sz w:val="24"/>
                <w:szCs w:val="24"/>
              </w:rPr>
            </w:pPr>
            <w:r w:rsidRPr="00384CED">
              <w:rPr>
                <w:rFonts w:ascii="inherit" w:eastAsia="宋体" w:hAnsi="inherit" w:cs="宋体"/>
                <w:color w:val="000000"/>
                <w:kern w:val="0"/>
                <w:sz w:val="24"/>
                <w:szCs w:val="24"/>
              </w:rPr>
              <w:t> </w:t>
            </w:r>
          </w:p>
        </w:tc>
      </w:tr>
      <w:tr w:rsidR="00384CED" w:rsidRPr="00384CED" w:rsidTr="00384CED">
        <w:tc>
          <w:tcPr>
            <w:tcW w:w="0" w:type="auto"/>
            <w:gridSpan w:val="2"/>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gridSpan w:val="7"/>
            <w:tcBorders>
              <w:top w:val="nil"/>
              <w:left w:val="nil"/>
              <w:bottom w:val="single" w:sz="4" w:space="0" w:color="000000"/>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center"/>
              <w:rPr>
                <w:rFonts w:ascii="宋体" w:eastAsia="宋体" w:hAnsi="宋体" w:cs="宋体"/>
                <w:kern w:val="0"/>
                <w:sz w:val="24"/>
                <w:szCs w:val="24"/>
              </w:rPr>
            </w:pPr>
            <w:r w:rsidRPr="00384CED">
              <w:rPr>
                <w:rFonts w:ascii="inherit" w:eastAsia="宋体" w:hAnsi="inherit" w:cs="宋体"/>
                <w:b/>
                <w:bCs/>
                <w:color w:val="000000"/>
                <w:kern w:val="0"/>
                <w:sz w:val="24"/>
                <w:szCs w:val="24"/>
              </w:rPr>
              <w:t>Three months ended March 31,</w:t>
            </w:r>
          </w:p>
        </w:tc>
      </w:tr>
      <w:tr w:rsidR="00384CED" w:rsidRPr="00384CED" w:rsidTr="00384CED">
        <w:tc>
          <w:tcPr>
            <w:tcW w:w="0" w:type="auto"/>
            <w:gridSpan w:val="2"/>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center"/>
              <w:rPr>
                <w:rFonts w:ascii="宋体" w:eastAsia="宋体" w:hAnsi="宋体" w:cs="宋体"/>
                <w:kern w:val="0"/>
                <w:sz w:val="24"/>
                <w:szCs w:val="24"/>
              </w:rPr>
            </w:pPr>
            <w:r w:rsidRPr="00384CED">
              <w:rPr>
                <w:rFonts w:ascii="inherit" w:eastAsia="宋体" w:hAnsi="inherit" w:cs="宋体"/>
                <w:b/>
                <w:bCs/>
                <w:color w:val="000000"/>
                <w:kern w:val="0"/>
                <w:sz w:val="24"/>
                <w:szCs w:val="24"/>
              </w:rPr>
              <w:t>2026</w:t>
            </w:r>
          </w:p>
        </w:tc>
        <w:tc>
          <w:tcPr>
            <w:tcW w:w="0" w:type="auto"/>
            <w:tcBorders>
              <w:top w:val="single" w:sz="4" w:space="0" w:color="000000"/>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single" w:sz="4" w:space="0" w:color="000000"/>
              <w:left w:val="nil"/>
              <w:bottom w:val="single" w:sz="4" w:space="0" w:color="000000"/>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center"/>
              <w:rPr>
                <w:rFonts w:ascii="宋体" w:eastAsia="宋体" w:hAnsi="宋体" w:cs="宋体"/>
                <w:kern w:val="0"/>
                <w:sz w:val="24"/>
                <w:szCs w:val="24"/>
              </w:rPr>
            </w:pPr>
            <w:r w:rsidRPr="00384CED">
              <w:rPr>
                <w:rFonts w:ascii="inherit" w:eastAsia="宋体" w:hAnsi="inherit" w:cs="宋体"/>
                <w:b/>
                <w:bCs/>
                <w:color w:val="000000"/>
                <w:kern w:val="0"/>
                <w:sz w:val="24"/>
                <w:szCs w:val="24"/>
              </w:rPr>
              <w:t>Percent of</w:t>
            </w:r>
            <w:r w:rsidRPr="00384CED">
              <w:rPr>
                <w:rFonts w:ascii="inherit" w:eastAsia="宋体" w:hAnsi="inherit" w:cs="宋体"/>
                <w:b/>
                <w:bCs/>
                <w:color w:val="000000"/>
                <w:kern w:val="0"/>
                <w:sz w:val="24"/>
                <w:szCs w:val="24"/>
              </w:rPr>
              <w:br/>
              <w:t>total revenue</w:t>
            </w:r>
          </w:p>
        </w:tc>
        <w:tc>
          <w:tcPr>
            <w:tcW w:w="0" w:type="auto"/>
            <w:tcBorders>
              <w:top w:val="single" w:sz="4" w:space="0" w:color="000000"/>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single" w:sz="4" w:space="0" w:color="000000"/>
              <w:left w:val="nil"/>
              <w:bottom w:val="single" w:sz="4" w:space="0" w:color="000000"/>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center"/>
              <w:rPr>
                <w:rFonts w:ascii="宋体" w:eastAsia="宋体" w:hAnsi="宋体" w:cs="宋体"/>
                <w:kern w:val="0"/>
                <w:sz w:val="24"/>
                <w:szCs w:val="24"/>
              </w:rPr>
            </w:pPr>
            <w:r w:rsidRPr="00384CED">
              <w:rPr>
                <w:rFonts w:ascii="inherit" w:eastAsia="宋体" w:hAnsi="inherit" w:cs="宋体"/>
                <w:b/>
                <w:bCs/>
                <w:color w:val="000000"/>
                <w:kern w:val="0"/>
                <w:sz w:val="24"/>
                <w:szCs w:val="24"/>
              </w:rPr>
              <w:t>2025</w:t>
            </w:r>
          </w:p>
        </w:tc>
        <w:tc>
          <w:tcPr>
            <w:tcW w:w="0" w:type="auto"/>
            <w:tcBorders>
              <w:top w:val="single" w:sz="4" w:space="0" w:color="000000"/>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single" w:sz="4" w:space="0" w:color="000000"/>
              <w:left w:val="nil"/>
              <w:bottom w:val="single" w:sz="4" w:space="0" w:color="000000"/>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center"/>
              <w:rPr>
                <w:rFonts w:ascii="宋体" w:eastAsia="宋体" w:hAnsi="宋体" w:cs="宋体"/>
                <w:kern w:val="0"/>
                <w:sz w:val="24"/>
                <w:szCs w:val="24"/>
              </w:rPr>
            </w:pPr>
            <w:r w:rsidRPr="00384CED">
              <w:rPr>
                <w:rFonts w:ascii="inherit" w:eastAsia="宋体" w:hAnsi="inherit" w:cs="宋体"/>
                <w:b/>
                <w:bCs/>
                <w:color w:val="000000"/>
                <w:kern w:val="0"/>
                <w:sz w:val="24"/>
                <w:szCs w:val="24"/>
              </w:rPr>
              <w:t>Percent of</w:t>
            </w:r>
            <w:r w:rsidRPr="00384CED">
              <w:rPr>
                <w:rFonts w:ascii="inherit" w:eastAsia="宋体" w:hAnsi="inherit" w:cs="宋体"/>
                <w:b/>
                <w:bCs/>
                <w:color w:val="000000"/>
                <w:kern w:val="0"/>
                <w:sz w:val="24"/>
                <w:szCs w:val="24"/>
              </w:rPr>
              <w:br/>
              <w:t>total revenue</w:t>
            </w:r>
          </w:p>
        </w:tc>
      </w:tr>
      <w:tr w:rsidR="00384CED" w:rsidRPr="00384CED" w:rsidTr="00384CED">
        <w:tc>
          <w:tcPr>
            <w:tcW w:w="0" w:type="auto"/>
            <w:gridSpan w:val="2"/>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Income from operations</w:t>
            </w:r>
          </w:p>
        </w:tc>
        <w:tc>
          <w:tcPr>
            <w:tcW w:w="0" w:type="auto"/>
            <w:tcBorders>
              <w:top w:val="single" w:sz="4" w:space="0" w:color="000000"/>
              <w:left w:val="nil"/>
              <w:bottom w:val="single" w:sz="4" w:space="0" w:color="000000"/>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      397,063</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single" w:sz="4" w:space="0" w:color="000000"/>
              <w:left w:val="nil"/>
              <w:bottom w:val="single" w:sz="4" w:space="0" w:color="000000"/>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12.9 %</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single" w:sz="4" w:space="0" w:color="000000"/>
              <w:left w:val="nil"/>
              <w:bottom w:val="single" w:sz="4" w:space="0" w:color="000000"/>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      479,250</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single" w:sz="4" w:space="0" w:color="000000"/>
              <w:left w:val="nil"/>
              <w:bottom w:val="single" w:sz="4" w:space="0" w:color="000000"/>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16.7 %</w:t>
            </w:r>
          </w:p>
        </w:tc>
      </w:tr>
      <w:tr w:rsidR="00384CED" w:rsidRPr="00384CED" w:rsidTr="00384CED">
        <w:tc>
          <w:tcPr>
            <w:tcW w:w="0" w:type="auto"/>
            <w:gridSpan w:val="2"/>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i/>
                <w:iCs/>
                <w:color w:val="000000"/>
                <w:kern w:val="0"/>
                <w:sz w:val="24"/>
                <w:szCs w:val="24"/>
              </w:rPr>
              <w:t>Non-GAAP Adjustments</w:t>
            </w:r>
          </w:p>
        </w:tc>
        <w:tc>
          <w:tcPr>
            <w:tcW w:w="0" w:type="auto"/>
            <w:tcBorders>
              <w:top w:val="single" w:sz="4" w:space="0" w:color="000000"/>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r>
      <w:tr w:rsidR="00384CED" w:rsidRPr="00384CED" w:rsidTr="00384CED">
        <w:tc>
          <w:tcPr>
            <w:tcW w:w="0" w:type="auto"/>
            <w:gridSpan w:val="2"/>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General and administrative expenses</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203,720</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6.6</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172,783</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6.0</w:t>
            </w:r>
          </w:p>
        </w:tc>
      </w:tr>
      <w:tr w:rsidR="00384CED" w:rsidRPr="00384CED" w:rsidTr="00384CED">
        <w:tc>
          <w:tcPr>
            <w:tcW w:w="0" w:type="auto"/>
            <w:gridSpan w:val="2"/>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Depreciation and amortization</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96,718</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3.1</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87,211</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3.0</w:t>
            </w:r>
          </w:p>
        </w:tc>
      </w:tr>
      <w:tr w:rsidR="00384CED" w:rsidRPr="00384CED" w:rsidTr="00384CED">
        <w:tc>
          <w:tcPr>
            <w:tcW w:w="0" w:type="auto"/>
            <w:gridSpan w:val="2"/>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Pre-opening costs</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11,641</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0.4</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8,210</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0.3</w:t>
            </w:r>
          </w:p>
        </w:tc>
      </w:tr>
      <w:tr w:rsidR="00384CED" w:rsidRPr="00384CED" w:rsidTr="00384CED">
        <w:tc>
          <w:tcPr>
            <w:tcW w:w="0" w:type="auto"/>
            <w:gridSpan w:val="2"/>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Impairment, closure costs, and asset disposals</w:t>
            </w:r>
          </w:p>
        </w:tc>
        <w:tc>
          <w:tcPr>
            <w:tcW w:w="0" w:type="auto"/>
            <w:tcBorders>
              <w:top w:val="nil"/>
              <w:left w:val="nil"/>
              <w:bottom w:val="single" w:sz="4" w:space="0" w:color="000000"/>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9,819</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0.3</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6,168</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0.2</w:t>
            </w:r>
          </w:p>
        </w:tc>
      </w:tr>
      <w:tr w:rsidR="00384CED" w:rsidRPr="00384CED" w:rsidTr="00384CED">
        <w:tc>
          <w:tcPr>
            <w:tcW w:w="0" w:type="auto"/>
            <w:gridSpan w:val="2"/>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Total non-GAAP Adjustments</w:t>
            </w:r>
          </w:p>
        </w:tc>
        <w:tc>
          <w:tcPr>
            <w:tcW w:w="0" w:type="auto"/>
            <w:tcBorders>
              <w:top w:val="single" w:sz="4" w:space="0" w:color="000000"/>
              <w:left w:val="nil"/>
              <w:bottom w:val="single" w:sz="4" w:space="0" w:color="000000"/>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321,898</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single" w:sz="4" w:space="0" w:color="000000"/>
              <w:left w:val="nil"/>
              <w:bottom w:val="single" w:sz="4" w:space="0" w:color="000000"/>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10.4</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single" w:sz="4" w:space="0" w:color="000000"/>
              <w:left w:val="nil"/>
              <w:bottom w:val="single" w:sz="4" w:space="0" w:color="000000"/>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274,372</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single" w:sz="4" w:space="0" w:color="000000"/>
              <w:left w:val="nil"/>
              <w:bottom w:val="single" w:sz="4" w:space="0" w:color="000000"/>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9.5</w:t>
            </w:r>
          </w:p>
        </w:tc>
      </w:tr>
      <w:tr w:rsidR="00384CED" w:rsidRPr="00384CED" w:rsidTr="00384CED">
        <w:tc>
          <w:tcPr>
            <w:tcW w:w="0" w:type="auto"/>
            <w:gridSpan w:val="2"/>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Restaurant level operating margin</w:t>
            </w:r>
          </w:p>
        </w:tc>
        <w:tc>
          <w:tcPr>
            <w:tcW w:w="0" w:type="auto"/>
            <w:tcBorders>
              <w:top w:val="single" w:sz="4" w:space="0" w:color="000000"/>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718,961</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23.3</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753,622</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26.2</w:t>
            </w:r>
          </w:p>
        </w:tc>
      </w:tr>
      <w:tr w:rsidR="00384CED" w:rsidRPr="00384CED" w:rsidTr="00384CED">
        <w:tc>
          <w:tcPr>
            <w:tcW w:w="0" w:type="auto"/>
            <w:gridSpan w:val="2"/>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Legal proceedings-Labor</w:t>
            </w:r>
            <w:r w:rsidRPr="00384CED">
              <w:rPr>
                <w:rFonts w:ascii="inherit" w:eastAsia="宋体" w:hAnsi="inherit" w:cs="宋体"/>
                <w:color w:val="000000"/>
                <w:kern w:val="0"/>
                <w:sz w:val="18"/>
                <w:szCs w:val="18"/>
                <w:vertAlign w:val="superscript"/>
              </w:rPr>
              <w:t>(1)</w:t>
            </w:r>
          </w:p>
        </w:tc>
        <w:tc>
          <w:tcPr>
            <w:tcW w:w="0" w:type="auto"/>
            <w:tcBorders>
              <w:top w:val="nil"/>
              <w:left w:val="nil"/>
              <w:bottom w:val="single" w:sz="4" w:space="0" w:color="000000"/>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11,875</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0.4</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w:t>
            </w:r>
          </w:p>
        </w:tc>
      </w:tr>
      <w:tr w:rsidR="00384CED" w:rsidRPr="00384CED" w:rsidTr="00384CED">
        <w:tc>
          <w:tcPr>
            <w:tcW w:w="0" w:type="auto"/>
            <w:gridSpan w:val="2"/>
            <w:tcBorders>
              <w:top w:val="nil"/>
              <w:left w:val="nil"/>
              <w:bottom w:val="nil"/>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Adjusted restaurant level operating margin</w:t>
            </w:r>
          </w:p>
        </w:tc>
        <w:tc>
          <w:tcPr>
            <w:tcW w:w="0" w:type="auto"/>
            <w:tcBorders>
              <w:top w:val="single" w:sz="4" w:space="0" w:color="000000"/>
              <w:left w:val="nil"/>
              <w:bottom w:val="double" w:sz="6" w:space="0" w:color="000000"/>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      730,836</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single" w:sz="4" w:space="0" w:color="000000"/>
              <w:left w:val="nil"/>
              <w:bottom w:val="double" w:sz="6" w:space="0" w:color="000000"/>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23.7 %</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single" w:sz="4" w:space="0" w:color="000000"/>
              <w:left w:val="nil"/>
              <w:bottom w:val="double" w:sz="6" w:space="0" w:color="000000"/>
              <w:right w:val="nil"/>
            </w:tcBorders>
            <w:noWrap/>
            <w:tcMar>
              <w:top w:w="75" w:type="dxa"/>
              <w:left w:w="41" w:type="dxa"/>
              <w:bottom w:w="75" w:type="dxa"/>
              <w:right w:w="199"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      753,622</w:t>
            </w:r>
          </w:p>
        </w:tc>
        <w:tc>
          <w:tcPr>
            <w:tcW w:w="0" w:type="auto"/>
            <w:tcBorders>
              <w:top w:val="nil"/>
              <w:left w:val="nil"/>
              <w:bottom w:val="nil"/>
              <w:right w:val="nil"/>
            </w:tcBorders>
            <w:noWrap/>
            <w:tcMar>
              <w:top w:w="75" w:type="dxa"/>
              <w:left w:w="41" w:type="dxa"/>
              <w:bottom w:w="75" w:type="dxa"/>
              <w:right w:w="199" w:type="dxa"/>
            </w:tcMar>
            <w:vAlign w:val="bottom"/>
            <w:hideMark/>
          </w:tcPr>
          <w:p w:rsidR="00384CED" w:rsidRPr="00384CED" w:rsidRDefault="00384CED" w:rsidP="00384CED">
            <w:pPr>
              <w:widowControl/>
              <w:jc w:val="right"/>
              <w:rPr>
                <w:rFonts w:ascii="宋体" w:eastAsia="宋体" w:hAnsi="宋体" w:cs="宋体"/>
                <w:kern w:val="0"/>
                <w:sz w:val="24"/>
                <w:szCs w:val="24"/>
              </w:rPr>
            </w:pPr>
          </w:p>
        </w:tc>
        <w:tc>
          <w:tcPr>
            <w:tcW w:w="0" w:type="auto"/>
            <w:tcBorders>
              <w:top w:val="single" w:sz="4" w:space="0" w:color="000000"/>
              <w:left w:val="nil"/>
              <w:bottom w:val="double" w:sz="6" w:space="0" w:color="000000"/>
              <w:right w:val="nil"/>
            </w:tcBorders>
            <w:noWrap/>
            <w:tcMar>
              <w:top w:w="75" w:type="dxa"/>
              <w:left w:w="41" w:type="dxa"/>
              <w:bottom w:w="75" w:type="dxa"/>
              <w:right w:w="41" w:type="dxa"/>
            </w:tcMar>
            <w:vAlign w:val="bottom"/>
            <w:hideMark/>
          </w:tcPr>
          <w:p w:rsidR="00384CED" w:rsidRPr="00384CED" w:rsidRDefault="00384CED" w:rsidP="00384CED">
            <w:pPr>
              <w:widowControl/>
              <w:spacing w:after="180"/>
              <w:jc w:val="right"/>
              <w:rPr>
                <w:rFonts w:ascii="宋体" w:eastAsia="宋体" w:hAnsi="宋体" w:cs="宋体"/>
                <w:kern w:val="0"/>
                <w:sz w:val="24"/>
                <w:szCs w:val="24"/>
              </w:rPr>
            </w:pPr>
            <w:r w:rsidRPr="00384CED">
              <w:rPr>
                <w:rFonts w:ascii="inherit" w:eastAsia="宋体" w:hAnsi="inherit" w:cs="宋体"/>
                <w:color w:val="000000"/>
                <w:kern w:val="0"/>
                <w:sz w:val="24"/>
                <w:szCs w:val="24"/>
              </w:rPr>
              <w:t>26.2 %</w:t>
            </w:r>
          </w:p>
        </w:tc>
      </w:tr>
      <w:tr w:rsidR="00384CED" w:rsidRPr="00384CED" w:rsidTr="00384CED">
        <w:tc>
          <w:tcPr>
            <w:tcW w:w="0" w:type="auto"/>
            <w:tcBorders>
              <w:top w:val="nil"/>
              <w:left w:val="nil"/>
              <w:bottom w:val="nil"/>
              <w:right w:val="nil"/>
            </w:tcBorders>
            <w:tcMar>
              <w:top w:w="75" w:type="dxa"/>
              <w:left w:w="41" w:type="dxa"/>
              <w:bottom w:w="75" w:type="dxa"/>
              <w:right w:w="79" w:type="dxa"/>
            </w:tcMar>
            <w:hideMark/>
          </w:tcPr>
          <w:p w:rsidR="00384CED" w:rsidRPr="00384CED" w:rsidRDefault="00384CED" w:rsidP="00384CED">
            <w:pPr>
              <w:widowControl/>
              <w:jc w:val="left"/>
              <w:rPr>
                <w:rFonts w:ascii="Arial" w:eastAsia="宋体" w:hAnsi="Arial" w:cs="Arial"/>
                <w:color w:val="000000"/>
                <w:kern w:val="0"/>
                <w:sz w:val="16"/>
                <w:szCs w:val="16"/>
              </w:rPr>
            </w:pPr>
          </w:p>
        </w:tc>
        <w:tc>
          <w:tcPr>
            <w:tcW w:w="0" w:type="auto"/>
            <w:gridSpan w:val="8"/>
            <w:tcBorders>
              <w:top w:val="nil"/>
              <w:left w:val="nil"/>
              <w:bottom w:val="nil"/>
              <w:right w:val="nil"/>
            </w:tcBorders>
            <w:tcMar>
              <w:top w:w="75" w:type="dxa"/>
              <w:left w:w="41" w:type="dxa"/>
              <w:bottom w:w="75" w:type="dxa"/>
              <w:right w:w="79" w:type="dxa"/>
            </w:tcMar>
            <w:hideMark/>
          </w:tcPr>
          <w:p w:rsidR="00384CED" w:rsidRPr="00384CED" w:rsidRDefault="00384CED" w:rsidP="00384CED">
            <w:pPr>
              <w:widowControl/>
              <w:jc w:val="left"/>
              <w:rPr>
                <w:rFonts w:ascii="Arial" w:eastAsia="宋体" w:hAnsi="Arial" w:cs="Arial"/>
                <w:color w:val="000000"/>
                <w:kern w:val="0"/>
                <w:sz w:val="16"/>
                <w:szCs w:val="16"/>
              </w:rPr>
            </w:pPr>
          </w:p>
        </w:tc>
      </w:tr>
      <w:tr w:rsidR="00384CED" w:rsidRPr="00384CED" w:rsidTr="00384CED">
        <w:tc>
          <w:tcPr>
            <w:tcW w:w="0" w:type="auto"/>
            <w:tcBorders>
              <w:top w:val="nil"/>
              <w:left w:val="nil"/>
              <w:bottom w:val="nil"/>
              <w:right w:val="nil"/>
            </w:tcBorders>
            <w:tcMar>
              <w:top w:w="75" w:type="dxa"/>
              <w:left w:w="41" w:type="dxa"/>
              <w:bottom w:w="75" w:type="dxa"/>
              <w:right w:w="41" w:type="dxa"/>
            </w:tcMar>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(1)</w:t>
            </w:r>
          </w:p>
        </w:tc>
        <w:tc>
          <w:tcPr>
            <w:tcW w:w="0" w:type="auto"/>
            <w:gridSpan w:val="8"/>
            <w:tcBorders>
              <w:top w:val="nil"/>
              <w:left w:val="nil"/>
              <w:bottom w:val="nil"/>
              <w:right w:val="nil"/>
            </w:tcBorders>
            <w:tcMar>
              <w:top w:w="75" w:type="dxa"/>
              <w:left w:w="41" w:type="dxa"/>
              <w:bottom w:w="75" w:type="dxa"/>
              <w:right w:w="41" w:type="dxa"/>
            </w:tcMar>
            <w:hideMark/>
          </w:tcPr>
          <w:p w:rsidR="00384CED" w:rsidRPr="00384CED" w:rsidRDefault="00384CED" w:rsidP="00384CED">
            <w:pPr>
              <w:widowControl/>
              <w:spacing w:after="180"/>
              <w:jc w:val="left"/>
              <w:rPr>
                <w:rFonts w:ascii="宋体" w:eastAsia="宋体" w:hAnsi="宋体" w:cs="宋体"/>
                <w:kern w:val="0"/>
                <w:sz w:val="24"/>
                <w:szCs w:val="24"/>
              </w:rPr>
            </w:pPr>
            <w:r w:rsidRPr="00384CED">
              <w:rPr>
                <w:rFonts w:ascii="inherit" w:eastAsia="宋体" w:hAnsi="inherit" w:cs="宋体"/>
                <w:color w:val="000000"/>
                <w:kern w:val="0"/>
                <w:sz w:val="24"/>
                <w:szCs w:val="24"/>
              </w:rPr>
              <w:t>Estimated liability recognized in labor on the condensed consolidated statements of income for legal matters that we expect to exceed typical costs for legal proceedings.</w:t>
            </w:r>
          </w:p>
        </w:tc>
      </w:tr>
      <w:tr w:rsidR="00384CED" w:rsidRPr="00384CED" w:rsidTr="00384CED">
        <w:tc>
          <w:tcPr>
            <w:tcW w:w="0" w:type="auto"/>
            <w:tcBorders>
              <w:top w:val="nil"/>
              <w:left w:val="nil"/>
              <w:bottom w:val="nil"/>
              <w:right w:val="nil"/>
            </w:tcBorders>
            <w:tcMar>
              <w:top w:w="75" w:type="dxa"/>
              <w:left w:w="41" w:type="dxa"/>
              <w:bottom w:w="75" w:type="dxa"/>
              <w:right w:w="79" w:type="dxa"/>
            </w:tcMar>
            <w:hideMark/>
          </w:tcPr>
          <w:p w:rsidR="00384CED" w:rsidRPr="00384CED" w:rsidRDefault="00384CED" w:rsidP="00384CED">
            <w:pPr>
              <w:widowControl/>
              <w:jc w:val="left"/>
              <w:rPr>
                <w:rFonts w:ascii="Arial" w:eastAsia="宋体" w:hAnsi="Arial" w:cs="Arial"/>
                <w:color w:val="000000"/>
                <w:kern w:val="0"/>
                <w:sz w:val="16"/>
                <w:szCs w:val="16"/>
              </w:rPr>
            </w:pPr>
          </w:p>
        </w:tc>
        <w:tc>
          <w:tcPr>
            <w:tcW w:w="0" w:type="auto"/>
            <w:gridSpan w:val="8"/>
            <w:tcBorders>
              <w:top w:val="nil"/>
              <w:left w:val="nil"/>
              <w:bottom w:val="nil"/>
              <w:right w:val="nil"/>
            </w:tcBorders>
            <w:tcMar>
              <w:top w:w="75" w:type="dxa"/>
              <w:left w:w="41" w:type="dxa"/>
              <w:bottom w:w="75" w:type="dxa"/>
              <w:right w:w="79" w:type="dxa"/>
            </w:tcMar>
            <w:hideMark/>
          </w:tcPr>
          <w:p w:rsidR="00384CED" w:rsidRPr="00384CED" w:rsidRDefault="00384CED" w:rsidP="00384CED">
            <w:pPr>
              <w:widowControl/>
              <w:jc w:val="left"/>
              <w:rPr>
                <w:rFonts w:ascii="Arial" w:eastAsia="宋体" w:hAnsi="Arial" w:cs="Arial"/>
                <w:color w:val="000000"/>
                <w:kern w:val="0"/>
                <w:sz w:val="16"/>
                <w:szCs w:val="16"/>
              </w:rPr>
            </w:pPr>
          </w:p>
        </w:tc>
      </w:tr>
    </w:tbl>
    <w:p w:rsidR="00384CED" w:rsidRPr="00384CED" w:rsidRDefault="00384CED" w:rsidP="00384CED">
      <w:pPr>
        <w:widowControl/>
        <w:shd w:val="clear" w:color="auto" w:fill="FFFFFF"/>
        <w:spacing w:after="180"/>
        <w:jc w:val="left"/>
        <w:rPr>
          <w:rFonts w:ascii="Helvetica" w:eastAsia="宋体" w:hAnsi="Helvetica" w:cs="Helvetica"/>
          <w:color w:val="54392D"/>
          <w:kern w:val="0"/>
          <w:sz w:val="24"/>
          <w:szCs w:val="24"/>
        </w:rPr>
      </w:pPr>
      <w:r w:rsidRPr="00384CED">
        <w:rPr>
          <w:rFonts w:ascii="Helvetica" w:eastAsia="宋体" w:hAnsi="Helvetica" w:cs="Helvetica"/>
          <w:color w:val="54392D"/>
          <w:kern w:val="0"/>
          <w:sz w:val="24"/>
          <w:szCs w:val="24"/>
        </w:rPr>
        <w:t>SOURCE Chipotle Mexican Grill</w:t>
      </w:r>
    </w:p>
    <w:p w:rsidR="00384CED" w:rsidRPr="00384CED" w:rsidRDefault="00384CED" w:rsidP="00384CED">
      <w:pPr>
        <w:widowControl/>
        <w:shd w:val="clear" w:color="auto" w:fill="FFFFFF"/>
        <w:jc w:val="left"/>
        <w:rPr>
          <w:rFonts w:ascii="Helvetica" w:eastAsia="宋体" w:hAnsi="Helvetica" w:cs="Helvetica"/>
          <w:color w:val="54392D"/>
          <w:kern w:val="0"/>
          <w:sz w:val="24"/>
          <w:szCs w:val="24"/>
        </w:rPr>
      </w:pPr>
      <w:r w:rsidRPr="00384CED">
        <w:rPr>
          <w:rFonts w:ascii="Helvetica" w:eastAsia="宋体" w:hAnsi="Helvetica" w:cs="Helvetica"/>
          <w:color w:val="54392D"/>
          <w:kern w:val="0"/>
          <w:sz w:val="24"/>
          <w:szCs w:val="24"/>
        </w:rPr>
        <w:t xml:space="preserve">For further information: PR Contact: Laurie </w:t>
      </w:r>
      <w:proofErr w:type="spellStart"/>
      <w:r w:rsidRPr="00384CED">
        <w:rPr>
          <w:rFonts w:ascii="Helvetica" w:eastAsia="宋体" w:hAnsi="Helvetica" w:cs="Helvetica"/>
          <w:color w:val="54392D"/>
          <w:kern w:val="0"/>
          <w:sz w:val="24"/>
          <w:szCs w:val="24"/>
        </w:rPr>
        <w:t>Schalow</w:t>
      </w:r>
      <w:proofErr w:type="spellEnd"/>
      <w:r w:rsidRPr="00384CED">
        <w:rPr>
          <w:rFonts w:ascii="Helvetica" w:eastAsia="宋体" w:hAnsi="Helvetica" w:cs="Helvetica"/>
          <w:color w:val="54392D"/>
          <w:kern w:val="0"/>
          <w:sz w:val="24"/>
          <w:szCs w:val="24"/>
        </w:rPr>
        <w:t>, (949) 524-4035, MediaRelations@chipotle.com; IR Contact: Cindy Olsen, CFA, (949) 524-4205, Cindy.Olsen@chipotle.com</w:t>
      </w:r>
    </w:p>
    <w:p w:rsidR="00AD38DB" w:rsidRDefault="00AD38DB"/>
    <w:sectPr w:rsidR="00AD38D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Helvetica">
    <w:panose1 w:val="020B0604020202020204"/>
    <w:charset w:val="00"/>
    <w:family w:val="swiss"/>
    <w:pitch w:val="variable"/>
    <w:sig w:usb0="E0002EFF" w:usb1="C000785B" w:usb2="00000009" w:usb3="00000000" w:csb0="000001FF" w:csb1="00000000"/>
  </w:font>
  <w:font w:name="TradeGothicLTComBold_IE">
    <w:altName w:val="Times New Roman"/>
    <w:panose1 w:val="00000000000000000000"/>
    <w:charset w:val="00"/>
    <w:family w:val="roman"/>
    <w:notTrueType/>
    <w:pitch w:val="default"/>
  </w:font>
  <w:font w:name="inherit">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08D3362"/>
    <w:multiLevelType w:val="multilevel"/>
    <w:tmpl w:val="C4769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3493233B"/>
    <w:multiLevelType w:val="multilevel"/>
    <w:tmpl w:val="92BCCD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1790524"/>
    <w:multiLevelType w:val="multilevel"/>
    <w:tmpl w:val="E0FCB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71A93FCB"/>
    <w:multiLevelType w:val="multilevel"/>
    <w:tmpl w:val="3A74C1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593C"/>
    <w:rsid w:val="002A593C"/>
    <w:rsid w:val="00384CED"/>
    <w:rsid w:val="00AD38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B60E149-D9D6-4E51-AFF6-C8C3E63A55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dtoolicon">
    <w:name w:val="wd_tool_icon"/>
    <w:basedOn w:val="a0"/>
    <w:rsid w:val="00384CED"/>
  </w:style>
  <w:style w:type="character" w:styleId="a3">
    <w:name w:val="Hyperlink"/>
    <w:basedOn w:val="a0"/>
    <w:uiPriority w:val="99"/>
    <w:semiHidden/>
    <w:unhideWhenUsed/>
    <w:rsid w:val="00384CED"/>
    <w:rPr>
      <w:color w:val="0000FF"/>
      <w:u w:val="single"/>
    </w:rPr>
  </w:style>
  <w:style w:type="character" w:styleId="a4">
    <w:name w:val="FollowedHyperlink"/>
    <w:basedOn w:val="a0"/>
    <w:uiPriority w:val="99"/>
    <w:semiHidden/>
    <w:unhideWhenUsed/>
    <w:rsid w:val="00384CED"/>
    <w:rPr>
      <w:color w:val="800080"/>
      <w:u w:val="single"/>
    </w:rPr>
  </w:style>
  <w:style w:type="character" w:customStyle="1" w:styleId="wdsr-only">
    <w:name w:val="wd_sr-only"/>
    <w:basedOn w:val="a0"/>
    <w:rsid w:val="00384CED"/>
  </w:style>
  <w:style w:type="paragraph" w:customStyle="1" w:styleId="prntac">
    <w:name w:val="prntac"/>
    <w:basedOn w:val="a"/>
    <w:rsid w:val="00384CED"/>
    <w:pPr>
      <w:widowControl/>
      <w:spacing w:before="100" w:beforeAutospacing="1" w:after="100" w:afterAutospacing="1"/>
      <w:jc w:val="left"/>
    </w:pPr>
    <w:rPr>
      <w:rFonts w:ascii="宋体" w:eastAsia="宋体" w:hAnsi="宋体" w:cs="宋体"/>
      <w:kern w:val="0"/>
      <w:sz w:val="24"/>
      <w:szCs w:val="24"/>
    </w:rPr>
  </w:style>
  <w:style w:type="paragraph" w:styleId="a5">
    <w:name w:val="Normal (Web)"/>
    <w:basedOn w:val="a"/>
    <w:uiPriority w:val="99"/>
    <w:semiHidden/>
    <w:unhideWhenUsed/>
    <w:rsid w:val="00384CED"/>
    <w:pPr>
      <w:widowControl/>
      <w:spacing w:before="100" w:beforeAutospacing="1" w:after="100" w:afterAutospacing="1"/>
      <w:jc w:val="left"/>
    </w:pPr>
    <w:rPr>
      <w:rFonts w:ascii="宋体" w:eastAsia="宋体" w:hAnsi="宋体" w:cs="宋体"/>
      <w:kern w:val="0"/>
      <w:sz w:val="24"/>
      <w:szCs w:val="24"/>
    </w:rPr>
  </w:style>
  <w:style w:type="character" w:customStyle="1" w:styleId="legendspanclass">
    <w:name w:val="legendspanclass"/>
    <w:basedOn w:val="a0"/>
    <w:rsid w:val="00384CED"/>
  </w:style>
  <w:style w:type="paragraph" w:customStyle="1" w:styleId="prnml4">
    <w:name w:val="prnml4"/>
    <w:basedOn w:val="a"/>
    <w:rsid w:val="00384CED"/>
    <w:pPr>
      <w:widowControl/>
      <w:spacing w:before="100" w:beforeAutospacing="1" w:after="100" w:afterAutospacing="1"/>
      <w:jc w:val="left"/>
    </w:pPr>
    <w:rPr>
      <w:rFonts w:ascii="宋体" w:eastAsia="宋体" w:hAnsi="宋体" w:cs="宋体"/>
      <w:kern w:val="0"/>
      <w:sz w:val="24"/>
      <w:szCs w:val="24"/>
    </w:rPr>
  </w:style>
  <w:style w:type="character" w:customStyle="1" w:styleId="prnewsspan">
    <w:name w:val="prnews_span"/>
    <w:basedOn w:val="a0"/>
    <w:rsid w:val="00384CED"/>
  </w:style>
  <w:style w:type="paragraph" w:customStyle="1" w:styleId="prnml30">
    <w:name w:val="prnml30"/>
    <w:basedOn w:val="a"/>
    <w:rsid w:val="00384CED"/>
    <w:pPr>
      <w:widowControl/>
      <w:spacing w:before="100" w:beforeAutospacing="1" w:after="100" w:afterAutospacing="1"/>
      <w:jc w:val="left"/>
    </w:pPr>
    <w:rPr>
      <w:rFonts w:ascii="宋体" w:eastAsia="宋体" w:hAnsi="宋体" w:cs="宋体"/>
      <w:kern w:val="0"/>
      <w:sz w:val="24"/>
      <w:szCs w:val="24"/>
    </w:rPr>
  </w:style>
  <w:style w:type="paragraph" w:customStyle="1" w:styleId="prnml20">
    <w:name w:val="prnml20"/>
    <w:basedOn w:val="a"/>
    <w:rsid w:val="00384CED"/>
    <w:pPr>
      <w:widowControl/>
      <w:spacing w:before="100" w:beforeAutospacing="1" w:after="100" w:afterAutospacing="1"/>
      <w:jc w:val="left"/>
    </w:pPr>
    <w:rPr>
      <w:rFonts w:ascii="宋体" w:eastAsia="宋体" w:hAnsi="宋体" w:cs="宋体"/>
      <w:kern w:val="0"/>
      <w:sz w:val="24"/>
      <w:szCs w:val="24"/>
    </w:rPr>
  </w:style>
  <w:style w:type="paragraph" w:customStyle="1" w:styleId="prnml10">
    <w:name w:val="prnml10"/>
    <w:basedOn w:val="a"/>
    <w:rsid w:val="00384CED"/>
    <w:pPr>
      <w:widowControl/>
      <w:spacing w:before="100" w:beforeAutospacing="1" w:after="100" w:afterAutospacing="1"/>
      <w:jc w:val="left"/>
    </w:pPr>
    <w:rPr>
      <w:rFonts w:ascii="宋体" w:eastAsia="宋体" w:hAnsi="宋体" w:cs="宋体"/>
      <w:kern w:val="0"/>
      <w:sz w:val="24"/>
      <w:szCs w:val="24"/>
    </w:rPr>
  </w:style>
  <w:style w:type="paragraph" w:customStyle="1" w:styleId="prnml8">
    <w:name w:val="prnml8"/>
    <w:basedOn w:val="a"/>
    <w:rsid w:val="00384CED"/>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40325511">
      <w:bodyDiv w:val="1"/>
      <w:marLeft w:val="0"/>
      <w:marRight w:val="0"/>
      <w:marTop w:val="0"/>
      <w:marBottom w:val="0"/>
      <w:divBdr>
        <w:top w:val="none" w:sz="0" w:space="0" w:color="auto"/>
        <w:left w:val="none" w:sz="0" w:space="0" w:color="auto"/>
        <w:bottom w:val="none" w:sz="0" w:space="0" w:color="auto"/>
        <w:right w:val="none" w:sz="0" w:space="0" w:color="auto"/>
      </w:divBdr>
      <w:divsChild>
        <w:div w:id="1413815576">
          <w:marLeft w:val="0"/>
          <w:marRight w:val="0"/>
          <w:marTop w:val="0"/>
          <w:marBottom w:val="0"/>
          <w:divBdr>
            <w:top w:val="none" w:sz="0" w:space="0" w:color="auto"/>
            <w:left w:val="none" w:sz="0" w:space="0" w:color="auto"/>
            <w:bottom w:val="none" w:sz="0" w:space="0" w:color="auto"/>
            <w:right w:val="none" w:sz="0" w:space="0" w:color="auto"/>
          </w:divBdr>
        </w:div>
        <w:div w:id="305473835">
          <w:marLeft w:val="0"/>
          <w:marRight w:val="0"/>
          <w:marTop w:val="225"/>
          <w:marBottom w:val="225"/>
          <w:divBdr>
            <w:top w:val="single" w:sz="6" w:space="4" w:color="CCCCCC"/>
            <w:left w:val="none" w:sz="0" w:space="0" w:color="auto"/>
            <w:bottom w:val="single" w:sz="6" w:space="4" w:color="CCCCCC"/>
            <w:right w:val="none" w:sz="0" w:space="0" w:color="auto"/>
          </w:divBdr>
        </w:div>
        <w:div w:id="687487455">
          <w:marLeft w:val="0"/>
          <w:marRight w:val="0"/>
          <w:marTop w:val="0"/>
          <w:marBottom w:val="0"/>
          <w:divBdr>
            <w:top w:val="none" w:sz="0" w:space="0" w:color="auto"/>
            <w:left w:val="none" w:sz="0" w:space="0" w:color="auto"/>
            <w:bottom w:val="none" w:sz="0" w:space="0" w:color="auto"/>
            <w:right w:val="none" w:sz="0" w:space="0" w:color="auto"/>
          </w:divBdr>
          <w:divsChild>
            <w:div w:id="1554194132">
              <w:marLeft w:val="0"/>
              <w:marRight w:val="0"/>
              <w:marTop w:val="0"/>
              <w:marBottom w:val="0"/>
              <w:divBdr>
                <w:top w:val="none" w:sz="0" w:space="0" w:color="auto"/>
                <w:left w:val="none" w:sz="0" w:space="0" w:color="auto"/>
                <w:bottom w:val="none" w:sz="0" w:space="0" w:color="auto"/>
                <w:right w:val="none" w:sz="0" w:space="0" w:color="auto"/>
              </w:divBdr>
            </w:div>
            <w:div w:id="206064627">
              <w:marLeft w:val="0"/>
              <w:marRight w:val="0"/>
              <w:marTop w:val="0"/>
              <w:marBottom w:val="0"/>
              <w:divBdr>
                <w:top w:val="none" w:sz="0" w:space="0" w:color="auto"/>
                <w:left w:val="none" w:sz="0" w:space="0" w:color="auto"/>
                <w:bottom w:val="none" w:sz="0" w:space="0" w:color="auto"/>
                <w:right w:val="none" w:sz="0" w:space="0" w:color="auto"/>
              </w:divBdr>
              <w:divsChild>
                <w:div w:id="884412160">
                  <w:marLeft w:val="0"/>
                  <w:marRight w:val="0"/>
                  <w:marTop w:val="0"/>
                  <w:marBottom w:val="0"/>
                  <w:divBdr>
                    <w:top w:val="none" w:sz="0" w:space="0" w:color="auto"/>
                    <w:left w:val="none" w:sz="0" w:space="0" w:color="auto"/>
                    <w:bottom w:val="none" w:sz="0" w:space="0" w:color="auto"/>
                    <w:right w:val="none" w:sz="0" w:space="0" w:color="auto"/>
                  </w:divBdr>
                </w:div>
              </w:divsChild>
            </w:div>
            <w:div w:id="48119793">
              <w:marLeft w:val="0"/>
              <w:marRight w:val="0"/>
              <w:marTop w:val="0"/>
              <w:marBottom w:val="0"/>
              <w:divBdr>
                <w:top w:val="none" w:sz="0" w:space="0" w:color="auto"/>
                <w:left w:val="none" w:sz="0" w:space="0" w:color="auto"/>
                <w:bottom w:val="none" w:sz="0" w:space="0" w:color="auto"/>
                <w:right w:val="none" w:sz="0" w:space="0" w:color="auto"/>
              </w:divBdr>
            </w:div>
            <w:div w:id="1232274379">
              <w:marLeft w:val="0"/>
              <w:marRight w:val="0"/>
              <w:marTop w:val="0"/>
              <w:marBottom w:val="0"/>
              <w:divBdr>
                <w:top w:val="none" w:sz="0" w:space="0" w:color="auto"/>
                <w:left w:val="none" w:sz="0" w:space="0" w:color="auto"/>
                <w:bottom w:val="none" w:sz="0" w:space="0" w:color="auto"/>
                <w:right w:val="none" w:sz="0" w:space="0" w:color="auto"/>
              </w:divBdr>
              <w:divsChild>
                <w:div w:id="357704411">
                  <w:marLeft w:val="0"/>
                  <w:marRight w:val="0"/>
                  <w:marTop w:val="0"/>
                  <w:marBottom w:val="0"/>
                  <w:divBdr>
                    <w:top w:val="none" w:sz="0" w:space="0" w:color="auto"/>
                    <w:left w:val="none" w:sz="0" w:space="0" w:color="auto"/>
                    <w:bottom w:val="none" w:sz="0" w:space="0" w:color="auto"/>
                    <w:right w:val="none" w:sz="0" w:space="0" w:color="auto"/>
                  </w:divBdr>
                </w:div>
              </w:divsChild>
            </w:div>
            <w:div w:id="1622613119">
              <w:marLeft w:val="0"/>
              <w:marRight w:val="0"/>
              <w:marTop w:val="0"/>
              <w:marBottom w:val="0"/>
              <w:divBdr>
                <w:top w:val="none" w:sz="0" w:space="0" w:color="auto"/>
                <w:left w:val="none" w:sz="0" w:space="0" w:color="auto"/>
                <w:bottom w:val="none" w:sz="0" w:space="0" w:color="auto"/>
                <w:right w:val="none" w:sz="0" w:space="0" w:color="auto"/>
              </w:divBdr>
            </w:div>
            <w:div w:id="2022120259">
              <w:marLeft w:val="0"/>
              <w:marRight w:val="0"/>
              <w:marTop w:val="0"/>
              <w:marBottom w:val="0"/>
              <w:divBdr>
                <w:top w:val="none" w:sz="0" w:space="0" w:color="auto"/>
                <w:left w:val="none" w:sz="0" w:space="0" w:color="auto"/>
                <w:bottom w:val="none" w:sz="0" w:space="0" w:color="auto"/>
                <w:right w:val="none" w:sz="0" w:space="0" w:color="auto"/>
              </w:divBdr>
            </w:div>
            <w:div w:id="1272202267">
              <w:marLeft w:val="0"/>
              <w:marRight w:val="0"/>
              <w:marTop w:val="0"/>
              <w:marBottom w:val="0"/>
              <w:divBdr>
                <w:top w:val="none" w:sz="0" w:space="0" w:color="auto"/>
                <w:left w:val="none" w:sz="0" w:space="0" w:color="auto"/>
                <w:bottom w:val="none" w:sz="0" w:space="0" w:color="auto"/>
                <w:right w:val="none" w:sz="0" w:space="0" w:color="auto"/>
              </w:divBdr>
            </w:div>
            <w:div w:id="1379625878">
              <w:marLeft w:val="0"/>
              <w:marRight w:val="0"/>
              <w:marTop w:val="0"/>
              <w:marBottom w:val="0"/>
              <w:divBdr>
                <w:top w:val="none" w:sz="0" w:space="0" w:color="auto"/>
                <w:left w:val="none" w:sz="0" w:space="0" w:color="auto"/>
                <w:bottom w:val="none" w:sz="0" w:space="0" w:color="auto"/>
                <w:right w:val="none" w:sz="0" w:space="0" w:color="auto"/>
              </w:divBdr>
            </w:div>
            <w:div w:id="706833200">
              <w:marLeft w:val="0"/>
              <w:marRight w:val="0"/>
              <w:marTop w:val="0"/>
              <w:marBottom w:val="0"/>
              <w:divBdr>
                <w:top w:val="none" w:sz="0" w:space="0" w:color="auto"/>
                <w:left w:val="none" w:sz="0" w:space="0" w:color="auto"/>
                <w:bottom w:val="none" w:sz="0" w:space="0" w:color="auto"/>
                <w:right w:val="none" w:sz="0" w:space="0" w:color="auto"/>
              </w:divBdr>
            </w:div>
            <w:div w:id="1074936305">
              <w:marLeft w:val="0"/>
              <w:marRight w:val="0"/>
              <w:marTop w:val="0"/>
              <w:marBottom w:val="0"/>
              <w:divBdr>
                <w:top w:val="none" w:sz="0" w:space="0" w:color="auto"/>
                <w:left w:val="none" w:sz="0" w:space="0" w:color="auto"/>
                <w:bottom w:val="none" w:sz="0" w:space="0" w:color="auto"/>
                <w:right w:val="none" w:sz="0" w:space="0" w:color="auto"/>
              </w:divBdr>
            </w:div>
            <w:div w:id="182549311">
              <w:marLeft w:val="0"/>
              <w:marRight w:val="0"/>
              <w:marTop w:val="0"/>
              <w:marBottom w:val="0"/>
              <w:divBdr>
                <w:top w:val="none" w:sz="0" w:space="0" w:color="auto"/>
                <w:left w:val="none" w:sz="0" w:space="0" w:color="auto"/>
                <w:bottom w:val="none" w:sz="0" w:space="0" w:color="auto"/>
                <w:right w:val="none" w:sz="0" w:space="0" w:color="auto"/>
              </w:divBdr>
            </w:div>
          </w:divsChild>
        </w:div>
        <w:div w:id="1275598067">
          <w:marLeft w:val="0"/>
          <w:marRight w:val="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prnewswire.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4142</Words>
  <Characters>23615</Characters>
  <Application>Microsoft Office Word</Application>
  <DocSecurity>0</DocSecurity>
  <Lines>196</Lines>
  <Paragraphs>55</Paragraphs>
  <ScaleCrop>false</ScaleCrop>
  <Company/>
  <LinksUpToDate>false</LinksUpToDate>
  <CharactersWithSpaces>27702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朱桂俊</dc:creator>
  <cp:keywords/>
  <dc:description/>
  <cp:lastModifiedBy>朱桂俊</cp:lastModifiedBy>
  <cp:revision>2</cp:revision>
  <dcterms:created xsi:type="dcterms:W3CDTF">2026-05-07T06:47:00Z</dcterms:created>
  <dcterms:modified xsi:type="dcterms:W3CDTF">2026-05-07T06:47:00Z</dcterms:modified>
</cp:coreProperties>
</file>