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670" w:rsidRPr="00452670" w:rsidRDefault="00452670" w:rsidP="00452670">
      <w:pPr>
        <w:widowControl/>
        <w:spacing w:before="360" w:after="240" w:line="600" w:lineRule="atLeast"/>
        <w:jc w:val="left"/>
        <w:textAlignment w:val="baseline"/>
        <w:outlineLvl w:val="1"/>
        <w:rPr>
          <w:rFonts w:ascii="Arial" w:eastAsia="宋体" w:hAnsi="Arial" w:cs="Arial"/>
          <w:color w:val="000000"/>
          <w:kern w:val="0"/>
          <w:sz w:val="36"/>
          <w:szCs w:val="36"/>
        </w:rPr>
      </w:pPr>
      <w:r w:rsidRPr="00452670">
        <w:rPr>
          <w:rFonts w:ascii="Arial" w:eastAsia="宋体" w:hAnsi="Arial" w:cs="Arial"/>
          <w:color w:val="000000"/>
          <w:kern w:val="0"/>
          <w:sz w:val="36"/>
          <w:szCs w:val="36"/>
        </w:rPr>
        <w:t>Match Group Announces First Quarter Results</w:t>
      </w:r>
    </w:p>
    <w:p w:rsidR="00452670" w:rsidRPr="00452670" w:rsidRDefault="00452670" w:rsidP="00452670">
      <w:pPr>
        <w:widowControl/>
        <w:spacing w:line="330" w:lineRule="atLeast"/>
        <w:jc w:val="left"/>
        <w:rPr>
          <w:rFonts w:ascii="Arial" w:eastAsia="宋体" w:hAnsi="Arial" w:cs="Arial"/>
          <w:color w:val="000000"/>
          <w:kern w:val="0"/>
          <w:sz w:val="27"/>
          <w:szCs w:val="27"/>
        </w:rPr>
      </w:pPr>
      <w:r w:rsidRPr="00452670">
        <w:rPr>
          <w:rFonts w:ascii="Arial" w:eastAsia="宋体" w:hAnsi="Arial" w:cs="Arial"/>
          <w:color w:val="000000"/>
          <w:kern w:val="0"/>
          <w:sz w:val="27"/>
          <w:szCs w:val="27"/>
        </w:rPr>
        <w:t>05/05/2026</w:t>
      </w:r>
    </w:p>
    <w:p w:rsidR="00452670" w:rsidRPr="00452670" w:rsidRDefault="00452670" w:rsidP="00452670">
      <w:pPr>
        <w:widowControl/>
        <w:spacing w:before="100" w:beforeAutospacing="1" w:after="100" w:afterAutospacing="1"/>
        <w:jc w:val="center"/>
        <w:rPr>
          <w:rFonts w:ascii="Arial" w:eastAsia="宋体" w:hAnsi="Arial" w:cs="Arial"/>
          <w:color w:val="333333"/>
          <w:kern w:val="0"/>
          <w:sz w:val="27"/>
          <w:szCs w:val="27"/>
        </w:rPr>
      </w:pPr>
      <w:r w:rsidRPr="00452670">
        <w:rPr>
          <w:rFonts w:ascii="Arial" w:eastAsia="宋体" w:hAnsi="Arial" w:cs="Arial"/>
          <w:b/>
          <w:bCs/>
          <w:color w:val="333333"/>
          <w:kern w:val="0"/>
          <w:sz w:val="27"/>
          <w:szCs w:val="27"/>
        </w:rPr>
        <w:t>Tinder Registrations Returned to Y/Y Growth in March, Marking First Increase in Nearly Two Years</w:t>
      </w:r>
    </w:p>
    <w:p w:rsidR="00452670" w:rsidRPr="00452670" w:rsidRDefault="00452670" w:rsidP="00452670">
      <w:pPr>
        <w:widowControl/>
        <w:spacing w:before="100" w:beforeAutospacing="1" w:after="100" w:afterAutospacing="1"/>
        <w:jc w:val="center"/>
        <w:rPr>
          <w:rFonts w:ascii="Arial" w:eastAsia="宋体" w:hAnsi="Arial" w:cs="Arial"/>
          <w:color w:val="333333"/>
          <w:kern w:val="0"/>
          <w:sz w:val="27"/>
          <w:szCs w:val="27"/>
        </w:rPr>
      </w:pPr>
      <w:r w:rsidRPr="00452670">
        <w:rPr>
          <w:rFonts w:ascii="Arial" w:eastAsia="宋体" w:hAnsi="Arial" w:cs="Arial"/>
          <w:b/>
          <w:bCs/>
          <w:color w:val="333333"/>
          <w:kern w:val="0"/>
          <w:sz w:val="27"/>
          <w:szCs w:val="27"/>
        </w:rPr>
        <w:t>Hinge Launches Category-First Features and Delivers Strong Revenue Growth</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LOS ANGELES, May 5, 2026 /PRNewswire/ -- Match Group (NASDAQ: MTCH) today announced financial results for the first quarter ended March 31, 2026, highlighting meaningful progress in its product-led transformation. In Q1, the Company exceeded its revenue and Adjusted EBITDA expectations, while continuing to improve operating discipline and reallocate resources toward its highest-conviction opportunities.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noProof/>
          <w:color w:val="0066FF"/>
          <w:kern w:val="0"/>
          <w:sz w:val="27"/>
          <w:szCs w:val="27"/>
        </w:rPr>
        <w:drawing>
          <wp:inline distT="0" distB="0" distL="0" distR="0">
            <wp:extent cx="1475105" cy="1906270"/>
            <wp:effectExtent l="0" t="0" r="0" b="0"/>
            <wp:docPr id="1" name="图片 1" descr="Match Group Announces First Quarter Results">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ch Group Announces First Quarter Results">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75105" cy="1906270"/>
                    </a:xfrm>
                    <a:prstGeom prst="rect">
                      <a:avLst/>
                    </a:prstGeom>
                    <a:noFill/>
                    <a:ln>
                      <a:noFill/>
                    </a:ln>
                  </pic:spPr>
                </pic:pic>
              </a:graphicData>
            </a:graphic>
          </wp:inline>
        </w:drawing>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"Match Group delivered a strong start to the year," said CEO Spencer Rascoff. "Tinder works better today than it did before. Our product changes are resonating with Gen Z and driving improvements in leading indicators, which is a clear signal that Tinder's ecosystem is strengthening. Hinge delivered another strong quarter and launched category-first features for highly intentioned daters that are improving outcomes."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In Q1, Tinder demonstrated measurable progress across key metrics and strengthened user trends, with global MAU retention and registrations returning to year-over-year growth in March, while Hinge delivered 28% Y/Y Direct Revenue growth, reflecting continued product momentum and international expansion. The Company also advanced its '1MG' strategy, further simplifying its organizational structure and operating more cohesively to enable faster execution and better leverage shared capabilities across brands.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Rascoff continued, "We are maintaining disciplined execution across the business, driving efficiency while continuing to invest in our highest-priority growth opportunities. We've built a stronger foundation for the business over the past year, and are well-positioned to drive continued progress throughout 2026 and beyond."</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u w:val="single"/>
        </w:rPr>
        <w:t>Match Group Q1 2026 Financial Highlights</w:t>
      </w:r>
    </w:p>
    <w:p w:rsidR="00452670" w:rsidRPr="00452670" w:rsidRDefault="00452670" w:rsidP="00452670">
      <w:pPr>
        <w:widowControl/>
        <w:numPr>
          <w:ilvl w:val="0"/>
          <w:numId w:val="1"/>
        </w:numPr>
        <w:spacing w:before="100" w:beforeAutospacing="1" w:after="100" w:afterAutospacing="1"/>
        <w:ind w:left="0"/>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Total Revenue</w:t>
      </w:r>
      <w:r w:rsidRPr="00452670">
        <w:rPr>
          <w:rFonts w:ascii="Arial" w:eastAsia="宋体" w:hAnsi="Arial" w:cs="Arial"/>
          <w:color w:val="333333"/>
          <w:kern w:val="0"/>
          <w:sz w:val="27"/>
          <w:szCs w:val="27"/>
        </w:rPr>
        <w:t> of $864 million was up 4% year-over-year ("Y/Y"), flat on a foreign exchange ("FX") neutral basis ("FXN"), driven by a 10% Y/Y increase in </w:t>
      </w:r>
      <w:r w:rsidRPr="00452670">
        <w:rPr>
          <w:rFonts w:ascii="Arial" w:eastAsia="宋体" w:hAnsi="Arial" w:cs="Arial"/>
          <w:b/>
          <w:bCs/>
          <w:color w:val="333333"/>
          <w:kern w:val="0"/>
          <w:sz w:val="27"/>
          <w:szCs w:val="27"/>
        </w:rPr>
        <w:t>RPP</w:t>
      </w:r>
      <w:r w:rsidRPr="00452670">
        <w:rPr>
          <w:rFonts w:ascii="Arial" w:eastAsia="宋体" w:hAnsi="Arial" w:cs="Arial"/>
          <w:color w:val="333333"/>
          <w:kern w:val="0"/>
          <w:sz w:val="27"/>
          <w:szCs w:val="27"/>
        </w:rPr>
        <w:t> to $20.90, partially offset by a 5% Y/Y decline in </w:t>
      </w:r>
      <w:r w:rsidRPr="00452670">
        <w:rPr>
          <w:rFonts w:ascii="Arial" w:eastAsia="宋体" w:hAnsi="Arial" w:cs="Arial"/>
          <w:b/>
          <w:bCs/>
          <w:color w:val="333333"/>
          <w:kern w:val="0"/>
          <w:sz w:val="27"/>
          <w:szCs w:val="27"/>
        </w:rPr>
        <w:t>Payers</w:t>
      </w:r>
      <w:r w:rsidRPr="00452670">
        <w:rPr>
          <w:rFonts w:ascii="Arial" w:eastAsia="宋体" w:hAnsi="Arial" w:cs="Arial"/>
          <w:color w:val="333333"/>
          <w:kern w:val="0"/>
          <w:sz w:val="27"/>
          <w:szCs w:val="27"/>
        </w:rPr>
        <w:t> to 13.5 million.</w:t>
      </w:r>
    </w:p>
    <w:p w:rsidR="00452670" w:rsidRPr="00452670" w:rsidRDefault="00452670" w:rsidP="00452670">
      <w:pPr>
        <w:widowControl/>
        <w:numPr>
          <w:ilvl w:val="0"/>
          <w:numId w:val="1"/>
        </w:numPr>
        <w:spacing w:before="100" w:beforeAutospacing="1" w:after="100" w:afterAutospacing="1"/>
        <w:ind w:left="0"/>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Net Income</w:t>
      </w:r>
      <w:r w:rsidRPr="00452670">
        <w:rPr>
          <w:rFonts w:ascii="Arial" w:eastAsia="宋体" w:hAnsi="Arial" w:cs="Arial"/>
          <w:color w:val="333333"/>
          <w:kern w:val="0"/>
          <w:sz w:val="27"/>
          <w:szCs w:val="27"/>
        </w:rPr>
        <w:t> of $167 million increased 42% Y/Y, representing a </w:t>
      </w:r>
      <w:r w:rsidRPr="00452670">
        <w:rPr>
          <w:rFonts w:ascii="Arial" w:eastAsia="宋体" w:hAnsi="Arial" w:cs="Arial"/>
          <w:b/>
          <w:bCs/>
          <w:color w:val="333333"/>
          <w:kern w:val="0"/>
          <w:sz w:val="27"/>
          <w:szCs w:val="27"/>
        </w:rPr>
        <w:t>Net Income Margin</w:t>
      </w:r>
      <w:r w:rsidRPr="00452670">
        <w:rPr>
          <w:rFonts w:ascii="Arial" w:eastAsia="宋体" w:hAnsi="Arial" w:cs="Arial"/>
          <w:color w:val="333333"/>
          <w:kern w:val="0"/>
          <w:sz w:val="27"/>
          <w:szCs w:val="27"/>
        </w:rPr>
        <w:t> of 19%.</w:t>
      </w:r>
    </w:p>
    <w:p w:rsidR="00452670" w:rsidRPr="00452670" w:rsidRDefault="00452670" w:rsidP="00452670">
      <w:pPr>
        <w:widowControl/>
        <w:numPr>
          <w:ilvl w:val="0"/>
          <w:numId w:val="1"/>
        </w:numPr>
        <w:spacing w:before="100" w:beforeAutospacing="1" w:after="100" w:afterAutospacing="1"/>
        <w:ind w:left="0"/>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Adjusted EBITDA</w:t>
      </w:r>
      <w:r w:rsidRPr="00452670">
        <w:rPr>
          <w:rFonts w:ascii="Arial" w:eastAsia="宋体" w:hAnsi="Arial" w:cs="Arial"/>
          <w:color w:val="333333"/>
          <w:kern w:val="0"/>
          <w:sz w:val="27"/>
          <w:szCs w:val="27"/>
        </w:rPr>
        <w:t> of $343 million increased 25% Y/Y, representing an </w:t>
      </w:r>
      <w:r w:rsidRPr="00452670">
        <w:rPr>
          <w:rFonts w:ascii="Arial" w:eastAsia="宋体" w:hAnsi="Arial" w:cs="Arial"/>
          <w:b/>
          <w:bCs/>
          <w:color w:val="333333"/>
          <w:kern w:val="0"/>
          <w:sz w:val="27"/>
          <w:szCs w:val="27"/>
        </w:rPr>
        <w:t>Adjusted EBITDA Margin</w:t>
      </w:r>
      <w:r w:rsidRPr="00452670">
        <w:rPr>
          <w:rFonts w:ascii="Arial" w:eastAsia="宋体" w:hAnsi="Arial" w:cs="Arial"/>
          <w:color w:val="333333"/>
          <w:kern w:val="0"/>
          <w:sz w:val="27"/>
          <w:szCs w:val="27"/>
        </w:rPr>
        <w:t> of 40%.</w:t>
      </w:r>
    </w:p>
    <w:p w:rsidR="00452670" w:rsidRPr="00452670" w:rsidRDefault="00452670" w:rsidP="00452670">
      <w:pPr>
        <w:widowControl/>
        <w:numPr>
          <w:ilvl w:val="0"/>
          <w:numId w:val="1"/>
        </w:numPr>
        <w:spacing w:before="100" w:beforeAutospacing="1" w:after="100" w:afterAutospacing="1"/>
        <w:ind w:left="0"/>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Operating Cash Flow</w:t>
      </w:r>
      <w:r w:rsidRPr="00452670">
        <w:rPr>
          <w:rFonts w:ascii="Arial" w:eastAsia="宋体" w:hAnsi="Arial" w:cs="Arial"/>
          <w:color w:val="333333"/>
          <w:kern w:val="0"/>
          <w:sz w:val="27"/>
          <w:szCs w:val="27"/>
        </w:rPr>
        <w:t> and </w:t>
      </w:r>
      <w:r w:rsidRPr="00452670">
        <w:rPr>
          <w:rFonts w:ascii="Arial" w:eastAsia="宋体" w:hAnsi="Arial" w:cs="Arial"/>
          <w:b/>
          <w:bCs/>
          <w:color w:val="333333"/>
          <w:kern w:val="0"/>
          <w:sz w:val="27"/>
          <w:szCs w:val="27"/>
        </w:rPr>
        <w:t>Free Cash Flow</w:t>
      </w:r>
      <w:r w:rsidRPr="00452670">
        <w:rPr>
          <w:rFonts w:ascii="Arial" w:eastAsia="宋体" w:hAnsi="Arial" w:cs="Arial"/>
          <w:color w:val="333333"/>
          <w:kern w:val="0"/>
          <w:sz w:val="27"/>
          <w:szCs w:val="27"/>
        </w:rPr>
        <w:t> were $194 million and $174 million, respectively.</w:t>
      </w:r>
    </w:p>
    <w:p w:rsidR="00452670" w:rsidRPr="00452670" w:rsidRDefault="00452670" w:rsidP="00452670">
      <w:pPr>
        <w:widowControl/>
        <w:numPr>
          <w:ilvl w:val="0"/>
          <w:numId w:val="1"/>
        </w:numPr>
        <w:spacing w:before="100" w:beforeAutospacing="1" w:after="100" w:afterAutospacing="1"/>
        <w:ind w:left="0"/>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Repurchased</w:t>
      </w:r>
      <w:r w:rsidRPr="00452670">
        <w:rPr>
          <w:rFonts w:ascii="Arial" w:eastAsia="宋体" w:hAnsi="Arial" w:cs="Arial"/>
          <w:color w:val="333333"/>
          <w:kern w:val="0"/>
          <w:sz w:val="27"/>
          <w:szCs w:val="27"/>
        </w:rPr>
        <w:t> 2.0 million of our shares at an average price of $31 per share on a trade date basis for a total of $60 million, paid $44 million in dividends, and deployed $75 million of cash toward the net settlement of employee equity awards to reduce dilution, equating to 103% of Free Cash Flow in total.</w:t>
      </w:r>
    </w:p>
    <w:p w:rsidR="00452670" w:rsidRPr="00452670" w:rsidRDefault="00452670" w:rsidP="00452670">
      <w:pPr>
        <w:widowControl/>
        <w:numPr>
          <w:ilvl w:val="0"/>
          <w:numId w:val="1"/>
        </w:numPr>
        <w:spacing w:beforeAutospacing="1" w:afterAutospacing="1"/>
        <w:ind w:left="0"/>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Diluted shares outstanding</w:t>
      </w:r>
      <w:r w:rsidRPr="00452670">
        <w:rPr>
          <w:rFonts w:ascii="inherit" w:eastAsia="宋体" w:hAnsi="inherit" w:cs="Arial"/>
          <w:b/>
          <w:bCs/>
          <w:color w:val="333333"/>
          <w:kern w:val="0"/>
          <w:sz w:val="23"/>
          <w:szCs w:val="23"/>
          <w:bdr w:val="none" w:sz="0" w:space="0" w:color="auto" w:frame="1"/>
          <w:vertAlign w:val="superscript"/>
        </w:rPr>
        <w:t>1</w:t>
      </w:r>
      <w:r w:rsidRPr="00452670">
        <w:rPr>
          <w:rFonts w:ascii="Arial" w:eastAsia="宋体" w:hAnsi="Arial" w:cs="Arial"/>
          <w:b/>
          <w:bCs/>
          <w:color w:val="333333"/>
          <w:kern w:val="0"/>
          <w:sz w:val="27"/>
          <w:szCs w:val="27"/>
        </w:rPr>
        <w:t> </w:t>
      </w:r>
      <w:r w:rsidRPr="00452670">
        <w:rPr>
          <w:rFonts w:ascii="Arial" w:eastAsia="宋体" w:hAnsi="Arial" w:cs="Arial"/>
          <w:color w:val="333333"/>
          <w:kern w:val="0"/>
          <w:sz w:val="27"/>
          <w:szCs w:val="27"/>
        </w:rPr>
        <w:t>were 242 million as of April 30, 2026, a decrease of 13 million shares, or 5%, since April 30, 2025.</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The following table summarizes total company consolidated financial results for the three months ended March 31, 2026 and 2025.</w:t>
      </w:r>
    </w:p>
    <w:tbl>
      <w:tblPr>
        <w:tblW w:w="0" w:type="auto"/>
        <w:tblCellMar>
          <w:left w:w="0" w:type="dxa"/>
          <w:right w:w="0" w:type="dxa"/>
        </w:tblCellMar>
        <w:tblLook w:val="04A0" w:firstRow="1" w:lastRow="0" w:firstColumn="1" w:lastColumn="0" w:noHBand="0" w:noVBand="1"/>
      </w:tblPr>
      <w:tblGrid>
        <w:gridCol w:w="4191"/>
        <w:gridCol w:w="774"/>
        <w:gridCol w:w="246"/>
        <w:gridCol w:w="774"/>
        <w:gridCol w:w="246"/>
        <w:gridCol w:w="669"/>
      </w:tblGrid>
      <w:tr w:rsidR="00452670" w:rsidRPr="00452670" w:rsidTr="00452670">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gridSpan w:val="5"/>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Three Months Ended March 31,</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inherit" w:eastAsia="宋体" w:hAnsi="inherit" w:cs="Arial"/>
                <w:i/>
                <w:iCs/>
                <w:color w:val="000000"/>
                <w:kern w:val="0"/>
                <w:sz w:val="16"/>
                <w:szCs w:val="16"/>
              </w:rPr>
              <w:t>(Dollars in millions, except RPP, Payers in thousands)</w:t>
            </w: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2026</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2025</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Y/Y</w:t>
            </w:r>
            <w:r w:rsidRPr="00452670">
              <w:rPr>
                <w:rFonts w:ascii="Arial" w:eastAsia="宋体" w:hAnsi="Arial" w:cs="Arial"/>
                <w:b/>
                <w:bCs/>
                <w:color w:val="000000"/>
                <w:kern w:val="0"/>
                <w:sz w:val="16"/>
                <w:szCs w:val="16"/>
              </w:rPr>
              <w:br/>
              <w:t>Change</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Total Revenue</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864</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831</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4 %</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Direct Revenue</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$ 848</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812</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4 %</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Net income attributable to Match Group, Inc. shareholders</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167</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118</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42 %</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Net Income Margin</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19 %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14 %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Adjusted EBITDA</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343</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275</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25 %</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Adjusted EBITDA Margin</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40 %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33 %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Payers</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13,521</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14,198</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(5) %</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RPP</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$ 20.90</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$ 19.07</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10 %</w:t>
            </w:r>
          </w:p>
        </w:tc>
      </w:tr>
    </w:tbl>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u w:val="single"/>
        </w:rPr>
        <w:t>Other Quarterly Highlights:</w:t>
      </w:r>
    </w:p>
    <w:p w:rsidR="00452670" w:rsidRPr="00452670" w:rsidRDefault="00452670" w:rsidP="00452670">
      <w:pPr>
        <w:widowControl/>
        <w:numPr>
          <w:ilvl w:val="0"/>
          <w:numId w:val="2"/>
        </w:numPr>
        <w:spacing w:before="100" w:beforeAutospacing="1" w:after="100" w:afterAutospacing="1"/>
        <w:ind w:left="0"/>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 </w:t>
      </w:r>
      <w:r w:rsidRPr="00452670">
        <w:rPr>
          <w:rFonts w:ascii="Arial" w:eastAsia="宋体" w:hAnsi="Arial" w:cs="Arial"/>
          <w:b/>
          <w:bCs/>
          <w:color w:val="333333"/>
          <w:kern w:val="0"/>
          <w:sz w:val="27"/>
          <w:szCs w:val="27"/>
        </w:rPr>
        <w:t>Tinder's product-led turnaround is underway, with leading indicators improving.</w:t>
      </w:r>
      <w:r w:rsidRPr="00452670">
        <w:rPr>
          <w:rFonts w:ascii="Arial" w:eastAsia="宋体" w:hAnsi="Arial" w:cs="Arial"/>
          <w:color w:val="333333"/>
          <w:kern w:val="0"/>
          <w:sz w:val="27"/>
          <w:szCs w:val="27"/>
        </w:rPr>
        <w:t> In March, Sparks (a proxy for real connection) declined just 1% Y/Y, while Sparks Coverage (a core engagement metric for conversations) increased 6% Y/Y. In March, MAU trends also improved, down 7% Y/Y, the slowest rate of decline in 31 months, and new user registrations returned to Y/Y growth. These trends reflect ongoing product enhancements, including improved recommendations, new features like Astrology Mode and Music Mode, and continued investment in Trust &amp; Safety.</w:t>
      </w:r>
    </w:p>
    <w:p w:rsidR="00452670" w:rsidRPr="00452670" w:rsidRDefault="00452670" w:rsidP="00452670">
      <w:pPr>
        <w:widowControl/>
        <w:numPr>
          <w:ilvl w:val="0"/>
          <w:numId w:val="2"/>
        </w:numPr>
        <w:spacing w:beforeAutospacing="1" w:afterAutospacing="1"/>
        <w:ind w:left="0"/>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 </w:t>
      </w:r>
      <w:r w:rsidRPr="00452670">
        <w:rPr>
          <w:rFonts w:ascii="Arial" w:eastAsia="宋体" w:hAnsi="Arial" w:cs="Arial"/>
          <w:b/>
          <w:bCs/>
          <w:color w:val="333333"/>
          <w:kern w:val="0"/>
          <w:sz w:val="27"/>
          <w:szCs w:val="27"/>
        </w:rPr>
        <w:t>Hinge fully rolled out Face Check™ across key markets</w:t>
      </w:r>
      <w:r w:rsidRPr="00452670">
        <w:rPr>
          <w:rFonts w:ascii="Arial" w:eastAsia="宋体" w:hAnsi="Arial" w:cs="Arial"/>
          <w:color w:val="333333"/>
          <w:kern w:val="0"/>
          <w:sz w:val="27"/>
          <w:szCs w:val="27"/>
        </w:rPr>
        <w:t>, reducing interactions with bad actors</w:t>
      </w:r>
      <w:r w:rsidRPr="00452670">
        <w:rPr>
          <w:rFonts w:ascii="inherit" w:eastAsia="宋体" w:hAnsi="inherit" w:cs="Arial"/>
          <w:color w:val="333333"/>
          <w:kern w:val="0"/>
          <w:sz w:val="23"/>
          <w:szCs w:val="23"/>
          <w:bdr w:val="none" w:sz="0" w:space="0" w:color="auto" w:frame="1"/>
          <w:vertAlign w:val="superscript"/>
        </w:rPr>
        <w:t>2</w:t>
      </w:r>
      <w:r w:rsidRPr="00452670">
        <w:rPr>
          <w:rFonts w:ascii="Arial" w:eastAsia="宋体" w:hAnsi="Arial" w:cs="Arial"/>
          <w:color w:val="333333"/>
          <w:kern w:val="0"/>
          <w:sz w:val="27"/>
          <w:szCs w:val="27"/>
        </w:rPr>
        <w:t> by 20-30% with minimal impact on revenue.</w:t>
      </w:r>
    </w:p>
    <w:p w:rsidR="00452670" w:rsidRPr="00452670" w:rsidRDefault="00452670" w:rsidP="00452670">
      <w:pPr>
        <w:widowControl/>
        <w:numPr>
          <w:ilvl w:val="0"/>
          <w:numId w:val="2"/>
        </w:numPr>
        <w:spacing w:before="100" w:beforeAutospacing="1" w:after="100" w:afterAutospacing="1"/>
        <w:ind w:left="0"/>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 </w:t>
      </w:r>
      <w:r w:rsidRPr="00452670">
        <w:rPr>
          <w:rFonts w:ascii="Arial" w:eastAsia="宋体" w:hAnsi="Arial" w:cs="Arial"/>
          <w:b/>
          <w:bCs/>
          <w:color w:val="333333"/>
          <w:kern w:val="0"/>
          <w:sz w:val="27"/>
          <w:szCs w:val="27"/>
        </w:rPr>
        <w:t>Match Group made a significant $100 million investment in Sniffies in April</w:t>
      </w:r>
      <w:r w:rsidRPr="00452670">
        <w:rPr>
          <w:rFonts w:ascii="Arial" w:eastAsia="宋体" w:hAnsi="Arial" w:cs="Arial"/>
          <w:color w:val="333333"/>
          <w:kern w:val="0"/>
          <w:sz w:val="27"/>
          <w:szCs w:val="27"/>
        </w:rPr>
        <w:t>, further strengthening its investment in the non-heterosexual male segment. As part of this move, the Company will wind down Archer, its gay male app, which is expected to result in approximately $10 million in annualized cost savings, including stock-based compensation.</w:t>
      </w:r>
    </w:p>
    <w:p w:rsidR="00452670" w:rsidRPr="00452670" w:rsidRDefault="00452670" w:rsidP="00452670">
      <w:pPr>
        <w:widowControl/>
        <w:numPr>
          <w:ilvl w:val="0"/>
          <w:numId w:val="2"/>
        </w:numPr>
        <w:spacing w:before="100" w:beforeAutospacing="1" w:after="100" w:afterAutospacing="1"/>
        <w:ind w:left="0"/>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 </w:t>
      </w:r>
      <w:r w:rsidRPr="00452670">
        <w:rPr>
          <w:rFonts w:ascii="Arial" w:eastAsia="宋体" w:hAnsi="Arial" w:cs="Arial"/>
          <w:b/>
          <w:bCs/>
          <w:color w:val="333333"/>
          <w:kern w:val="0"/>
          <w:sz w:val="27"/>
          <w:szCs w:val="27"/>
        </w:rPr>
        <w:t>Match Group continued to simplify its organization</w:t>
      </w:r>
      <w:r w:rsidRPr="00452670">
        <w:rPr>
          <w:rFonts w:ascii="Arial" w:eastAsia="宋体" w:hAnsi="Arial" w:cs="Arial"/>
          <w:color w:val="333333"/>
          <w:kern w:val="0"/>
          <w:sz w:val="27"/>
          <w:szCs w:val="27"/>
        </w:rPr>
        <w:t>, folding MG Asia into its E&amp;E business unit, which is expected to result in roughly $15 million in annualized cost savings, including stock-based compensation. The move brings Azar and Pairs, the two Asia-based businesses, closer to the rest of the Company, and the Seoul-based engineering talent to Tinder. The Company also further centralized performance marketing, driving improved coordination across nearly $600 million in global spend.</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A webcast of our first quarter 2026 results will be available at </w:t>
      </w:r>
      <w:hyperlink r:id="rId7" w:history="1">
        <w:r w:rsidRPr="00452670">
          <w:rPr>
            <w:rFonts w:ascii="Arial" w:eastAsia="宋体" w:hAnsi="Arial" w:cs="Arial"/>
            <w:color w:val="0066FF"/>
            <w:kern w:val="0"/>
            <w:sz w:val="27"/>
            <w:szCs w:val="27"/>
          </w:rPr>
          <w:t>https://ir.mtch.com</w:t>
        </w:r>
      </w:hyperlink>
      <w:r w:rsidRPr="00452670">
        <w:rPr>
          <w:rFonts w:ascii="Arial" w:eastAsia="宋体" w:hAnsi="Arial" w:cs="Arial"/>
          <w:color w:val="333333"/>
          <w:kern w:val="0"/>
          <w:sz w:val="27"/>
          <w:szCs w:val="27"/>
        </w:rPr>
        <w:t>, along with our Prepared Remarks and Supplemental Financial Materials. The webcast will begin today, May 5, 2026, at 5:00 PM Eastern Time. This press release, including the reconciliations of certain non-GAAP measures to their nearest comparable GAAP measures, is also available on that site.</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u w:val="single"/>
        </w:rPr>
        <w:t>Financial Outlook</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For Q2 2026, Match Group expects:</w:t>
      </w:r>
    </w:p>
    <w:p w:rsidR="00452670" w:rsidRPr="00452670" w:rsidRDefault="00452670" w:rsidP="00452670">
      <w:pPr>
        <w:widowControl/>
        <w:numPr>
          <w:ilvl w:val="0"/>
          <w:numId w:val="3"/>
        </w:numPr>
        <w:spacing w:before="100" w:beforeAutospacing="1" w:after="100" w:afterAutospacing="1"/>
        <w:ind w:left="0"/>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Total Revenue of $850 to $860 million, down 2% to flat Y/Y.</w:t>
      </w:r>
    </w:p>
    <w:p w:rsidR="00452670" w:rsidRPr="00452670" w:rsidRDefault="00452670" w:rsidP="00452670">
      <w:pPr>
        <w:widowControl/>
        <w:numPr>
          <w:ilvl w:val="0"/>
          <w:numId w:val="3"/>
        </w:numPr>
        <w:spacing w:before="100" w:beforeAutospacing="1" w:after="100" w:afterAutospacing="1"/>
        <w:ind w:left="0"/>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Adjusted EBITDA of $325 to $330 million, representing a Y/Y increase of 13% at the midpoints of the ranges.</w:t>
      </w:r>
    </w:p>
    <w:p w:rsidR="00452670" w:rsidRPr="00452670" w:rsidRDefault="00452670" w:rsidP="00452670">
      <w:pPr>
        <w:widowControl/>
        <w:numPr>
          <w:ilvl w:val="0"/>
          <w:numId w:val="3"/>
        </w:numPr>
        <w:spacing w:before="100" w:beforeAutospacing="1" w:after="100" w:afterAutospacing="1"/>
        <w:ind w:left="0"/>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Adjusted EBITDA Margin of 38% at the midpoints of the ranges.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u w:val="single"/>
        </w:rPr>
        <w:t>Dividend Declaration</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Match Group's Board of Directors has declared a cash dividend of $0.20 per share of the company's common stock. The dividend is payable on July 21, 2026 to shareholders of record as of July 7, 2026.</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u w:val="single"/>
        </w:rPr>
        <w:t>Financial Results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Consolidated Operating Costs and Expenses</w:t>
      </w:r>
    </w:p>
    <w:tbl>
      <w:tblPr>
        <w:tblW w:w="0" w:type="auto"/>
        <w:tblCellMar>
          <w:left w:w="0" w:type="dxa"/>
          <w:right w:w="0" w:type="dxa"/>
        </w:tblCellMar>
        <w:tblLook w:val="04A0" w:firstRow="1" w:lastRow="0" w:firstColumn="1" w:lastColumn="0" w:noHBand="0" w:noVBand="1"/>
      </w:tblPr>
      <w:tblGrid>
        <w:gridCol w:w="2989"/>
        <w:gridCol w:w="1023"/>
        <w:gridCol w:w="245"/>
        <w:gridCol w:w="707"/>
        <w:gridCol w:w="246"/>
        <w:gridCol w:w="982"/>
        <w:gridCol w:w="246"/>
        <w:gridCol w:w="707"/>
        <w:gridCol w:w="246"/>
        <w:gridCol w:w="915"/>
      </w:tblGrid>
      <w:tr w:rsidR="00452670" w:rsidRPr="00452670" w:rsidTr="00452670">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gridSpan w:val="9"/>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Three Months Ended March 31,</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inherit" w:eastAsia="宋体" w:hAnsi="inherit" w:cs="Arial"/>
                <w:i/>
                <w:iCs/>
                <w:color w:val="000000"/>
                <w:kern w:val="0"/>
                <w:sz w:val="16"/>
                <w:szCs w:val="16"/>
              </w:rPr>
              <w:t>(Dollars in thousands)</w:t>
            </w: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2026</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 of</w:t>
            </w:r>
            <w:r w:rsidRPr="00452670">
              <w:rPr>
                <w:rFonts w:ascii="Arial" w:eastAsia="宋体" w:hAnsi="Arial" w:cs="Arial"/>
                <w:b/>
                <w:bCs/>
                <w:color w:val="000000"/>
                <w:kern w:val="0"/>
                <w:sz w:val="16"/>
                <w:szCs w:val="16"/>
              </w:rPr>
              <w:br/>
              <w:t>Revenue</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2025</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 of</w:t>
            </w:r>
            <w:r w:rsidRPr="00452670">
              <w:rPr>
                <w:rFonts w:ascii="Arial" w:eastAsia="宋体" w:hAnsi="Arial" w:cs="Arial"/>
                <w:b/>
                <w:bCs/>
                <w:color w:val="000000"/>
                <w:kern w:val="0"/>
                <w:sz w:val="16"/>
                <w:szCs w:val="16"/>
              </w:rPr>
              <w:br/>
              <w:t>Revenue</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Y/Y Change</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Cost of revenue</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210,656</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24 %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236,908</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29 %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(11) %</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Selling and marketing expense</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163,030</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19 %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157,096</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19 %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4 %</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General and administrative expense</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89,128</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10 %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111,520</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13 %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(20) %</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Product development expense</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116,805</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14 %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120,854</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15 %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 %</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Depreciation</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14,132</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21,729</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(35) %</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Impairments and amortization of intangibles</w:t>
            </w: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33,767</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10,478</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222 %</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Total operating costs and expenses</w:t>
            </w:r>
          </w:p>
        </w:tc>
        <w:tc>
          <w:tcPr>
            <w:tcW w:w="0" w:type="auto"/>
            <w:tcBorders>
              <w:top w:val="nil"/>
              <w:left w:val="nil"/>
              <w:bottom w:val="double" w:sz="6"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627,518</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73 %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658,585</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79 %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(5) %</w:t>
            </w:r>
          </w:p>
        </w:tc>
      </w:tr>
    </w:tbl>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Liquidity and Capital Resources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During the three months ended March 31, 2026, we generated operating cash flow of $194 million and Free Cash Flow of $174 million.</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During the quarter ended March 31, 2026, we repurchased 2.0 million shares of our common stock for $60 million on a trade date basis at an average price of $30.67. Between April 1 and April 30, 2026, we repurchased an additional 0.7 million shares of our common stock for $22 million on a trade date basis at an average price of $32.03. As of April 30, 2026, $876 million in aggregate value of shares of Match Group stock remains available under our share repurchase program.</w:t>
      </w:r>
    </w:p>
    <w:p w:rsidR="00452670" w:rsidRPr="00452670" w:rsidRDefault="00452670" w:rsidP="00452670">
      <w:pPr>
        <w:widowControl/>
        <w:spacing w:beforeAutospacing="1"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As of March 31, 2026, we had $1.0 billion in cash, cash equivalents, and short-term investments and $4.0 billion of long-term debt, inclusive of current maturities, all of which is fixed rate debt, including $1.0 billion of Exchangeable Senior Notes. We plan to use $424 million of cash to repay the outstanding 0.875% exchangeable senior notes due 2026 at or prior to their maturity in June 2026. Our $500 million revolving credit facility was undrawn as of March 31, 2026. Match Group's trailing twelve-month leverage</w:t>
      </w:r>
      <w:r w:rsidRPr="00452670">
        <w:rPr>
          <w:rFonts w:ascii="inherit" w:eastAsia="宋体" w:hAnsi="inherit" w:cs="Arial"/>
          <w:color w:val="333333"/>
          <w:kern w:val="0"/>
          <w:sz w:val="23"/>
          <w:szCs w:val="23"/>
          <w:bdr w:val="none" w:sz="0" w:space="0" w:color="auto" w:frame="1"/>
          <w:vertAlign w:val="superscript"/>
        </w:rPr>
        <w:t>3</w:t>
      </w:r>
      <w:r w:rsidRPr="00452670">
        <w:rPr>
          <w:rFonts w:ascii="Arial" w:eastAsia="宋体" w:hAnsi="Arial" w:cs="Arial"/>
          <w:color w:val="333333"/>
          <w:kern w:val="0"/>
          <w:sz w:val="27"/>
          <w:szCs w:val="27"/>
        </w:rPr>
        <w:t> as of March 31, 2026 was 3.1x on a gross basis and 2.3x on a net basis.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On April 21, 2026, we paid a dividend of $0.20 per share to holders of record on April 6, 2026. The total cash payout was $47 million.</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On April 23, 2026, we used $100 million of cash on hand to make a minority interest investment in Sniffies.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u w:val="single"/>
        </w:rPr>
        <w:t>GAAP Financial Statements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Consolidated Statement of Operations</w:t>
      </w:r>
    </w:p>
    <w:tbl>
      <w:tblPr>
        <w:tblW w:w="0" w:type="auto"/>
        <w:tblCellMar>
          <w:left w:w="0" w:type="dxa"/>
          <w:right w:w="0" w:type="dxa"/>
        </w:tblCellMar>
        <w:tblLook w:val="04A0" w:firstRow="1" w:lastRow="0" w:firstColumn="1" w:lastColumn="0" w:noHBand="0" w:noVBand="1"/>
      </w:tblPr>
      <w:tblGrid>
        <w:gridCol w:w="5054"/>
        <w:gridCol w:w="1341"/>
        <w:gridCol w:w="177"/>
        <w:gridCol w:w="1402"/>
      </w:tblGrid>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gridSpan w:val="3"/>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Three Months Ended March 31,</w:t>
            </w: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2026</w:t>
            </w:r>
          </w:p>
        </w:tc>
        <w:tc>
          <w:tcPr>
            <w:tcW w:w="0" w:type="auto"/>
            <w:tcBorders>
              <w:top w:val="single" w:sz="4" w:space="0" w:color="000000"/>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2025</w:t>
            </w: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center"/>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gridSpan w:val="3"/>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(In thousands, except per share data)</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Revenue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863,934</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831,178</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Operating costs and expenses: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Cost of revenue (exclusive of depreciation shown separately below)</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210,656</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236,908</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Selling and marketing expense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163,030</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157,096</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General and administrative expense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89,128</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111,520</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Product development expense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116,805</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120,854</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Depreciation</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14,132</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21,729</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Impairment and amortization of intangibles</w:t>
            </w: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33,767</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10,478</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Total operating costs and expenses</w:t>
            </w: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627,518</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658,585</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Operating income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236,416</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172,593</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Interest expense</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(42,525)</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(35,256)</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Other income, net</w:t>
            </w: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6,640</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2,616</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Income before income taxes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200,531</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139,953</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Income tax provision</w:t>
            </w: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(33,686)</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(22,382)</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Net income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166,845</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117,571</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Net income attributable to noncontrolling interests</w:t>
            </w: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(8)</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Net income attributable to Match Group, Inc. shareholders</w:t>
            </w:r>
          </w:p>
        </w:tc>
        <w:tc>
          <w:tcPr>
            <w:tcW w:w="0" w:type="auto"/>
            <w:tcBorders>
              <w:top w:val="nil"/>
              <w:left w:val="nil"/>
              <w:bottom w:val="double" w:sz="6"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166,837</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117,570</w:t>
            </w: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Net earnings per share attributable to Match Group, Inc. shareholders: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     Basic</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0.71</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0.47</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     Diluted</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0.68</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0.44</w:t>
            </w: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Basic shares outstanding</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233,441</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251,130</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Diluted shares outstanding</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251,477</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271,928</w:t>
            </w: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Stock-based compensation expense by function:</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Cost of revenue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1,467</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1,835</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Selling and marketing expense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2,608</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2,742</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General and administrative expense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19,762</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27,006</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Product development expense</w:t>
            </w: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34,730</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38,811</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Total stock-based compensation expense</w:t>
            </w:r>
          </w:p>
        </w:tc>
        <w:tc>
          <w:tcPr>
            <w:tcW w:w="0" w:type="auto"/>
            <w:tcBorders>
              <w:top w:val="nil"/>
              <w:left w:val="nil"/>
              <w:bottom w:val="double" w:sz="6"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58,567</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70,394</w:t>
            </w:r>
          </w:p>
        </w:tc>
      </w:tr>
    </w:tbl>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Consolidated Balance Sheet</w:t>
      </w:r>
    </w:p>
    <w:tbl>
      <w:tblPr>
        <w:tblW w:w="0" w:type="auto"/>
        <w:tblCellMar>
          <w:left w:w="0" w:type="dxa"/>
          <w:right w:w="0" w:type="dxa"/>
        </w:tblCellMar>
        <w:tblLook w:val="04A0" w:firstRow="1" w:lastRow="0" w:firstColumn="1" w:lastColumn="0" w:noHBand="0" w:noVBand="1"/>
      </w:tblPr>
      <w:tblGrid>
        <w:gridCol w:w="4032"/>
        <w:gridCol w:w="1221"/>
        <w:gridCol w:w="126"/>
        <w:gridCol w:w="1524"/>
      </w:tblGrid>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March 31, 2026</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December 31, 2025</w:t>
            </w: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center"/>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gridSpan w:val="3"/>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(In thousands)</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ASSETS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Cash and cash equivalents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1,020,095</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1,027,838</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Short-term investments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3,298</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3,461</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Accounts receivable, net</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293,186</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303,495</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Other current assets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105,609</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92,500</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Total current assets</w:t>
            </w:r>
          </w:p>
        </w:tc>
        <w:tc>
          <w:tcPr>
            <w:tcW w:w="0" w:type="auto"/>
            <w:tcBorders>
              <w:top w:val="single" w:sz="4" w:space="0" w:color="000000"/>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1,422,188</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1,427,294</w:t>
            </w: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Property and equipment, net</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138,877</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131,159</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Goodwill</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2,336,995</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2,339,350</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Intangible assets, net</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152,411</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192,929</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Deferred income taxes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195,649</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216,057</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Other non-current assets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161,817</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154,022</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TOTAL ASSETS</w:t>
            </w:r>
          </w:p>
        </w:tc>
        <w:tc>
          <w:tcPr>
            <w:tcW w:w="0" w:type="auto"/>
            <w:tcBorders>
              <w:top w:val="single" w:sz="4" w:space="0" w:color="000000"/>
              <w:left w:val="nil"/>
              <w:bottom w:val="double" w:sz="6"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4,407,937</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4,460,811</w:t>
            </w: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LIABILITIES AND SHAREHOLDERS' EQUITY</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LIABILITIES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Current maturities of long-term debt, net</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423,729</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423,580</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Accounts payable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9,309</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9,577</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Deferred revenue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150,252</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151,337</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Accrued expenses and other current liabilities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323,303</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422,051</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Total current liabilities</w:t>
            </w:r>
          </w:p>
        </w:tc>
        <w:tc>
          <w:tcPr>
            <w:tcW w:w="0" w:type="auto"/>
            <w:tcBorders>
              <w:top w:val="single" w:sz="4" w:space="0" w:color="000000"/>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906,593</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1,006,545</w:t>
            </w: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Long-term debt, net of current maturities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3,550,473</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3,549,099</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Income taxes payable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45,873</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43,522</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Deferred income taxes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1,781</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10,732</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Other long-term liabilities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121,334</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104,309</w:t>
            </w: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Commitments and contingencies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SHAREHOLDERS' EQUITY</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Common stock</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303</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300</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Additional paid-in capital</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8,661,187</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8,721,015</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Retained deficit</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(5,799,470)</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(5,966,307)</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Accumulated other comprehensive loss</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(434,141)</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(422,620)</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Treasury stock</w:t>
            </w: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(2,645,996)</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(2,585,892)</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Total Match Group, Inc. shareholders' equity</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(218,117)</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(253,504)</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Noncontrolling interests</w:t>
            </w: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108</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Total shareholders' equity</w:t>
            </w: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(218,117)</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(253,396)</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TOTAL LIABILITIES AND SHAREHOLDERS' EQUITY</w:t>
            </w:r>
          </w:p>
        </w:tc>
        <w:tc>
          <w:tcPr>
            <w:tcW w:w="0" w:type="auto"/>
            <w:tcBorders>
              <w:top w:val="nil"/>
              <w:left w:val="nil"/>
              <w:bottom w:val="double" w:sz="6"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4,407,937</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4,460,811</w:t>
            </w:r>
          </w:p>
        </w:tc>
      </w:tr>
    </w:tbl>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Consolidated Statement of Cash Flows</w:t>
      </w:r>
    </w:p>
    <w:tbl>
      <w:tblPr>
        <w:tblW w:w="0" w:type="auto"/>
        <w:tblCellMar>
          <w:left w:w="0" w:type="dxa"/>
          <w:right w:w="0" w:type="dxa"/>
        </w:tblCellMar>
        <w:tblLook w:val="04A0" w:firstRow="1" w:lastRow="0" w:firstColumn="1" w:lastColumn="0" w:noHBand="0" w:noVBand="1"/>
      </w:tblPr>
      <w:tblGrid>
        <w:gridCol w:w="5766"/>
        <w:gridCol w:w="1179"/>
        <w:gridCol w:w="136"/>
        <w:gridCol w:w="1132"/>
      </w:tblGrid>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gridSpan w:val="3"/>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Three Months Ended March 31,</w:t>
            </w: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2026</w:t>
            </w:r>
          </w:p>
        </w:tc>
        <w:tc>
          <w:tcPr>
            <w:tcW w:w="0" w:type="auto"/>
            <w:tcBorders>
              <w:top w:val="single" w:sz="4" w:space="0" w:color="000000"/>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2025</w:t>
            </w: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center"/>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gridSpan w:val="3"/>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(In thousands)</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Cash flows from operating activities: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Net income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166,845</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117,571</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Adjustments to reconcile net income to net cash provided by operating activities: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Stock-based compensation expense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58,567</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70,394</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Depreciation</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14,132</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21,729</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Impairments and amortization of intangibles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33,767</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10,478</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Deferred income taxes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11,641</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(3,722)</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Other adjustments, net</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2,211</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5,325</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Changes in assets and liabilities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Accounts receivable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8,992</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2,510</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Other assets</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(9,450)</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15,230</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Accounts payable and other liabilities</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(98,042)</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(49,339)</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Income taxes payable and receivable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6,491</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11,525</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Deferred revenue</w:t>
            </w: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(796)</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(8,584)</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Net cash provided by operating activities</w:t>
            </w: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194,358</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193,117</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Cash flows from investing activities: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Capital expenditures</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(20,384)</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(15,427)</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Other, net</w:t>
            </w: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(1,067)</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Net cash used in investing activities</w:t>
            </w: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(20,384)</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(16,494)</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Cash flows from financing activities: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Principal payments on Term Loan</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(425,000)</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Proceeds from issuance of common stock pursuant to stock-based awards</w:t>
            </w:r>
            <w:r w:rsidRPr="00452670">
              <w:rPr>
                <w:rFonts w:ascii="Arial" w:eastAsia="宋体" w:hAnsi="Arial" w:cs="Arial"/>
                <w:color w:val="000000"/>
                <w:kern w:val="0"/>
                <w:sz w:val="16"/>
                <w:szCs w:val="16"/>
              </w:rPr>
              <w:br/>
              <w:t>     and employee stock purchase plan</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378</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Withholding taxes paid on behalf of employees on net settled stock-based</w:t>
            </w:r>
            <w:r w:rsidRPr="00452670">
              <w:rPr>
                <w:rFonts w:ascii="Arial" w:eastAsia="宋体" w:hAnsi="Arial" w:cs="Arial"/>
                <w:color w:val="000000"/>
                <w:kern w:val="0"/>
                <w:sz w:val="16"/>
                <w:szCs w:val="16"/>
              </w:rPr>
              <w:br/>
              <w:t>     awards</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(74,848)</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(78,749)</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Dividends</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(44,189)</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(47,791)</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Purchase of treasury stock</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(60,104)</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(188,676)</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Purchase of noncontrolling interests</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(232)</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(84)</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Other, net</w:t>
            </w: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(374)</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Net cash used in financing activities</w:t>
            </w: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(179,373)</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(740,296)</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Total cash used</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(5,399)</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(563,673)</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Effect of exchange rate changes on cash and cash equivalents</w:t>
            </w: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(2,344)</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7,102</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Net decrease in cash and cash equivalents</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(7,743)</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(556,571)</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Cash, cash equivalents, and restricted cash at beginning of period</w:t>
            </w: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1,027,838</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965,993</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Cash, cash equivalents, and restricted cash at end of period</w:t>
            </w:r>
          </w:p>
        </w:tc>
        <w:tc>
          <w:tcPr>
            <w:tcW w:w="0" w:type="auto"/>
            <w:tcBorders>
              <w:top w:val="nil"/>
              <w:left w:val="nil"/>
              <w:bottom w:val="double" w:sz="6"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1,020,095</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409,422</w:t>
            </w:r>
          </w:p>
        </w:tc>
      </w:tr>
    </w:tbl>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u w:val="single"/>
        </w:rPr>
        <w:t>Reconciliations of GAAP to Non-GAAP Measures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Reconciliation of Net Income to Adjusted EBITDA</w:t>
      </w:r>
    </w:p>
    <w:tbl>
      <w:tblPr>
        <w:tblW w:w="0" w:type="auto"/>
        <w:tblCellMar>
          <w:left w:w="0" w:type="dxa"/>
          <w:right w:w="0" w:type="dxa"/>
        </w:tblCellMar>
        <w:tblLook w:val="04A0" w:firstRow="1" w:lastRow="0" w:firstColumn="1" w:lastColumn="0" w:noHBand="0" w:noVBand="1"/>
      </w:tblPr>
      <w:tblGrid>
        <w:gridCol w:w="4501"/>
        <w:gridCol w:w="1072"/>
        <w:gridCol w:w="256"/>
        <w:gridCol w:w="1119"/>
      </w:tblGrid>
      <w:tr w:rsidR="00452670" w:rsidRPr="00452670" w:rsidTr="00452670">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gridSpan w:val="3"/>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Three Months Ended March 31,</w:t>
            </w:r>
          </w:p>
        </w:tc>
      </w:tr>
      <w:tr w:rsidR="00452670" w:rsidRPr="00452670" w:rsidTr="00452670">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2026</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2025</w:t>
            </w:r>
          </w:p>
        </w:tc>
      </w:tr>
      <w:tr w:rsidR="00452670" w:rsidRPr="00452670" w:rsidTr="00452670">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gridSpan w:val="3"/>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(Dollars in thousands)</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Net income attributable to Match Group, Inc. shareholders</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166,837</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117,570</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Add back:</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Net income attributable to noncontrolling interests</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8</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Income tax provision</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33,686</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22,382</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Other income, net</w:t>
            </w:r>
          </w:p>
        </w:tc>
        <w:tc>
          <w:tcPr>
            <w:tcW w:w="0" w:type="auto"/>
            <w:tcBorders>
              <w:top w:val="nil"/>
              <w:left w:val="nil"/>
              <w:bottom w:val="nil"/>
              <w:right w:val="nil"/>
            </w:tcBorders>
            <w:noWrap/>
            <w:tcMar>
              <w:top w:w="0" w:type="dxa"/>
              <w:left w:w="41" w:type="dxa"/>
              <w:bottom w:w="0" w:type="dxa"/>
              <w:right w:w="120"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(6,640)</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20"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(2,616)</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Interest expense</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42,525</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35,256</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Stock-based compensation expense</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58,567</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70,394</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Depreciation</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14,132</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21,729</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Impairment and amortization of intangibles</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33,767</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10,478</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Adjusted EBITDA</w:t>
            </w:r>
          </w:p>
        </w:tc>
        <w:tc>
          <w:tcPr>
            <w:tcW w:w="0" w:type="auto"/>
            <w:tcBorders>
              <w:top w:val="single" w:sz="4" w:space="0" w:color="000000"/>
              <w:left w:val="nil"/>
              <w:bottom w:val="double" w:sz="6"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342,882</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single" w:sz="4" w:space="0" w:color="000000"/>
              <w:left w:val="nil"/>
              <w:bottom w:val="double" w:sz="6"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275,194</w:t>
            </w:r>
          </w:p>
        </w:tc>
      </w:tr>
      <w:tr w:rsidR="00452670" w:rsidRPr="00452670" w:rsidTr="00452670">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Revenue</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863,934</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831,178</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Net Income Margin</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19 %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14 %</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Adjusted EBITDA Margin</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40 %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33 %</w:t>
            </w:r>
          </w:p>
        </w:tc>
      </w:tr>
    </w:tbl>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Reconciliation of Net Income to Adjusted EBITDA used in Leverage Ratios</w:t>
      </w:r>
    </w:p>
    <w:tbl>
      <w:tblPr>
        <w:tblW w:w="0" w:type="auto"/>
        <w:tblCellMar>
          <w:left w:w="0" w:type="dxa"/>
          <w:right w:w="0" w:type="dxa"/>
        </w:tblCellMar>
        <w:tblLook w:val="04A0" w:firstRow="1" w:lastRow="0" w:firstColumn="1" w:lastColumn="0" w:noHBand="0" w:noVBand="1"/>
      </w:tblPr>
      <w:tblGrid>
        <w:gridCol w:w="4501"/>
        <w:gridCol w:w="1238"/>
      </w:tblGrid>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Twelve months</w:t>
            </w:r>
            <w:r w:rsidRPr="00452670">
              <w:rPr>
                <w:rFonts w:ascii="Arial" w:eastAsia="宋体" w:hAnsi="Arial" w:cs="Arial"/>
                <w:b/>
                <w:bCs/>
                <w:color w:val="000000"/>
                <w:kern w:val="0"/>
                <w:sz w:val="16"/>
                <w:szCs w:val="16"/>
              </w:rPr>
              <w:br/>
              <w:t>ended</w:t>
            </w:r>
          </w:p>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March 31, 2026</w:t>
            </w: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(In thousands)</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Net income attributable to Match Group, Inc. shareholders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662,713</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Add back:</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Net income attributable to noncontrolling interests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22</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Income tax provision</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143,846</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Other income, net</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(25,049)</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Interest expense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154,820</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Stock-based compensation expense</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246,375</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Depreciation</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59,515</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Impairment and amortization of intangibles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61,837</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Adjusted EBITDA</w:t>
            </w:r>
          </w:p>
        </w:tc>
        <w:tc>
          <w:tcPr>
            <w:tcW w:w="0" w:type="auto"/>
            <w:tcBorders>
              <w:top w:val="single" w:sz="4" w:space="0" w:color="000000"/>
              <w:left w:val="nil"/>
              <w:bottom w:val="double" w:sz="6"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1,304,079</w:t>
            </w:r>
          </w:p>
        </w:tc>
      </w:tr>
    </w:tbl>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Reconciliation of Operating Cash Flow to Free Cash Flow</w:t>
      </w:r>
    </w:p>
    <w:tbl>
      <w:tblPr>
        <w:tblW w:w="0" w:type="auto"/>
        <w:tblCellMar>
          <w:left w:w="0" w:type="dxa"/>
          <w:right w:w="0" w:type="dxa"/>
        </w:tblCellMar>
        <w:tblLook w:val="04A0" w:firstRow="1" w:lastRow="0" w:firstColumn="1" w:lastColumn="0" w:noHBand="0" w:noVBand="1"/>
      </w:tblPr>
      <w:tblGrid>
        <w:gridCol w:w="2955"/>
        <w:gridCol w:w="1221"/>
      </w:tblGrid>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Three months</w:t>
            </w:r>
            <w:r w:rsidRPr="00452670">
              <w:rPr>
                <w:rFonts w:ascii="Arial" w:eastAsia="宋体" w:hAnsi="Arial" w:cs="Arial"/>
                <w:b/>
                <w:bCs/>
                <w:color w:val="000000"/>
                <w:kern w:val="0"/>
                <w:sz w:val="16"/>
                <w:szCs w:val="16"/>
              </w:rPr>
              <w:br/>
              <w:t>ended</w:t>
            </w:r>
            <w:r w:rsidRPr="00452670">
              <w:rPr>
                <w:rFonts w:ascii="Arial" w:eastAsia="宋体" w:hAnsi="Arial" w:cs="Arial"/>
                <w:b/>
                <w:bCs/>
                <w:color w:val="000000"/>
                <w:kern w:val="0"/>
                <w:sz w:val="16"/>
                <w:szCs w:val="16"/>
              </w:rPr>
              <w:br/>
              <w:t>March 31, 2026</w:t>
            </w: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single" w:sz="4" w:space="0" w:color="000000"/>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center"/>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(In thousands)</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Net cash provided by operating activities</w:t>
            </w:r>
          </w:p>
        </w:tc>
        <w:tc>
          <w:tcPr>
            <w:tcW w:w="0" w:type="auto"/>
            <w:tcBorders>
              <w:top w:val="nil"/>
              <w:left w:val="nil"/>
              <w:bottom w:val="nil"/>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194,358</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Capital expenditures</w:t>
            </w: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(20,384)</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Free Cash Flow</w:t>
            </w:r>
          </w:p>
        </w:tc>
        <w:tc>
          <w:tcPr>
            <w:tcW w:w="0" w:type="auto"/>
            <w:tcBorders>
              <w:top w:val="nil"/>
              <w:left w:val="nil"/>
              <w:bottom w:val="double" w:sz="6" w:space="0" w:color="000000"/>
              <w:right w:val="nil"/>
            </w:tcBorders>
            <w:noWrap/>
            <w:tcMar>
              <w:top w:w="0" w:type="dxa"/>
              <w:left w:w="41" w:type="dxa"/>
              <w:bottom w:w="0" w:type="dxa"/>
              <w:right w:w="7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173,974</w:t>
            </w:r>
          </w:p>
        </w:tc>
      </w:tr>
    </w:tbl>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Reconciliation of Forecasted Net Income to Forecasted Adjusted EBITDA</w:t>
      </w:r>
    </w:p>
    <w:tbl>
      <w:tblPr>
        <w:tblW w:w="0" w:type="auto"/>
        <w:tblCellMar>
          <w:left w:w="0" w:type="dxa"/>
          <w:right w:w="0" w:type="dxa"/>
        </w:tblCellMar>
        <w:tblLook w:val="04A0" w:firstRow="1" w:lastRow="0" w:firstColumn="1" w:lastColumn="0" w:noHBand="0" w:noVBand="1"/>
      </w:tblPr>
      <w:tblGrid>
        <w:gridCol w:w="4501"/>
        <w:gridCol w:w="1131"/>
      </w:tblGrid>
      <w:tr w:rsidR="00452670" w:rsidRPr="00452670" w:rsidTr="00452670">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Three Months</w:t>
            </w:r>
            <w:r w:rsidRPr="00452670">
              <w:rPr>
                <w:rFonts w:ascii="Arial" w:eastAsia="宋体" w:hAnsi="Arial" w:cs="Arial"/>
                <w:b/>
                <w:bCs/>
                <w:color w:val="000000"/>
                <w:kern w:val="0"/>
                <w:sz w:val="16"/>
                <w:szCs w:val="16"/>
              </w:rPr>
              <w:br/>
              <w:t>Ended</w:t>
            </w:r>
            <w:r w:rsidRPr="00452670">
              <w:rPr>
                <w:rFonts w:ascii="Arial" w:eastAsia="宋体" w:hAnsi="Arial" w:cs="Arial"/>
                <w:color w:val="000000"/>
                <w:kern w:val="0"/>
                <w:sz w:val="16"/>
                <w:szCs w:val="16"/>
              </w:rPr>
              <w:br/>
            </w:r>
            <w:r w:rsidRPr="00452670">
              <w:rPr>
                <w:rFonts w:ascii="Arial" w:eastAsia="宋体" w:hAnsi="Arial" w:cs="Arial"/>
                <w:b/>
                <w:bCs/>
                <w:color w:val="000000"/>
                <w:kern w:val="0"/>
                <w:sz w:val="16"/>
                <w:szCs w:val="16"/>
              </w:rPr>
              <w:t>June 30, 2026</w:t>
            </w:r>
          </w:p>
        </w:tc>
      </w:tr>
      <w:tr w:rsidR="00452670" w:rsidRPr="00452670" w:rsidTr="00452670">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(In millions)</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Net income attributable to Match Group, Inc. shareholders</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$160 to $165</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Add back:</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Income tax provision</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40</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Other income, net</w:t>
            </w:r>
          </w:p>
        </w:tc>
        <w:tc>
          <w:tcPr>
            <w:tcW w:w="0" w:type="auto"/>
            <w:tcBorders>
              <w:top w:val="nil"/>
              <w:left w:val="nil"/>
              <w:bottom w:val="nil"/>
              <w:right w:val="nil"/>
            </w:tcBorders>
            <w:noWrap/>
            <w:tcMar>
              <w:top w:w="0" w:type="dxa"/>
              <w:left w:w="41" w:type="dxa"/>
              <w:bottom w:w="0" w:type="dxa"/>
              <w:right w:w="120"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(6)</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Interest expense</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43</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Stock-based compensation expense</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65</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Depreciation and amortization of intangibles</w:t>
            </w: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23</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Adjusted EBITDA</w:t>
            </w:r>
          </w:p>
        </w:tc>
        <w:tc>
          <w:tcPr>
            <w:tcW w:w="0" w:type="auto"/>
            <w:tcBorders>
              <w:top w:val="nil"/>
              <w:left w:val="nil"/>
              <w:bottom w:val="double" w:sz="6"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$325 to $330</w:t>
            </w:r>
          </w:p>
        </w:tc>
      </w:tr>
      <w:tr w:rsidR="00452670" w:rsidRPr="00452670" w:rsidTr="00452670">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Revenue</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$850 to $860</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Net Income Margin (at the mid-point of the ranges)</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19 %</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Adjusted EBITDA Margin (at the mid-point of the ranges)</w:t>
            </w: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38 %</w:t>
            </w:r>
          </w:p>
        </w:tc>
      </w:tr>
    </w:tbl>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Reconciliation of GAAP Revenue to Non-GAAP Revenue, Excluding Foreign Exchange Effects</w:t>
      </w:r>
    </w:p>
    <w:tbl>
      <w:tblPr>
        <w:tblW w:w="0" w:type="auto"/>
        <w:tblCellMar>
          <w:left w:w="0" w:type="dxa"/>
          <w:right w:w="0" w:type="dxa"/>
        </w:tblCellMar>
        <w:tblLook w:val="04A0" w:firstRow="1" w:lastRow="0" w:firstColumn="1" w:lastColumn="0" w:noHBand="0" w:noVBand="1"/>
      </w:tblPr>
      <w:tblGrid>
        <w:gridCol w:w="3676"/>
        <w:gridCol w:w="943"/>
        <w:gridCol w:w="246"/>
        <w:gridCol w:w="899"/>
        <w:gridCol w:w="246"/>
        <w:gridCol w:w="856"/>
        <w:gridCol w:w="246"/>
        <w:gridCol w:w="943"/>
      </w:tblGrid>
      <w:tr w:rsidR="00452670" w:rsidRPr="00452670" w:rsidTr="00452670">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gridSpan w:val="7"/>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Three Months Ended March 31,</w:t>
            </w:r>
          </w:p>
        </w:tc>
      </w:tr>
      <w:tr w:rsidR="00452670" w:rsidRPr="00452670" w:rsidTr="00452670">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2026</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 Change</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 Change</w:t>
            </w:r>
          </w:p>
        </w:tc>
        <w:tc>
          <w:tcPr>
            <w:tcW w:w="0" w:type="auto"/>
            <w:tcBorders>
              <w:top w:val="single" w:sz="4" w:space="0" w:color="000000"/>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single" w:sz="4" w:space="0" w:color="000000"/>
              <w:left w:val="nil"/>
              <w:bottom w:val="single" w:sz="4"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2025</w:t>
            </w:r>
          </w:p>
        </w:tc>
      </w:tr>
      <w:tr w:rsidR="00452670" w:rsidRPr="00452670" w:rsidTr="00452670">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gridSpan w:val="7"/>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(Dollars in millions, rounding differences may occur)</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Total Revenue, as reported</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863.9</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32.8</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4 %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831.2</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Foreign exchange effects</w:t>
            </w:r>
          </w:p>
        </w:tc>
        <w:tc>
          <w:tcPr>
            <w:tcW w:w="0" w:type="auto"/>
            <w:tcBorders>
              <w:top w:val="nil"/>
              <w:left w:val="nil"/>
              <w:bottom w:val="single" w:sz="4" w:space="0" w:color="000000"/>
              <w:right w:val="nil"/>
            </w:tcBorders>
            <w:noWrap/>
            <w:tcMar>
              <w:top w:w="0" w:type="dxa"/>
              <w:left w:w="41" w:type="dxa"/>
              <w:bottom w:w="0" w:type="dxa"/>
              <w:right w:w="120"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(31.6)</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Total Revenue, excluding foreign exchange effects</w:t>
            </w:r>
          </w:p>
        </w:tc>
        <w:tc>
          <w:tcPr>
            <w:tcW w:w="0" w:type="auto"/>
            <w:tcBorders>
              <w:top w:val="nil"/>
              <w:left w:val="nil"/>
              <w:bottom w:val="double" w:sz="6"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832.3</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1.1</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    831.2</w:t>
            </w:r>
          </w:p>
        </w:tc>
      </w:tr>
    </w:tbl>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u w:val="single"/>
        </w:rPr>
        <w:t>Dilutive Securities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Match Group has various tranches of dilutive securities. The table below details these securities and their potentially dilutive impact (shares in millions; rounding differences may occur).</w:t>
      </w:r>
    </w:p>
    <w:tbl>
      <w:tblPr>
        <w:tblW w:w="0" w:type="auto"/>
        <w:tblCellMar>
          <w:left w:w="0" w:type="dxa"/>
          <w:right w:w="0" w:type="dxa"/>
        </w:tblCellMar>
        <w:tblLook w:val="04A0" w:firstRow="1" w:lastRow="0" w:firstColumn="1" w:lastColumn="0" w:noHBand="0" w:noVBand="1"/>
      </w:tblPr>
      <w:tblGrid>
        <w:gridCol w:w="4796"/>
        <w:gridCol w:w="1417"/>
        <w:gridCol w:w="246"/>
        <w:gridCol w:w="794"/>
      </w:tblGrid>
      <w:tr w:rsidR="00452670" w:rsidRPr="00452670" w:rsidTr="00452670">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Average Exercise</w:t>
            </w:r>
            <w:r w:rsidRPr="00452670">
              <w:rPr>
                <w:rFonts w:ascii="Arial" w:eastAsia="宋体" w:hAnsi="Arial" w:cs="Arial"/>
                <w:b/>
                <w:bCs/>
                <w:color w:val="000000"/>
                <w:kern w:val="0"/>
                <w:sz w:val="16"/>
                <w:szCs w:val="16"/>
              </w:rPr>
              <w:br/>
              <w:t>Price</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center"/>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41" w:type="dxa"/>
            </w:tcMar>
            <w:vAlign w:val="bottom"/>
            <w:hideMark/>
          </w:tcPr>
          <w:p w:rsidR="00452670" w:rsidRPr="00452670" w:rsidRDefault="00452670" w:rsidP="00452670">
            <w:pPr>
              <w:widowControl/>
              <w:jc w:val="center"/>
              <w:rPr>
                <w:rFonts w:ascii="宋体" w:eastAsia="宋体" w:hAnsi="宋体" w:cs="宋体"/>
                <w:kern w:val="0"/>
                <w:sz w:val="24"/>
                <w:szCs w:val="24"/>
              </w:rPr>
            </w:pPr>
            <w:r w:rsidRPr="00452670">
              <w:rPr>
                <w:rFonts w:ascii="Arial" w:eastAsia="宋体" w:hAnsi="Arial" w:cs="Arial"/>
                <w:b/>
                <w:bCs/>
                <w:color w:val="000000"/>
                <w:kern w:val="0"/>
                <w:sz w:val="16"/>
                <w:szCs w:val="16"/>
              </w:rPr>
              <w:t>4/30/2026</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Share Price</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b/>
                <w:bCs/>
                <w:color w:val="000000"/>
                <w:kern w:val="0"/>
                <w:sz w:val="16"/>
                <w:szCs w:val="16"/>
              </w:rPr>
              <w:t>$37.42</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Absolute Shares</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b/>
                <w:bCs/>
                <w:color w:val="000000"/>
                <w:kern w:val="0"/>
                <w:sz w:val="16"/>
                <w:szCs w:val="16"/>
              </w:rPr>
              <w:t>233.3</w:t>
            </w:r>
          </w:p>
        </w:tc>
      </w:tr>
      <w:tr w:rsidR="00452670" w:rsidRPr="00452670" w:rsidTr="00452670">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u w:val="single"/>
              </w:rPr>
              <w:t>Equity Awards</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Options</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$18.79</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0.1</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RSUs and subsidiary denominated equity awards</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9.0</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Total Dilution - Equity Awards</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b/>
                <w:bCs/>
                <w:color w:val="000000"/>
                <w:kern w:val="0"/>
                <w:sz w:val="16"/>
                <w:szCs w:val="16"/>
              </w:rPr>
              <w:t>9.1</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u w:val="single"/>
              </w:rPr>
              <w:t>Outstanding Warrants</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Warrants expiring on September 15, 2026 (5.0 million outstanding)</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$130.08</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Warrants expiring on April 15, 2030 (7.1 million outstanding)</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$130.14</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Total Dilution - Outstanding Warrants</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b/>
                <w:bCs/>
                <w:color w:val="000000"/>
                <w:kern w:val="0"/>
                <w:sz w:val="16"/>
                <w:szCs w:val="16"/>
              </w:rPr>
              <w:t>—</w:t>
            </w:r>
          </w:p>
        </w:tc>
      </w:tr>
      <w:tr w:rsidR="00452670" w:rsidRPr="00452670" w:rsidTr="00452670">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single" w:sz="4"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Total Dilution</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b/>
                <w:bCs/>
                <w:color w:val="000000"/>
                <w:kern w:val="0"/>
                <w:sz w:val="16"/>
                <w:szCs w:val="16"/>
              </w:rPr>
              <w:t>9.1</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color w:val="000000"/>
                <w:kern w:val="0"/>
                <w:sz w:val="16"/>
                <w:szCs w:val="16"/>
              </w:rPr>
              <w:t>% Dilution</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color w:val="000000"/>
                <w:kern w:val="0"/>
                <w:sz w:val="16"/>
                <w:szCs w:val="16"/>
              </w:rPr>
              <w:t>3.8 %</w:t>
            </w:r>
          </w:p>
        </w:tc>
      </w:tr>
      <w:tr w:rsidR="00452670" w:rsidRPr="00452670" w:rsidTr="00452670">
        <w:tc>
          <w:tcPr>
            <w:tcW w:w="0" w:type="auto"/>
            <w:tcBorders>
              <w:top w:val="nil"/>
              <w:left w:val="nil"/>
              <w:bottom w:val="nil"/>
              <w:right w:val="nil"/>
            </w:tcBorders>
            <w:noWrap/>
            <w:tcMar>
              <w:top w:w="0" w:type="dxa"/>
              <w:left w:w="41" w:type="dxa"/>
              <w:bottom w:w="0" w:type="dxa"/>
              <w:right w:w="41" w:type="dxa"/>
            </w:tcMar>
            <w:vAlign w:val="bottom"/>
            <w:hideMark/>
          </w:tcPr>
          <w:p w:rsidR="00452670" w:rsidRPr="00452670" w:rsidRDefault="00452670" w:rsidP="00452670">
            <w:pPr>
              <w:widowControl/>
              <w:jc w:val="left"/>
              <w:rPr>
                <w:rFonts w:ascii="宋体" w:eastAsia="宋体" w:hAnsi="宋体" w:cs="宋体"/>
                <w:kern w:val="0"/>
                <w:sz w:val="24"/>
                <w:szCs w:val="24"/>
              </w:rPr>
            </w:pPr>
            <w:r w:rsidRPr="00452670">
              <w:rPr>
                <w:rFonts w:ascii="Arial" w:eastAsia="宋体" w:hAnsi="Arial" w:cs="Arial"/>
                <w:b/>
                <w:bCs/>
                <w:color w:val="000000"/>
                <w:kern w:val="0"/>
                <w:sz w:val="16"/>
                <w:szCs w:val="16"/>
              </w:rPr>
              <w:t>Total Diluted Shares Outstanding</w:t>
            </w: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nil"/>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p>
        </w:tc>
        <w:tc>
          <w:tcPr>
            <w:tcW w:w="0" w:type="auto"/>
            <w:tcBorders>
              <w:top w:val="nil"/>
              <w:left w:val="nil"/>
              <w:bottom w:val="double" w:sz="6" w:space="0" w:color="000000"/>
              <w:right w:val="nil"/>
            </w:tcBorders>
            <w:noWrap/>
            <w:tcMar>
              <w:top w:w="0" w:type="dxa"/>
              <w:left w:w="41" w:type="dxa"/>
              <w:bottom w:w="0" w:type="dxa"/>
              <w:right w:w="199" w:type="dxa"/>
            </w:tcMar>
            <w:vAlign w:val="bottom"/>
            <w:hideMark/>
          </w:tcPr>
          <w:p w:rsidR="00452670" w:rsidRPr="00452670" w:rsidRDefault="00452670" w:rsidP="00452670">
            <w:pPr>
              <w:widowControl/>
              <w:jc w:val="right"/>
              <w:rPr>
                <w:rFonts w:ascii="宋体" w:eastAsia="宋体" w:hAnsi="宋体" w:cs="宋体"/>
                <w:kern w:val="0"/>
                <w:sz w:val="24"/>
                <w:szCs w:val="24"/>
              </w:rPr>
            </w:pPr>
            <w:r w:rsidRPr="00452670">
              <w:rPr>
                <w:rFonts w:ascii="Arial" w:eastAsia="宋体" w:hAnsi="Arial" w:cs="Arial"/>
                <w:b/>
                <w:bCs/>
                <w:color w:val="000000"/>
                <w:kern w:val="0"/>
                <w:sz w:val="16"/>
                <w:szCs w:val="16"/>
              </w:rPr>
              <w:t>242.4</w:t>
            </w:r>
          </w:p>
        </w:tc>
      </w:tr>
    </w:tbl>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______________________</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The dilutive securities presentation above is calculated using the methods and assumptions described below; these are different from GAAP dilution, which is calculated based on the treasury stock method.</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Options</w:t>
      </w:r>
      <w:r w:rsidRPr="00452670">
        <w:rPr>
          <w:rFonts w:ascii="Arial" w:eastAsia="宋体" w:hAnsi="Arial" w:cs="Arial"/>
          <w:color w:val="333333"/>
          <w:kern w:val="0"/>
          <w:sz w:val="27"/>
          <w:szCs w:val="27"/>
        </w:rPr>
        <w:t> — The table above assumes the options are settled net of the option exercise price and employee withholding taxes, as is our practice, and the dilutive effect is presented as the net shares that would be issued upon exercise. Withholding taxes paid by the Company on behalf of the employees upon exercise is estimated to be $4.4 million, assuming the stock price in the table above and a 50% estimated employee withholding tax rate.</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RSUs and subsidiary denominated equity awards</w:t>
      </w:r>
      <w:r w:rsidRPr="00452670">
        <w:rPr>
          <w:rFonts w:ascii="Arial" w:eastAsia="宋体" w:hAnsi="Arial" w:cs="Arial"/>
          <w:color w:val="333333"/>
          <w:kern w:val="0"/>
          <w:sz w:val="27"/>
          <w:szCs w:val="27"/>
        </w:rPr>
        <w:t> — The table above assumes RSUs are settled net of employee withholding taxes, as is our practice, and the dilutive effect is presented as the net number of shares that would be issued upon vesting. Withholding taxes paid by the Company on behalf of the employees upon vesting is estimated to be $336.1 million, assuming the stock price in the table above and a 50% withholding rate.</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All performance-based and market-based awards reflect the expected shares that will vest based on current performance or market estimates. The table assumes no change in the fair value estimate of the subsidiary denominated equity awards from the values used for GAAP purposes at March 31, 2026.</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Exchangeable Senior Notes</w:t>
      </w:r>
      <w:r w:rsidRPr="00452670">
        <w:rPr>
          <w:rFonts w:ascii="Arial" w:eastAsia="宋体" w:hAnsi="Arial" w:cs="Arial"/>
          <w:color w:val="333333"/>
          <w:kern w:val="0"/>
          <w:sz w:val="27"/>
          <w:szCs w:val="27"/>
        </w:rPr>
        <w:t> — The Company has two series of Exchangeable Senior Notes outstanding. In the event of an exchange, each series of Exchangeable Senior Notes can be settled in cash, shares, or a combination of cash and shares. At the time of each Exchangeable Senior Notes issuance, the Company purchased call options with a strike price equal to the exchange price of each series of Exchangeable Senior Notes ("Note Hedge"), which can be used to offset the dilution of each series of the Exchangeable Senior Notes. No dilution is reflected in the table above for any of the Exchangeable Senior Notes because it is the Company's intention to settle the Exchangeable Senior Notes with cash equal to the face amount of the notes; any shares issued would be offset by shares received upon exercise of the Note Hedge.</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Warrants</w:t>
      </w:r>
      <w:r w:rsidRPr="00452670">
        <w:rPr>
          <w:rFonts w:ascii="Arial" w:eastAsia="宋体" w:hAnsi="Arial" w:cs="Arial"/>
          <w:color w:val="333333"/>
          <w:kern w:val="0"/>
          <w:sz w:val="27"/>
          <w:szCs w:val="27"/>
        </w:rPr>
        <w:t> — At the time of the issuance of each series of Exchangeable Senior Notes, the Company also sold warrants for the number of shares with the strike prices reflected in the table above. The cash generated from the exercise of the warrants is assumed to be used to repurchase Match Group shares and the resulting net dilution, if any, is reflected in the table above.</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u w:val="single"/>
        </w:rPr>
        <w:t>Non-GAAP Financial Measures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Match Group reports Adjusted EBITDA, Adjusted EBITDA Margin, Free Cash Flow, and Revenue Excluding Foreign Exchange Effects, all of which are supplemental measures to U.S. generally accepted accounting principles ("GAAP"). The Adjusted EBITDA, Adjusted EBITDA Margin, and Free Cash Flow measures are among the primary metrics by which we evaluate the performance of our business, on which our internal budget is based and by which management is compensated. Revenue Excluding Foreign Exchange Effects provides a comparable framework for assessing the performance of our business without the effect of exchange rate differences when compared to prior periods. We believe that investors should have access to the same set of tools that we use in analyzing our results. These non-GAAP measures should be considered in addition to results prepared in accordance with GAAP but should not be considered a substitute for or superior to GAAP results. Match Group endeavors to compensate for the limitations of the non-GAAP measures presented by providing the comparable GAAP measures and descriptions of the reconciling items, including quantifying such items, to derive the non-GAAP measures. We encourage investors to examine the reconciling adjustments between the GAAP and non-GAAP measures, which we describe below. Interim results are not necessarily indicative of the results that may be expected for a full year.</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Definitions of Non-GAAP Measures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Adjusted EBITDA</w:t>
      </w:r>
      <w:r w:rsidRPr="00452670">
        <w:rPr>
          <w:rFonts w:ascii="Arial" w:eastAsia="宋体" w:hAnsi="Arial" w:cs="Arial"/>
          <w:color w:val="333333"/>
          <w:kern w:val="0"/>
          <w:sz w:val="27"/>
          <w:szCs w:val="27"/>
        </w:rPr>
        <w:t> is defined as net income attributable to Match Group, Inc. shareholders excluding: (1) net income attributable to noncontrolling interests; (2) income tax provision or benefit; (3) other income (expense), net; (4) interest expense; (5) depreciation; (6) acquisition-related items consisting of (i) amortization of intangible assets and impairments of goodwill and intangible assets, if applicable and (ii) gains and losses recognized on changes in fair value of contingent consideration arrangements, as applicable; and (7) stock-based compensation expense. We believe Adjusted EBITDA is useful to analysts and investors as this measure allows a more meaningful comparison between our performance and that of our competitors. Adjusted EBITDA has certain limitations because it excludes certain expenses.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Adjusted EBITDA Margin</w:t>
      </w:r>
      <w:r w:rsidRPr="00452670">
        <w:rPr>
          <w:rFonts w:ascii="Arial" w:eastAsia="宋体" w:hAnsi="Arial" w:cs="Arial"/>
          <w:color w:val="333333"/>
          <w:kern w:val="0"/>
          <w:sz w:val="27"/>
          <w:szCs w:val="27"/>
        </w:rPr>
        <w:t> is defined as Adjusted EBITDA divided by revenues. We believe Adjusted EBITDA Margin is useful for analysts and investors as this measure allows a more meaningful comparison between our performance and that of our competitors. Adjusted EBITDA Margin has certain limitations in that it does not take into account the impact to our consolidated statement of operations of certain expenses.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Free Cash Flow</w:t>
      </w:r>
      <w:r w:rsidRPr="00452670">
        <w:rPr>
          <w:rFonts w:ascii="Arial" w:eastAsia="宋体" w:hAnsi="Arial" w:cs="Arial"/>
          <w:color w:val="333333"/>
          <w:kern w:val="0"/>
          <w:sz w:val="27"/>
          <w:szCs w:val="27"/>
        </w:rPr>
        <w:t> is defined as net cash provided by operating activities, less capital expenditures. We believe Free Cash Flow is useful to investors because it represents the cash that our operating businesses generate, before taking into account non-operational cash movements. Free Cash Flow has certain limitations in that it does not represent the total increase or decrease in the cash balance for the period, nor does it represent the residual cash flow for discretionary expenditures. Therefore, we think it is important to evaluate Free Cash Flow along with our consolidated statement of cash flows.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We look at Free Cash Flow as a measure of the strength and performance of our businesses, not for valuation purposes. In our view, applying "multiples" to Free Cash Flow is inappropriate because it is subject to timing, seasonality and one-time events. We manage our business for cash, and we think it is of utmost importance to maximize cash – but our primary valuation metric is Adjusted EBITDA.</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Revenue Excluding Foreign Exchange Effects</w:t>
      </w:r>
      <w:r w:rsidRPr="00452670">
        <w:rPr>
          <w:rFonts w:ascii="Arial" w:eastAsia="宋体" w:hAnsi="Arial" w:cs="Arial"/>
          <w:color w:val="333333"/>
          <w:kern w:val="0"/>
          <w:sz w:val="27"/>
          <w:szCs w:val="27"/>
        </w:rPr>
        <w:t> is calculated by translating current period revenues using prior period exchange rates. The percentage change in Revenue Excluding Foreign Exchange Effects is calculated by determining the change in current period revenues over prior period revenues where current period revenues are translated using prior period exchange rates. We believe the impact of foreign exchange rates on Match Group, due to its global reach, may be an important factor in understanding period over period comparisons if movement in rates is significant. Since our results are reported in U.S. dollars, international revenues are favorably impacted as the U.S. dollar weakens relative to other currencies, and unfavorably impacted as the U.S. dollar strengthens relative to other currencies. We believe the presentation of revenue excluding foreign exchange effects in addition to reported revenue helps improve the ability to understand Match Group's performance because it excludes the impact of foreign currency volatility that is not indicative of Match Group's core operating results.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Non-Cash Expenses That Are Excluded From Our Non-GAAP Measures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Stock-based compensation expense</w:t>
      </w:r>
      <w:r w:rsidRPr="00452670">
        <w:rPr>
          <w:rFonts w:ascii="Arial" w:eastAsia="宋体" w:hAnsi="Arial" w:cs="Arial"/>
          <w:color w:val="333333"/>
          <w:kern w:val="0"/>
          <w:sz w:val="27"/>
          <w:szCs w:val="27"/>
        </w:rPr>
        <w:t> consists principally of expense associated with the grants of RSUs, performance-based RSUs, and market-based awards. These expenses are not paid in cash, and we include the related shares in our fully diluted shares outstanding using the treasury stock method; however, performance-based RSUs and market-based awards are included only to the extent the applicable performance or market condition(s) have been met (assuming the end of the reporting period is the end of the contingency period). To the extent stock-based awards are settled on a net basis, we remit the required tax-withholding amounts from our current funds.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Depreciation</w:t>
      </w:r>
      <w:r w:rsidRPr="00452670">
        <w:rPr>
          <w:rFonts w:ascii="Arial" w:eastAsia="宋体" w:hAnsi="Arial" w:cs="Arial"/>
          <w:color w:val="333333"/>
          <w:kern w:val="0"/>
          <w:sz w:val="27"/>
          <w:szCs w:val="27"/>
        </w:rPr>
        <w:t> is a non-cash expense relating to our property and equipment and is computed using the straight-line method to allocate the cost of depreciable assets to operations over their estimated useful lives, or, in the case of leasehold improvements, the lease term, if shorter.</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Amortization of intangible assets and impairments of goodwill and intangible assets</w:t>
      </w:r>
      <w:r w:rsidRPr="00452670">
        <w:rPr>
          <w:rFonts w:ascii="Arial" w:eastAsia="宋体" w:hAnsi="Arial" w:cs="Arial"/>
          <w:color w:val="333333"/>
          <w:kern w:val="0"/>
          <w:sz w:val="27"/>
          <w:szCs w:val="27"/>
        </w:rPr>
        <w:t> are non-cash expenses related primarily to acquisitions. At the time of an acquisition, the identifiable definite-lived intangible assets of the acquired company, such as customer lists, trade names and technology, are valued and amortized over their estimated lives. Value is also assigned to (i) acquired indefinite-lived intangible assets, which consist of trade names and trademarks, and (ii) goodwill, which are not subject to amortization. An impairment is recorded when the carrying value of an intangible asset or goodwill exceeds its fair value. We believe that intangible assets represent costs incurred by the acquired company to build value prior to acquisition and the related amortization and impairment charges of intangible assets or goodwill, if applicable, are not ongoing costs of doing business.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u w:val="single"/>
        </w:rPr>
        <w:t>Additional Definitions</w:t>
      </w:r>
    </w:p>
    <w:p w:rsidR="00452670" w:rsidRPr="00452670" w:rsidRDefault="00452670" w:rsidP="00452670">
      <w:pPr>
        <w:widowControl/>
        <w:spacing w:beforeAutospacing="1"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Tinder</w:t>
      </w:r>
      <w:r w:rsidRPr="00452670">
        <w:rPr>
          <w:rFonts w:ascii="Arial" w:eastAsia="宋体" w:hAnsi="Arial" w:cs="Arial"/>
          <w:color w:val="333333"/>
          <w:kern w:val="0"/>
          <w:sz w:val="27"/>
          <w:szCs w:val="27"/>
        </w:rPr>
        <w:t> consists of the world-wide activity of the brand Tinder</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w:t>
      </w:r>
    </w:p>
    <w:p w:rsidR="00452670" w:rsidRPr="00452670" w:rsidRDefault="00452670" w:rsidP="00452670">
      <w:pPr>
        <w:widowControl/>
        <w:spacing w:beforeAutospacing="1"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Hinge</w:t>
      </w:r>
      <w:r w:rsidRPr="00452670">
        <w:rPr>
          <w:rFonts w:ascii="Arial" w:eastAsia="宋体" w:hAnsi="Arial" w:cs="Arial"/>
          <w:color w:val="333333"/>
          <w:kern w:val="0"/>
          <w:sz w:val="27"/>
          <w:szCs w:val="27"/>
        </w:rPr>
        <w:t> consists of the world-wide activity of the brand Hinge</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w:t>
      </w:r>
    </w:p>
    <w:p w:rsidR="00452670" w:rsidRPr="00452670" w:rsidRDefault="00452670" w:rsidP="00452670">
      <w:pPr>
        <w:widowControl/>
        <w:spacing w:beforeAutospacing="1"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Evergreen &amp; Emerging ("E&amp;E")</w:t>
      </w:r>
      <w:r w:rsidRPr="00452670">
        <w:rPr>
          <w:rFonts w:ascii="Arial" w:eastAsia="宋体" w:hAnsi="Arial" w:cs="Arial"/>
          <w:color w:val="333333"/>
          <w:kern w:val="0"/>
          <w:sz w:val="27"/>
          <w:szCs w:val="27"/>
        </w:rPr>
        <w:t> consists of the world-wide activity of our Evergreen brands, including Match</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 Meetic</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 OkCupid</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 Plenty Of Fish</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 and a number of demographically focused brands, and our Emerging brands, including BLK</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 Chispa</w:t>
      </w:r>
      <w:r w:rsidRPr="00452670">
        <w:rPr>
          <w:rFonts w:ascii="inherit" w:eastAsia="宋体" w:hAnsi="inherit" w:cs="Arial"/>
          <w:color w:val="333333"/>
          <w:kern w:val="0"/>
          <w:sz w:val="23"/>
          <w:szCs w:val="23"/>
          <w:bdr w:val="none" w:sz="0" w:space="0" w:color="auto" w:frame="1"/>
          <w:vertAlign w:val="superscript"/>
        </w:rPr>
        <w:t>TM</w:t>
      </w:r>
      <w:r w:rsidRPr="00452670">
        <w:rPr>
          <w:rFonts w:ascii="Arial" w:eastAsia="宋体" w:hAnsi="Arial" w:cs="Arial"/>
          <w:color w:val="333333"/>
          <w:kern w:val="0"/>
          <w:sz w:val="27"/>
          <w:szCs w:val="27"/>
        </w:rPr>
        <w:t>, The League</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 Upward</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 Yuzu</w:t>
      </w:r>
      <w:r w:rsidRPr="00452670">
        <w:rPr>
          <w:rFonts w:ascii="inherit" w:eastAsia="宋体" w:hAnsi="inherit" w:cs="Arial"/>
          <w:color w:val="333333"/>
          <w:kern w:val="0"/>
          <w:sz w:val="23"/>
          <w:szCs w:val="23"/>
          <w:bdr w:val="none" w:sz="0" w:space="0" w:color="auto" w:frame="1"/>
          <w:vertAlign w:val="superscript"/>
        </w:rPr>
        <w:t>TM</w:t>
      </w:r>
      <w:r w:rsidRPr="00452670">
        <w:rPr>
          <w:rFonts w:ascii="Arial" w:eastAsia="宋体" w:hAnsi="Arial" w:cs="Arial"/>
          <w:color w:val="333333"/>
          <w:kern w:val="0"/>
          <w:sz w:val="27"/>
          <w:szCs w:val="27"/>
        </w:rPr>
        <w:t>, Salams</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 HER</w:t>
      </w:r>
      <w:r w:rsidRPr="00452670">
        <w:rPr>
          <w:rFonts w:ascii="inherit" w:eastAsia="宋体" w:hAnsi="inherit" w:cs="Arial"/>
          <w:color w:val="333333"/>
          <w:kern w:val="0"/>
          <w:sz w:val="23"/>
          <w:szCs w:val="23"/>
          <w:bdr w:val="none" w:sz="0" w:space="0" w:color="auto" w:frame="1"/>
          <w:vertAlign w:val="superscript"/>
        </w:rPr>
        <w:t>TM</w:t>
      </w:r>
      <w:r w:rsidRPr="00452670">
        <w:rPr>
          <w:rFonts w:ascii="Arial" w:eastAsia="宋体" w:hAnsi="Arial" w:cs="Arial"/>
          <w:color w:val="333333"/>
          <w:kern w:val="0"/>
          <w:sz w:val="27"/>
          <w:szCs w:val="27"/>
        </w:rPr>
        <w:t>, and other smaller brands.</w:t>
      </w:r>
    </w:p>
    <w:p w:rsidR="00452670" w:rsidRPr="00452670" w:rsidRDefault="00452670" w:rsidP="00452670">
      <w:pPr>
        <w:widowControl/>
        <w:spacing w:beforeAutospacing="1"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Match Group Asia ("MG Asia")</w:t>
      </w:r>
      <w:r w:rsidRPr="00452670">
        <w:rPr>
          <w:rFonts w:ascii="Arial" w:eastAsia="宋体" w:hAnsi="Arial" w:cs="Arial"/>
          <w:color w:val="333333"/>
          <w:kern w:val="0"/>
          <w:sz w:val="27"/>
          <w:szCs w:val="27"/>
        </w:rPr>
        <w:t> consists of the world-wide activity of the brands Pairs</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 and Azar</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Direct Revenue</w:t>
      </w:r>
      <w:r w:rsidRPr="00452670">
        <w:rPr>
          <w:rFonts w:ascii="Arial" w:eastAsia="宋体" w:hAnsi="Arial" w:cs="Arial"/>
          <w:color w:val="333333"/>
          <w:kern w:val="0"/>
          <w:sz w:val="27"/>
          <w:szCs w:val="27"/>
        </w:rPr>
        <w:t> is revenue that is received directly from end users of our services and includes both subscription and à la carte revenue.</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Indirect Revenue</w:t>
      </w:r>
      <w:r w:rsidRPr="00452670">
        <w:rPr>
          <w:rFonts w:ascii="Arial" w:eastAsia="宋体" w:hAnsi="Arial" w:cs="Arial"/>
          <w:color w:val="333333"/>
          <w:kern w:val="0"/>
          <w:sz w:val="27"/>
          <w:szCs w:val="27"/>
        </w:rPr>
        <w:t> is revenue that is not received directly from end users of our services, a majority of which is advertising revenue.</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Sparks</w:t>
      </w:r>
      <w:r w:rsidRPr="00452670">
        <w:rPr>
          <w:rFonts w:ascii="Arial" w:eastAsia="宋体" w:hAnsi="Arial" w:cs="Arial"/>
          <w:color w:val="333333"/>
          <w:kern w:val="0"/>
          <w:sz w:val="27"/>
          <w:szCs w:val="27"/>
        </w:rPr>
        <w:t> the number of users engaging in six-way conversations on Tinder.</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Sparks Coverage</w:t>
      </w:r>
      <w:r w:rsidRPr="00452670">
        <w:rPr>
          <w:rFonts w:ascii="Arial" w:eastAsia="宋体" w:hAnsi="Arial" w:cs="Arial"/>
          <w:color w:val="333333"/>
          <w:kern w:val="0"/>
          <w:sz w:val="27"/>
          <w:szCs w:val="27"/>
        </w:rPr>
        <w:t> the percentage of our users who experience a Spark in a given period on Tinder.</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Payers</w:t>
      </w:r>
      <w:r w:rsidRPr="00452670">
        <w:rPr>
          <w:rFonts w:ascii="Arial" w:eastAsia="宋体" w:hAnsi="Arial" w:cs="Arial"/>
          <w:color w:val="333333"/>
          <w:kern w:val="0"/>
          <w:sz w:val="27"/>
          <w:szCs w:val="27"/>
        </w:rPr>
        <w:t> are unique users at a brand level in a given month from whom we earned Direct Revenue. When presented as a quarter-to-date or year-to-date value, Payers represents the average of the monthly values for the respective period presented. At a consolidated level and a business unit level to the extent a business unit consists of multiple brands, duplicate Payers may exist when we earn revenue from the same individual at multiple brands in a given month, as we are unable to identify unique individuals across brands in the Match Group portfolio.</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Revenue Per Payer ("RPP")</w:t>
      </w:r>
      <w:r w:rsidRPr="00452670">
        <w:rPr>
          <w:rFonts w:ascii="Arial" w:eastAsia="宋体" w:hAnsi="Arial" w:cs="Arial"/>
          <w:color w:val="333333"/>
          <w:kern w:val="0"/>
          <w:sz w:val="27"/>
          <w:szCs w:val="27"/>
        </w:rPr>
        <w:t> is the average monthly revenue earned from a Payer and is Direct Revenue for a period divided by the Payers in the period, further divided by the number of months in the period.</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Monthly Active User ("MAU")</w:t>
      </w:r>
      <w:r w:rsidRPr="00452670">
        <w:rPr>
          <w:rFonts w:ascii="Arial" w:eastAsia="宋体" w:hAnsi="Arial" w:cs="Arial"/>
          <w:color w:val="333333"/>
          <w:kern w:val="0"/>
          <w:sz w:val="27"/>
          <w:szCs w:val="27"/>
        </w:rPr>
        <w:t> is a unique registered user at a brand level who has visited the brand's app or, if applicable, their website in the given month. For measurement periods that span multiple months, the average of each month is used. At a consolidated level and a business unit level to the extent a business unit consists of multiple brands, duplicate users will exist within MAU when the same individual visits multiple brands in a given month.</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Leverage on a gross basis</w:t>
      </w:r>
      <w:r w:rsidRPr="00452670">
        <w:rPr>
          <w:rFonts w:ascii="Arial" w:eastAsia="宋体" w:hAnsi="Arial" w:cs="Arial"/>
          <w:color w:val="333333"/>
          <w:kern w:val="0"/>
          <w:sz w:val="27"/>
          <w:szCs w:val="27"/>
        </w:rPr>
        <w:t> is calculated as principal debt balance divided by Adjusted EBITDA for the period referenced.</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Leverage on a net basis</w:t>
      </w:r>
      <w:r w:rsidRPr="00452670">
        <w:rPr>
          <w:rFonts w:ascii="Arial" w:eastAsia="宋体" w:hAnsi="Arial" w:cs="Arial"/>
          <w:color w:val="333333"/>
          <w:kern w:val="0"/>
          <w:sz w:val="27"/>
          <w:szCs w:val="27"/>
        </w:rPr>
        <w:t> is calculated as principal debt balance less cash and cash equivalents and short-term investments divided by Adjusted EBITDA for the period referenced.</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u w:val="single"/>
        </w:rPr>
        <w:t>Other Information</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Safe Harbor Statement Under the Private Securities Litigation Reform Act of 1995</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This press release and our conference call, which will be held at 5:00 p.m. Eastern Time on May 5, 2026, may contain "forward-looking statements" within the meaning of the Private Securities Litigation Reform Act of 1995. All statements that are not historical facts are "forward looking statements." The use of words such as "anticipates," "estimates," "expects," "plans," "believes," "will," and "would," among others, generally identify forward-looking statements. These forward-looking statements include, among others, statements relating to: Match Group's future financial performance, Match Group's business prospects and strategy, anticipated trends, and other similar matters. These forward-looking statements are based on management's current expectations and assumptions about future events, which are inherently subject to uncertainties, risks and changes in circumstances that are difficult to predict. Actual results could differ materially from those contained in these forward-looking statements for a variety of reasons, including, among others: failure to retain existing users or add new users, or if users do not convert to paying users; competition; risks related to our restructuring and reorganization activities; our ability to attract and retain users through cost-effective marketing efforts; our reliance on a variety of third-party platforms, in particular, mobile app stores; our ability to realize reductions in in-app purchase fees; inappropriate actions by certain of our users could be attributed to us or may not be adequately prevented by us; dependence on our key personnel; volatile global economic conditions; operational and financial risks in connection with acquisitions; impairment charges related to our intangible assets; operations in various international markets, including certain markets in which we have limited experience; foreign currency exchange rate fluctuations; challenges in measuring our user metrics and other estimates; the limited operating history of our newer brands and services makes it difficult to evaluate our current business and future prospects; impacts of climate change; the integrity of our and third parties' systems and infrastructure; cyberattacks on our systems and infrastructure and cyberattacks experienced by third parties; our ability to access, collect, and use personal data about our users; breaches or unauthorized access of personal and confidential or sensitive user information that we maintain and store; challenges with properly managing the use of artificial intelligence; risks related to credit card payments; risks related to our use of "open source" software; complex and evolving U.S., foreign, and international laws and regulations; our ability to protect our intellectual property rights or accusations that we infringe upon the intellectual property rights of others; adverse outcomes in litigation; risks related to our taxation in multiple jurisdictions; risks related to our indebtedness; and risks relating to ownership of our common stock. Certain of these and other risks and uncertainties are discussed in Match Group's filings with the Securities and Exchange Commission. Other unknown or unpredictable factors that could also adversely affect Match Group's business, financial condition and results of operations may arise from time to time. In light of these risks and uncertainties, these forward-looking statements may not prove to be accurate. Accordingly, you should not place undue reliance on these forward-looking statements, which only reflect the views of Match Group management as of the date of this press release. Match Group does not undertake to update these forward-looking statements.</w:t>
      </w:r>
    </w:p>
    <w:p w:rsidR="00452670" w:rsidRPr="00452670" w:rsidRDefault="00452670" w:rsidP="00452670">
      <w:pPr>
        <w:widowControl/>
        <w:spacing w:before="100" w:beforeAutospacing="1" w:after="100" w:afterAutospacing="1"/>
        <w:jc w:val="left"/>
        <w:rPr>
          <w:rFonts w:ascii="Arial" w:eastAsia="宋体" w:hAnsi="Arial" w:cs="Arial"/>
          <w:color w:val="333333"/>
          <w:kern w:val="0"/>
          <w:sz w:val="27"/>
          <w:szCs w:val="27"/>
        </w:rPr>
      </w:pPr>
      <w:r w:rsidRPr="00452670">
        <w:rPr>
          <w:rFonts w:ascii="Arial" w:eastAsia="宋体" w:hAnsi="Arial" w:cs="Arial"/>
          <w:b/>
          <w:bCs/>
          <w:color w:val="333333"/>
          <w:kern w:val="0"/>
          <w:sz w:val="27"/>
          <w:szCs w:val="27"/>
        </w:rPr>
        <w:t>About Match Group</w:t>
      </w:r>
    </w:p>
    <w:p w:rsidR="00452670" w:rsidRPr="00452670" w:rsidRDefault="00452670" w:rsidP="00452670">
      <w:pPr>
        <w:widowControl/>
        <w:spacing w:beforeAutospacing="1" w:afterAutospacing="1"/>
        <w:jc w:val="left"/>
        <w:rPr>
          <w:rFonts w:ascii="Arial" w:eastAsia="宋体" w:hAnsi="Arial" w:cs="Arial"/>
          <w:color w:val="333333"/>
          <w:kern w:val="0"/>
          <w:sz w:val="27"/>
          <w:szCs w:val="27"/>
        </w:rPr>
      </w:pPr>
      <w:r w:rsidRPr="00452670">
        <w:rPr>
          <w:rFonts w:ascii="Arial" w:eastAsia="宋体" w:hAnsi="Arial" w:cs="Arial"/>
          <w:color w:val="333333"/>
          <w:kern w:val="0"/>
          <w:sz w:val="27"/>
          <w:szCs w:val="27"/>
        </w:rPr>
        <w:t>Match Group (NASDAQ: MTCH), through its portfolio companies, is a leading provider of digital technologies designed to help people make meaningful connections. Our global portfolio of brands includes Tinder</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 Hinge</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 Match</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 Meetic</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 OkCupid</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 Pairs™, PlentyOfFish</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 Azar</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 BLK</w:t>
      </w:r>
      <w:r w:rsidRPr="00452670">
        <w:rPr>
          <w:rFonts w:ascii="inherit" w:eastAsia="宋体" w:hAnsi="inherit" w:cs="Arial"/>
          <w:color w:val="333333"/>
          <w:kern w:val="0"/>
          <w:sz w:val="23"/>
          <w:szCs w:val="23"/>
          <w:bdr w:val="none" w:sz="0" w:space="0" w:color="auto" w:frame="1"/>
          <w:vertAlign w:val="superscript"/>
        </w:rPr>
        <w:t>®</w:t>
      </w:r>
      <w:r w:rsidRPr="00452670">
        <w:rPr>
          <w:rFonts w:ascii="Arial" w:eastAsia="宋体" w:hAnsi="Arial" w:cs="Arial"/>
          <w:color w:val="333333"/>
          <w:kern w:val="0"/>
          <w:sz w:val="27"/>
          <w:szCs w:val="27"/>
        </w:rPr>
        <w:t>, and more, each built to increase our users' likelihood of connecting with others. Through our trusted brands, we provide tailored services to meet the varying preferences of our users.</w:t>
      </w:r>
    </w:p>
    <w:p w:rsidR="008B7B3C" w:rsidRDefault="008B7B3C">
      <w:bookmarkStart w:id="0" w:name="_GoBack"/>
      <w:bookmarkEnd w:id="0"/>
    </w:p>
    <w:sectPr w:rsidR="008B7B3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2E2AF1"/>
    <w:multiLevelType w:val="multilevel"/>
    <w:tmpl w:val="535A3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55B1995"/>
    <w:multiLevelType w:val="multilevel"/>
    <w:tmpl w:val="21484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A160DDD"/>
    <w:multiLevelType w:val="multilevel"/>
    <w:tmpl w:val="06204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1740"/>
    <w:rsid w:val="00452670"/>
    <w:rsid w:val="008B7B3C"/>
    <w:rsid w:val="00F617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6B6566-5D3D-4A45-BA9F-1A22140C1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452670"/>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452670"/>
    <w:rPr>
      <w:rFonts w:ascii="宋体" w:eastAsia="宋体" w:hAnsi="宋体" w:cs="宋体"/>
      <w:b/>
      <w:bCs/>
      <w:kern w:val="0"/>
      <w:sz w:val="36"/>
      <w:szCs w:val="36"/>
    </w:rPr>
  </w:style>
  <w:style w:type="character" w:customStyle="1" w:styleId="moduledate-text">
    <w:name w:val="module_date-text"/>
    <w:basedOn w:val="a0"/>
    <w:rsid w:val="00452670"/>
  </w:style>
  <w:style w:type="paragraph" w:customStyle="1" w:styleId="prntac">
    <w:name w:val="prntac"/>
    <w:basedOn w:val="a"/>
    <w:rsid w:val="00452670"/>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452670"/>
    <w:pPr>
      <w:widowControl/>
      <w:spacing w:before="100" w:beforeAutospacing="1" w:after="100" w:afterAutospacing="1"/>
      <w:jc w:val="left"/>
    </w:pPr>
    <w:rPr>
      <w:rFonts w:ascii="宋体" w:eastAsia="宋体" w:hAnsi="宋体" w:cs="宋体"/>
      <w:kern w:val="0"/>
      <w:sz w:val="24"/>
      <w:szCs w:val="24"/>
    </w:rPr>
  </w:style>
  <w:style w:type="character" w:customStyle="1" w:styleId="legendspanclass">
    <w:name w:val="legendspanclass"/>
    <w:basedOn w:val="a0"/>
    <w:rsid w:val="00452670"/>
  </w:style>
  <w:style w:type="character" w:styleId="a4">
    <w:name w:val="Hyperlink"/>
    <w:basedOn w:val="a0"/>
    <w:uiPriority w:val="99"/>
    <w:semiHidden/>
    <w:unhideWhenUsed/>
    <w:rsid w:val="00452670"/>
    <w:rPr>
      <w:color w:val="0000FF"/>
      <w:u w:val="single"/>
    </w:rPr>
  </w:style>
  <w:style w:type="character" w:styleId="a5">
    <w:name w:val="FollowedHyperlink"/>
    <w:basedOn w:val="a0"/>
    <w:uiPriority w:val="99"/>
    <w:semiHidden/>
    <w:unhideWhenUsed/>
    <w:rsid w:val="00452670"/>
    <w:rPr>
      <w:color w:val="800080"/>
      <w:u w:val="single"/>
    </w:rPr>
  </w:style>
  <w:style w:type="paragraph" w:customStyle="1" w:styleId="prnml4">
    <w:name w:val="prnml4"/>
    <w:basedOn w:val="a"/>
    <w:rsid w:val="00452670"/>
    <w:pPr>
      <w:widowControl/>
      <w:spacing w:before="100" w:beforeAutospacing="1" w:after="100" w:afterAutospacing="1"/>
      <w:jc w:val="left"/>
    </w:pPr>
    <w:rPr>
      <w:rFonts w:ascii="宋体" w:eastAsia="宋体" w:hAnsi="宋体" w:cs="宋体"/>
      <w:kern w:val="0"/>
      <w:sz w:val="24"/>
      <w:szCs w:val="24"/>
    </w:rPr>
  </w:style>
  <w:style w:type="character" w:customStyle="1" w:styleId="prnewsspan">
    <w:name w:val="prnews_span"/>
    <w:basedOn w:val="a0"/>
    <w:rsid w:val="00452670"/>
  </w:style>
  <w:style w:type="paragraph" w:customStyle="1" w:styleId="prnml8">
    <w:name w:val="prnml8"/>
    <w:basedOn w:val="a"/>
    <w:rsid w:val="00452670"/>
    <w:pPr>
      <w:widowControl/>
      <w:spacing w:before="100" w:beforeAutospacing="1" w:after="100" w:afterAutospacing="1"/>
      <w:jc w:val="left"/>
    </w:pPr>
    <w:rPr>
      <w:rFonts w:ascii="宋体" w:eastAsia="宋体" w:hAnsi="宋体" w:cs="宋体"/>
      <w:kern w:val="0"/>
      <w:sz w:val="24"/>
      <w:szCs w:val="24"/>
    </w:rPr>
  </w:style>
  <w:style w:type="paragraph" w:customStyle="1" w:styleId="prnml10">
    <w:name w:val="prnml10"/>
    <w:basedOn w:val="a"/>
    <w:rsid w:val="0045267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3550945">
      <w:bodyDiv w:val="1"/>
      <w:marLeft w:val="0"/>
      <w:marRight w:val="0"/>
      <w:marTop w:val="0"/>
      <w:marBottom w:val="0"/>
      <w:divBdr>
        <w:top w:val="none" w:sz="0" w:space="0" w:color="auto"/>
        <w:left w:val="none" w:sz="0" w:space="0" w:color="auto"/>
        <w:bottom w:val="none" w:sz="0" w:space="0" w:color="auto"/>
        <w:right w:val="none" w:sz="0" w:space="0" w:color="auto"/>
      </w:divBdr>
      <w:divsChild>
        <w:div w:id="319621734">
          <w:marLeft w:val="0"/>
          <w:marRight w:val="0"/>
          <w:marTop w:val="0"/>
          <w:marBottom w:val="225"/>
          <w:divBdr>
            <w:top w:val="none" w:sz="0" w:space="0" w:color="auto"/>
            <w:left w:val="none" w:sz="0" w:space="0" w:color="auto"/>
            <w:bottom w:val="none" w:sz="0" w:space="0" w:color="auto"/>
            <w:right w:val="none" w:sz="0" w:space="0" w:color="auto"/>
          </w:divBdr>
        </w:div>
        <w:div w:id="167642889">
          <w:marLeft w:val="0"/>
          <w:marRight w:val="0"/>
          <w:marTop w:val="0"/>
          <w:marBottom w:val="150"/>
          <w:divBdr>
            <w:top w:val="none" w:sz="0" w:space="0" w:color="auto"/>
            <w:left w:val="none" w:sz="0" w:space="0" w:color="auto"/>
            <w:bottom w:val="none" w:sz="0" w:space="0" w:color="auto"/>
            <w:right w:val="none" w:sz="0" w:space="0" w:color="auto"/>
          </w:divBdr>
          <w:divsChild>
            <w:div w:id="1788616606">
              <w:marLeft w:val="0"/>
              <w:marRight w:val="0"/>
              <w:marTop w:val="0"/>
              <w:marBottom w:val="0"/>
              <w:divBdr>
                <w:top w:val="none" w:sz="0" w:space="0" w:color="auto"/>
                <w:left w:val="none" w:sz="0" w:space="0" w:color="auto"/>
                <w:bottom w:val="none" w:sz="0" w:space="0" w:color="auto"/>
                <w:right w:val="none" w:sz="0" w:space="0" w:color="auto"/>
              </w:divBdr>
              <w:divsChild>
                <w:div w:id="1676150377">
                  <w:marLeft w:val="0"/>
                  <w:marRight w:val="0"/>
                  <w:marTop w:val="0"/>
                  <w:marBottom w:val="0"/>
                  <w:divBdr>
                    <w:top w:val="none" w:sz="0" w:space="0" w:color="auto"/>
                    <w:left w:val="none" w:sz="0" w:space="0" w:color="auto"/>
                    <w:bottom w:val="none" w:sz="0" w:space="0" w:color="auto"/>
                    <w:right w:val="none" w:sz="0" w:space="0" w:color="auto"/>
                  </w:divBdr>
                  <w:divsChild>
                    <w:div w:id="1743135606">
                      <w:marLeft w:val="0"/>
                      <w:marRight w:val="0"/>
                      <w:marTop w:val="0"/>
                      <w:marBottom w:val="0"/>
                      <w:divBdr>
                        <w:top w:val="none" w:sz="0" w:space="0" w:color="auto"/>
                        <w:left w:val="none" w:sz="0" w:space="0" w:color="auto"/>
                        <w:bottom w:val="none" w:sz="0" w:space="0" w:color="auto"/>
                        <w:right w:val="none" w:sz="0" w:space="0" w:color="auto"/>
                      </w:divBdr>
                    </w:div>
                    <w:div w:id="408771997">
                      <w:marLeft w:val="0"/>
                      <w:marRight w:val="0"/>
                      <w:marTop w:val="0"/>
                      <w:marBottom w:val="0"/>
                      <w:divBdr>
                        <w:top w:val="none" w:sz="0" w:space="0" w:color="auto"/>
                        <w:left w:val="none" w:sz="0" w:space="0" w:color="auto"/>
                        <w:bottom w:val="none" w:sz="0" w:space="0" w:color="auto"/>
                        <w:right w:val="none" w:sz="0" w:space="0" w:color="auto"/>
                      </w:divBdr>
                      <w:divsChild>
                        <w:div w:id="487863127">
                          <w:marLeft w:val="0"/>
                          <w:marRight w:val="0"/>
                          <w:marTop w:val="0"/>
                          <w:marBottom w:val="0"/>
                          <w:divBdr>
                            <w:top w:val="none" w:sz="0" w:space="0" w:color="auto"/>
                            <w:left w:val="none" w:sz="0" w:space="0" w:color="auto"/>
                            <w:bottom w:val="none" w:sz="0" w:space="0" w:color="auto"/>
                            <w:right w:val="none" w:sz="0" w:space="0" w:color="auto"/>
                          </w:divBdr>
                        </w:div>
                      </w:divsChild>
                    </w:div>
                    <w:div w:id="120000034">
                      <w:marLeft w:val="0"/>
                      <w:marRight w:val="0"/>
                      <w:marTop w:val="0"/>
                      <w:marBottom w:val="0"/>
                      <w:divBdr>
                        <w:top w:val="none" w:sz="0" w:space="0" w:color="auto"/>
                        <w:left w:val="none" w:sz="0" w:space="0" w:color="auto"/>
                        <w:bottom w:val="none" w:sz="0" w:space="0" w:color="auto"/>
                        <w:right w:val="none" w:sz="0" w:space="0" w:color="auto"/>
                      </w:divBdr>
                      <w:divsChild>
                        <w:div w:id="1828587781">
                          <w:marLeft w:val="0"/>
                          <w:marRight w:val="0"/>
                          <w:marTop w:val="0"/>
                          <w:marBottom w:val="0"/>
                          <w:divBdr>
                            <w:top w:val="none" w:sz="0" w:space="0" w:color="auto"/>
                            <w:left w:val="none" w:sz="0" w:space="0" w:color="auto"/>
                            <w:bottom w:val="none" w:sz="0" w:space="0" w:color="auto"/>
                            <w:right w:val="none" w:sz="0" w:space="0" w:color="auto"/>
                          </w:divBdr>
                        </w:div>
                      </w:divsChild>
                    </w:div>
                    <w:div w:id="1976982900">
                      <w:marLeft w:val="0"/>
                      <w:marRight w:val="0"/>
                      <w:marTop w:val="0"/>
                      <w:marBottom w:val="0"/>
                      <w:divBdr>
                        <w:top w:val="none" w:sz="0" w:space="0" w:color="auto"/>
                        <w:left w:val="none" w:sz="0" w:space="0" w:color="auto"/>
                        <w:bottom w:val="none" w:sz="0" w:space="0" w:color="auto"/>
                        <w:right w:val="none" w:sz="0" w:space="0" w:color="auto"/>
                      </w:divBdr>
                      <w:divsChild>
                        <w:div w:id="1132792712">
                          <w:marLeft w:val="0"/>
                          <w:marRight w:val="0"/>
                          <w:marTop w:val="0"/>
                          <w:marBottom w:val="0"/>
                          <w:divBdr>
                            <w:top w:val="none" w:sz="0" w:space="0" w:color="auto"/>
                            <w:left w:val="none" w:sz="0" w:space="0" w:color="auto"/>
                            <w:bottom w:val="none" w:sz="0" w:space="0" w:color="auto"/>
                            <w:right w:val="none" w:sz="0" w:space="0" w:color="auto"/>
                          </w:divBdr>
                        </w:div>
                      </w:divsChild>
                    </w:div>
                    <w:div w:id="1739815437">
                      <w:marLeft w:val="0"/>
                      <w:marRight w:val="0"/>
                      <w:marTop w:val="0"/>
                      <w:marBottom w:val="0"/>
                      <w:divBdr>
                        <w:top w:val="none" w:sz="0" w:space="0" w:color="auto"/>
                        <w:left w:val="none" w:sz="0" w:space="0" w:color="auto"/>
                        <w:bottom w:val="none" w:sz="0" w:space="0" w:color="auto"/>
                        <w:right w:val="none" w:sz="0" w:space="0" w:color="auto"/>
                      </w:divBdr>
                      <w:divsChild>
                        <w:div w:id="1887793226">
                          <w:marLeft w:val="0"/>
                          <w:marRight w:val="0"/>
                          <w:marTop w:val="0"/>
                          <w:marBottom w:val="0"/>
                          <w:divBdr>
                            <w:top w:val="none" w:sz="0" w:space="0" w:color="auto"/>
                            <w:left w:val="none" w:sz="0" w:space="0" w:color="auto"/>
                            <w:bottom w:val="none" w:sz="0" w:space="0" w:color="auto"/>
                            <w:right w:val="none" w:sz="0" w:space="0" w:color="auto"/>
                          </w:divBdr>
                        </w:div>
                      </w:divsChild>
                    </w:div>
                    <w:div w:id="1299873131">
                      <w:marLeft w:val="0"/>
                      <w:marRight w:val="0"/>
                      <w:marTop w:val="0"/>
                      <w:marBottom w:val="0"/>
                      <w:divBdr>
                        <w:top w:val="none" w:sz="0" w:space="0" w:color="auto"/>
                        <w:left w:val="none" w:sz="0" w:space="0" w:color="auto"/>
                        <w:bottom w:val="none" w:sz="0" w:space="0" w:color="auto"/>
                        <w:right w:val="none" w:sz="0" w:space="0" w:color="auto"/>
                      </w:divBdr>
                      <w:divsChild>
                        <w:div w:id="535778892">
                          <w:marLeft w:val="0"/>
                          <w:marRight w:val="0"/>
                          <w:marTop w:val="0"/>
                          <w:marBottom w:val="0"/>
                          <w:divBdr>
                            <w:top w:val="none" w:sz="0" w:space="0" w:color="auto"/>
                            <w:left w:val="none" w:sz="0" w:space="0" w:color="auto"/>
                            <w:bottom w:val="none" w:sz="0" w:space="0" w:color="auto"/>
                            <w:right w:val="none" w:sz="0" w:space="0" w:color="auto"/>
                          </w:divBdr>
                        </w:div>
                      </w:divsChild>
                    </w:div>
                    <w:div w:id="45225929">
                      <w:marLeft w:val="0"/>
                      <w:marRight w:val="0"/>
                      <w:marTop w:val="0"/>
                      <w:marBottom w:val="0"/>
                      <w:divBdr>
                        <w:top w:val="none" w:sz="0" w:space="0" w:color="auto"/>
                        <w:left w:val="none" w:sz="0" w:space="0" w:color="auto"/>
                        <w:bottom w:val="none" w:sz="0" w:space="0" w:color="auto"/>
                        <w:right w:val="none" w:sz="0" w:space="0" w:color="auto"/>
                      </w:divBdr>
                      <w:divsChild>
                        <w:div w:id="485974947">
                          <w:marLeft w:val="0"/>
                          <w:marRight w:val="0"/>
                          <w:marTop w:val="0"/>
                          <w:marBottom w:val="0"/>
                          <w:divBdr>
                            <w:top w:val="none" w:sz="0" w:space="0" w:color="auto"/>
                            <w:left w:val="none" w:sz="0" w:space="0" w:color="auto"/>
                            <w:bottom w:val="none" w:sz="0" w:space="0" w:color="auto"/>
                            <w:right w:val="none" w:sz="0" w:space="0" w:color="auto"/>
                          </w:divBdr>
                        </w:div>
                      </w:divsChild>
                    </w:div>
                    <w:div w:id="1080786277">
                      <w:marLeft w:val="0"/>
                      <w:marRight w:val="0"/>
                      <w:marTop w:val="0"/>
                      <w:marBottom w:val="0"/>
                      <w:divBdr>
                        <w:top w:val="none" w:sz="0" w:space="0" w:color="auto"/>
                        <w:left w:val="none" w:sz="0" w:space="0" w:color="auto"/>
                        <w:bottom w:val="none" w:sz="0" w:space="0" w:color="auto"/>
                        <w:right w:val="none" w:sz="0" w:space="0" w:color="auto"/>
                      </w:divBdr>
                      <w:divsChild>
                        <w:div w:id="197082511">
                          <w:marLeft w:val="0"/>
                          <w:marRight w:val="0"/>
                          <w:marTop w:val="0"/>
                          <w:marBottom w:val="0"/>
                          <w:divBdr>
                            <w:top w:val="none" w:sz="0" w:space="0" w:color="auto"/>
                            <w:left w:val="none" w:sz="0" w:space="0" w:color="auto"/>
                            <w:bottom w:val="none" w:sz="0" w:space="0" w:color="auto"/>
                            <w:right w:val="none" w:sz="0" w:space="0" w:color="auto"/>
                          </w:divBdr>
                        </w:div>
                      </w:divsChild>
                    </w:div>
                    <w:div w:id="41755374">
                      <w:marLeft w:val="0"/>
                      <w:marRight w:val="0"/>
                      <w:marTop w:val="0"/>
                      <w:marBottom w:val="0"/>
                      <w:divBdr>
                        <w:top w:val="none" w:sz="0" w:space="0" w:color="auto"/>
                        <w:left w:val="none" w:sz="0" w:space="0" w:color="auto"/>
                        <w:bottom w:val="none" w:sz="0" w:space="0" w:color="auto"/>
                        <w:right w:val="none" w:sz="0" w:space="0" w:color="auto"/>
                      </w:divBdr>
                      <w:divsChild>
                        <w:div w:id="1606385106">
                          <w:marLeft w:val="0"/>
                          <w:marRight w:val="0"/>
                          <w:marTop w:val="0"/>
                          <w:marBottom w:val="0"/>
                          <w:divBdr>
                            <w:top w:val="none" w:sz="0" w:space="0" w:color="auto"/>
                            <w:left w:val="none" w:sz="0" w:space="0" w:color="auto"/>
                            <w:bottom w:val="none" w:sz="0" w:space="0" w:color="auto"/>
                            <w:right w:val="none" w:sz="0" w:space="0" w:color="auto"/>
                          </w:divBdr>
                        </w:div>
                      </w:divsChild>
                    </w:div>
                    <w:div w:id="1159660516">
                      <w:marLeft w:val="0"/>
                      <w:marRight w:val="0"/>
                      <w:marTop w:val="0"/>
                      <w:marBottom w:val="0"/>
                      <w:divBdr>
                        <w:top w:val="none" w:sz="0" w:space="0" w:color="auto"/>
                        <w:left w:val="none" w:sz="0" w:space="0" w:color="auto"/>
                        <w:bottom w:val="none" w:sz="0" w:space="0" w:color="auto"/>
                        <w:right w:val="none" w:sz="0" w:space="0" w:color="auto"/>
                      </w:divBdr>
                      <w:divsChild>
                        <w:div w:id="773594970">
                          <w:marLeft w:val="0"/>
                          <w:marRight w:val="0"/>
                          <w:marTop w:val="0"/>
                          <w:marBottom w:val="0"/>
                          <w:divBdr>
                            <w:top w:val="none" w:sz="0" w:space="0" w:color="auto"/>
                            <w:left w:val="none" w:sz="0" w:space="0" w:color="auto"/>
                            <w:bottom w:val="none" w:sz="0" w:space="0" w:color="auto"/>
                            <w:right w:val="none" w:sz="0" w:space="0" w:color="auto"/>
                          </w:divBdr>
                        </w:div>
                      </w:divsChild>
                    </w:div>
                    <w:div w:id="1494756343">
                      <w:marLeft w:val="0"/>
                      <w:marRight w:val="0"/>
                      <w:marTop w:val="0"/>
                      <w:marBottom w:val="0"/>
                      <w:divBdr>
                        <w:top w:val="none" w:sz="0" w:space="0" w:color="auto"/>
                        <w:left w:val="none" w:sz="0" w:space="0" w:color="auto"/>
                        <w:bottom w:val="none" w:sz="0" w:space="0" w:color="auto"/>
                        <w:right w:val="none" w:sz="0" w:space="0" w:color="auto"/>
                      </w:divBdr>
                      <w:divsChild>
                        <w:div w:id="1245725456">
                          <w:marLeft w:val="0"/>
                          <w:marRight w:val="0"/>
                          <w:marTop w:val="0"/>
                          <w:marBottom w:val="0"/>
                          <w:divBdr>
                            <w:top w:val="none" w:sz="0" w:space="0" w:color="auto"/>
                            <w:left w:val="none" w:sz="0" w:space="0" w:color="auto"/>
                            <w:bottom w:val="none" w:sz="0" w:space="0" w:color="auto"/>
                            <w:right w:val="none" w:sz="0" w:space="0" w:color="auto"/>
                          </w:divBdr>
                        </w:div>
                      </w:divsChild>
                    </w:div>
                    <w:div w:id="1828395439">
                      <w:marLeft w:val="0"/>
                      <w:marRight w:val="0"/>
                      <w:marTop w:val="0"/>
                      <w:marBottom w:val="0"/>
                      <w:divBdr>
                        <w:top w:val="none" w:sz="0" w:space="0" w:color="auto"/>
                        <w:left w:val="none" w:sz="0" w:space="0" w:color="auto"/>
                        <w:bottom w:val="none" w:sz="0" w:space="0" w:color="auto"/>
                        <w:right w:val="none" w:sz="0" w:space="0" w:color="auto"/>
                      </w:divBdr>
                      <w:divsChild>
                        <w:div w:id="270668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r.mtch.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mma.prnewswire.com/media/2973154/Match_Group_1Q_2026_Press_Release_vF.pdf?p=origina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4802</Words>
  <Characters>27377</Characters>
  <Application>Microsoft Office Word</Application>
  <DocSecurity>0</DocSecurity>
  <Lines>228</Lines>
  <Paragraphs>64</Paragraphs>
  <ScaleCrop>false</ScaleCrop>
  <Company/>
  <LinksUpToDate>false</LinksUpToDate>
  <CharactersWithSpaces>32115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2</cp:revision>
  <dcterms:created xsi:type="dcterms:W3CDTF">2026-05-07T09:34:00Z</dcterms:created>
  <dcterms:modified xsi:type="dcterms:W3CDTF">2026-05-07T09:34:00Z</dcterms:modified>
</cp:coreProperties>
</file>