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0129" w:rsidRPr="00890129" w:rsidRDefault="00890129" w:rsidP="00890129">
      <w:pPr>
        <w:widowControl/>
        <w:spacing w:after="150"/>
        <w:jc w:val="left"/>
        <w:textAlignment w:val="center"/>
        <w:outlineLvl w:val="0"/>
        <w:rPr>
          <w:rFonts w:ascii="Arial" w:eastAsia="宋体" w:hAnsi="Arial" w:cs="Arial"/>
          <w:kern w:val="36"/>
          <w:sz w:val="60"/>
          <w:szCs w:val="60"/>
        </w:rPr>
      </w:pPr>
      <w:r w:rsidRPr="00890129">
        <w:rPr>
          <w:rFonts w:ascii="Arial" w:eastAsia="宋体" w:hAnsi="Arial" w:cs="Arial"/>
          <w:kern w:val="36"/>
          <w:sz w:val="60"/>
          <w:szCs w:val="60"/>
        </w:rPr>
        <w:t>Match Group Announces Third Quarter Results</w:t>
      </w:r>
    </w:p>
    <w:p w:rsidR="00890129" w:rsidRPr="00890129" w:rsidRDefault="00890129" w:rsidP="00890129">
      <w:pPr>
        <w:widowControl/>
        <w:spacing w:before="450" w:after="450"/>
        <w:jc w:val="left"/>
        <w:rPr>
          <w:rFonts w:ascii="宋体" w:eastAsia="宋体" w:hAnsi="宋体" w:cs="宋体"/>
          <w:kern w:val="0"/>
          <w:sz w:val="24"/>
          <w:szCs w:val="24"/>
        </w:rPr>
      </w:pPr>
      <w:r w:rsidRPr="00890129">
        <w:rPr>
          <w:rFonts w:ascii="宋体" w:eastAsia="宋体" w:hAnsi="宋体" w:cs="宋体"/>
          <w:kern w:val="0"/>
          <w:sz w:val="24"/>
          <w:szCs w:val="24"/>
        </w:rPr>
        <w:pict>
          <v:rect id="_x0000_i1025" style="width:0;height:0" o:hralign="center" o:hrstd="t" o:hr="t" fillcolor="#a0a0a0" stroked="f"/>
        </w:pict>
      </w:r>
    </w:p>
    <w:p w:rsidR="00890129" w:rsidRPr="00890129" w:rsidRDefault="00890129" w:rsidP="00890129">
      <w:pPr>
        <w:widowControl/>
        <w:spacing w:before="300"/>
        <w:jc w:val="left"/>
        <w:outlineLvl w:val="1"/>
        <w:rPr>
          <w:rFonts w:ascii="Arial" w:eastAsia="宋体" w:hAnsi="Arial" w:cs="Arial"/>
          <w:caps/>
          <w:color w:val="575757"/>
          <w:kern w:val="0"/>
          <w:szCs w:val="21"/>
        </w:rPr>
      </w:pPr>
      <w:r w:rsidRPr="00890129">
        <w:rPr>
          <w:rFonts w:ascii="Arial" w:eastAsia="宋体" w:hAnsi="Arial" w:cs="Arial"/>
          <w:caps/>
          <w:color w:val="575757"/>
          <w:kern w:val="0"/>
          <w:szCs w:val="21"/>
        </w:rPr>
        <w:t>News provided by</w:t>
      </w:r>
    </w:p>
    <w:p w:rsidR="00890129" w:rsidRPr="00890129" w:rsidRDefault="00890129" w:rsidP="00890129">
      <w:pPr>
        <w:widowControl/>
        <w:jc w:val="left"/>
        <w:rPr>
          <w:rFonts w:ascii="宋体" w:eastAsia="宋体" w:hAnsi="宋体" w:cs="宋体"/>
          <w:kern w:val="0"/>
          <w:sz w:val="24"/>
          <w:szCs w:val="24"/>
        </w:rPr>
      </w:pPr>
      <w:hyperlink r:id="rId5" w:history="1">
        <w:r w:rsidRPr="00890129">
          <w:rPr>
            <w:rFonts w:ascii="宋体" w:eastAsia="宋体" w:hAnsi="宋体" w:cs="宋体"/>
            <w:b/>
            <w:bCs/>
            <w:color w:val="063369"/>
            <w:kern w:val="0"/>
            <w:sz w:val="24"/>
            <w:szCs w:val="24"/>
          </w:rPr>
          <w:t xml:space="preserve">Match Group </w:t>
        </w:r>
      </w:hyperlink>
    </w:p>
    <w:p w:rsidR="00890129" w:rsidRPr="00890129" w:rsidRDefault="00890129" w:rsidP="00890129">
      <w:pPr>
        <w:widowControl/>
        <w:spacing w:after="100" w:afterAutospacing="1"/>
        <w:jc w:val="left"/>
        <w:rPr>
          <w:rFonts w:ascii="宋体" w:eastAsia="宋体" w:hAnsi="宋体" w:cs="宋体"/>
          <w:kern w:val="0"/>
          <w:sz w:val="24"/>
          <w:szCs w:val="24"/>
        </w:rPr>
      </w:pPr>
      <w:r w:rsidRPr="00890129">
        <w:rPr>
          <w:rFonts w:ascii="宋体" w:eastAsia="宋体" w:hAnsi="宋体" w:cs="宋体"/>
          <w:kern w:val="0"/>
          <w:sz w:val="24"/>
          <w:szCs w:val="24"/>
        </w:rPr>
        <w:t>Nov 02, 2026, 16:11 ET</w:t>
      </w:r>
    </w:p>
    <w:p w:rsidR="00890129" w:rsidRPr="00890129" w:rsidRDefault="00890129" w:rsidP="00890129">
      <w:pPr>
        <w:widowControl/>
        <w:jc w:val="left"/>
        <w:outlineLvl w:val="1"/>
        <w:rPr>
          <w:rFonts w:ascii="Arial" w:eastAsia="宋体" w:hAnsi="Arial" w:cs="Arial"/>
          <w:caps/>
          <w:color w:val="575757"/>
          <w:kern w:val="0"/>
          <w:szCs w:val="21"/>
        </w:rPr>
      </w:pPr>
      <w:r w:rsidRPr="00890129">
        <w:rPr>
          <w:rFonts w:ascii="Arial" w:eastAsia="宋体" w:hAnsi="Arial" w:cs="Arial"/>
          <w:caps/>
          <w:color w:val="575757"/>
          <w:kern w:val="0"/>
          <w:szCs w:val="21"/>
        </w:rPr>
        <w:t>Share this article</w:t>
      </w:r>
    </w:p>
    <w:p w:rsidR="00890129" w:rsidRPr="00890129" w:rsidRDefault="00890129" w:rsidP="00890129">
      <w:pPr>
        <w:widowControl/>
        <w:ind w:right="-135"/>
        <w:jc w:val="left"/>
        <w:rPr>
          <w:rFonts w:ascii="宋体" w:eastAsia="宋体" w:hAnsi="宋体" w:cs="宋体"/>
          <w:color w:val="FFFFFF"/>
          <w:kern w:val="0"/>
          <w:sz w:val="18"/>
          <w:szCs w:val="18"/>
        </w:rPr>
      </w:pPr>
      <w:r w:rsidRPr="00890129">
        <w:rPr>
          <w:rFonts w:ascii="宋体" w:eastAsia="宋体" w:hAnsi="宋体" w:cs="宋体"/>
          <w:kern w:val="0"/>
          <w:sz w:val="24"/>
          <w:szCs w:val="24"/>
        </w:rPr>
        <w:fldChar w:fldCharType="begin"/>
      </w:r>
      <w:r w:rsidRPr="00890129">
        <w:rPr>
          <w:rFonts w:ascii="宋体" w:eastAsia="宋体" w:hAnsi="宋体" w:cs="宋体"/>
          <w:kern w:val="0"/>
          <w:sz w:val="24"/>
          <w:szCs w:val="24"/>
        </w:rPr>
        <w:instrText xml:space="preserve"> HYPERLINK "javascript:;" </w:instrText>
      </w:r>
      <w:r w:rsidRPr="00890129">
        <w:rPr>
          <w:rFonts w:ascii="宋体" w:eastAsia="宋体" w:hAnsi="宋体" w:cs="宋体"/>
          <w:kern w:val="0"/>
          <w:sz w:val="24"/>
          <w:szCs w:val="24"/>
        </w:rPr>
        <w:fldChar w:fldCharType="separate"/>
      </w:r>
    </w:p>
    <w:p w:rsidR="00890129" w:rsidRPr="00890129" w:rsidRDefault="00890129" w:rsidP="00890129">
      <w:pPr>
        <w:widowControl/>
        <w:numPr>
          <w:ilvl w:val="0"/>
          <w:numId w:val="1"/>
        </w:numPr>
        <w:shd w:val="clear" w:color="auto" w:fill="3B5999"/>
        <w:spacing w:before="100" w:beforeAutospacing="1" w:after="75"/>
        <w:ind w:left="-225" w:right="-135"/>
        <w:jc w:val="center"/>
        <w:rPr>
          <w:rFonts w:ascii="宋体" w:eastAsia="宋体" w:hAnsi="宋体" w:cs="宋体"/>
          <w:kern w:val="0"/>
          <w:sz w:val="24"/>
          <w:szCs w:val="24"/>
        </w:rPr>
      </w:pPr>
    </w:p>
    <w:p w:rsidR="00890129" w:rsidRPr="00890129" w:rsidRDefault="00890129" w:rsidP="00890129">
      <w:pPr>
        <w:widowControl/>
        <w:ind w:right="-135"/>
        <w:jc w:val="left"/>
        <w:rPr>
          <w:rFonts w:ascii="宋体" w:eastAsia="宋体" w:hAnsi="宋体" w:cs="宋体"/>
          <w:color w:val="FFFFFF"/>
          <w:kern w:val="0"/>
          <w:sz w:val="24"/>
          <w:szCs w:val="24"/>
        </w:rPr>
      </w:pPr>
      <w:r w:rsidRPr="00890129">
        <w:rPr>
          <w:rFonts w:ascii="宋体" w:eastAsia="宋体" w:hAnsi="宋体" w:cs="宋体"/>
          <w:kern w:val="0"/>
          <w:sz w:val="24"/>
          <w:szCs w:val="24"/>
        </w:rPr>
        <w:fldChar w:fldCharType="end"/>
      </w:r>
      <w:r w:rsidRPr="00890129">
        <w:rPr>
          <w:rFonts w:ascii="宋体" w:eastAsia="宋体" w:hAnsi="宋体" w:cs="宋体"/>
          <w:kern w:val="0"/>
          <w:sz w:val="24"/>
          <w:szCs w:val="24"/>
        </w:rPr>
        <w:fldChar w:fldCharType="begin"/>
      </w:r>
      <w:r w:rsidRPr="00890129">
        <w:rPr>
          <w:rFonts w:ascii="宋体" w:eastAsia="宋体" w:hAnsi="宋体" w:cs="宋体"/>
          <w:kern w:val="0"/>
          <w:sz w:val="24"/>
          <w:szCs w:val="24"/>
        </w:rPr>
        <w:instrText xml:space="preserve"> HYPERLINK "javascript:;" </w:instrText>
      </w:r>
      <w:r w:rsidRPr="00890129">
        <w:rPr>
          <w:rFonts w:ascii="宋体" w:eastAsia="宋体" w:hAnsi="宋体" w:cs="宋体"/>
          <w:kern w:val="0"/>
          <w:sz w:val="24"/>
          <w:szCs w:val="24"/>
        </w:rPr>
        <w:fldChar w:fldCharType="separate"/>
      </w:r>
    </w:p>
    <w:p w:rsidR="00890129" w:rsidRPr="00890129" w:rsidRDefault="00890129" w:rsidP="00890129">
      <w:pPr>
        <w:widowControl/>
        <w:numPr>
          <w:ilvl w:val="0"/>
          <w:numId w:val="1"/>
        </w:numPr>
        <w:shd w:val="clear" w:color="auto" w:fill="000000"/>
        <w:spacing w:before="100" w:beforeAutospacing="1" w:after="75"/>
        <w:ind w:left="-225" w:right="-135"/>
        <w:jc w:val="center"/>
        <w:rPr>
          <w:rFonts w:ascii="宋体" w:eastAsia="宋体" w:hAnsi="宋体" w:cs="宋体"/>
          <w:kern w:val="0"/>
          <w:sz w:val="24"/>
          <w:szCs w:val="24"/>
        </w:rPr>
      </w:pPr>
    </w:p>
    <w:p w:rsidR="00890129" w:rsidRPr="00890129" w:rsidRDefault="00890129" w:rsidP="00890129">
      <w:pPr>
        <w:widowControl/>
        <w:ind w:right="-135"/>
        <w:jc w:val="left"/>
        <w:rPr>
          <w:rFonts w:ascii="宋体" w:eastAsia="宋体" w:hAnsi="宋体" w:cs="宋体"/>
          <w:color w:val="FFFFFF"/>
          <w:kern w:val="0"/>
          <w:sz w:val="24"/>
          <w:szCs w:val="24"/>
        </w:rPr>
      </w:pPr>
      <w:r w:rsidRPr="00890129">
        <w:rPr>
          <w:rFonts w:ascii="宋体" w:eastAsia="宋体" w:hAnsi="宋体" w:cs="宋体"/>
          <w:kern w:val="0"/>
          <w:sz w:val="24"/>
          <w:szCs w:val="24"/>
        </w:rPr>
        <w:fldChar w:fldCharType="end"/>
      </w:r>
      <w:r w:rsidRPr="00890129">
        <w:rPr>
          <w:rFonts w:ascii="宋体" w:eastAsia="宋体" w:hAnsi="宋体" w:cs="宋体"/>
          <w:kern w:val="0"/>
          <w:sz w:val="24"/>
          <w:szCs w:val="24"/>
        </w:rPr>
        <w:fldChar w:fldCharType="begin"/>
      </w:r>
      <w:r w:rsidRPr="00890129">
        <w:rPr>
          <w:rFonts w:ascii="宋体" w:eastAsia="宋体" w:hAnsi="宋体" w:cs="宋体"/>
          <w:kern w:val="0"/>
          <w:sz w:val="24"/>
          <w:szCs w:val="24"/>
        </w:rPr>
        <w:instrText xml:space="preserve"> HYPERLINK "javascript:;" </w:instrText>
      </w:r>
      <w:r w:rsidRPr="00890129">
        <w:rPr>
          <w:rFonts w:ascii="宋体" w:eastAsia="宋体" w:hAnsi="宋体" w:cs="宋体"/>
          <w:kern w:val="0"/>
          <w:sz w:val="24"/>
          <w:szCs w:val="24"/>
        </w:rPr>
        <w:fldChar w:fldCharType="separate"/>
      </w:r>
    </w:p>
    <w:p w:rsidR="00890129" w:rsidRPr="00890129" w:rsidRDefault="00890129" w:rsidP="00890129">
      <w:pPr>
        <w:widowControl/>
        <w:numPr>
          <w:ilvl w:val="0"/>
          <w:numId w:val="1"/>
        </w:numPr>
        <w:shd w:val="clear" w:color="auto" w:fill="4875B4"/>
        <w:spacing w:before="100" w:beforeAutospacing="1" w:after="75"/>
        <w:ind w:left="-225" w:right="-135"/>
        <w:jc w:val="center"/>
        <w:rPr>
          <w:rFonts w:ascii="宋体" w:eastAsia="宋体" w:hAnsi="宋体" w:cs="宋体"/>
          <w:kern w:val="0"/>
          <w:sz w:val="24"/>
          <w:szCs w:val="24"/>
        </w:rPr>
      </w:pPr>
    </w:p>
    <w:p w:rsidR="00890129" w:rsidRPr="00890129" w:rsidRDefault="00890129" w:rsidP="00890129">
      <w:pPr>
        <w:widowControl/>
        <w:ind w:right="-135"/>
        <w:jc w:val="left"/>
        <w:rPr>
          <w:rFonts w:ascii="宋体" w:eastAsia="宋体" w:hAnsi="宋体" w:cs="宋体"/>
          <w:color w:val="FFFFFF"/>
          <w:kern w:val="0"/>
          <w:sz w:val="24"/>
          <w:szCs w:val="24"/>
        </w:rPr>
      </w:pPr>
      <w:r w:rsidRPr="00890129">
        <w:rPr>
          <w:rFonts w:ascii="宋体" w:eastAsia="宋体" w:hAnsi="宋体" w:cs="宋体"/>
          <w:kern w:val="0"/>
          <w:sz w:val="24"/>
          <w:szCs w:val="24"/>
        </w:rPr>
        <w:fldChar w:fldCharType="end"/>
      </w:r>
      <w:r w:rsidRPr="00890129">
        <w:rPr>
          <w:rFonts w:ascii="宋体" w:eastAsia="宋体" w:hAnsi="宋体" w:cs="宋体"/>
          <w:kern w:val="0"/>
          <w:sz w:val="24"/>
          <w:szCs w:val="24"/>
        </w:rPr>
        <w:fldChar w:fldCharType="begin"/>
      </w:r>
      <w:r w:rsidRPr="00890129">
        <w:rPr>
          <w:rFonts w:ascii="宋体" w:eastAsia="宋体" w:hAnsi="宋体" w:cs="宋体"/>
          <w:kern w:val="0"/>
          <w:sz w:val="24"/>
          <w:szCs w:val="24"/>
        </w:rPr>
        <w:instrText xml:space="preserve"> HYPERLINK "javascript:;" </w:instrText>
      </w:r>
      <w:r w:rsidRPr="00890129">
        <w:rPr>
          <w:rFonts w:ascii="宋体" w:eastAsia="宋体" w:hAnsi="宋体" w:cs="宋体"/>
          <w:kern w:val="0"/>
          <w:sz w:val="24"/>
          <w:szCs w:val="24"/>
        </w:rPr>
        <w:fldChar w:fldCharType="separate"/>
      </w:r>
    </w:p>
    <w:p w:rsidR="00890129" w:rsidRPr="00890129" w:rsidRDefault="00890129" w:rsidP="00890129">
      <w:pPr>
        <w:widowControl/>
        <w:numPr>
          <w:ilvl w:val="0"/>
          <w:numId w:val="1"/>
        </w:numPr>
        <w:shd w:val="clear" w:color="auto" w:fill="25D366"/>
        <w:spacing w:before="100" w:beforeAutospacing="1" w:after="75"/>
        <w:ind w:left="-225" w:right="-135"/>
        <w:jc w:val="center"/>
        <w:rPr>
          <w:rFonts w:ascii="宋体" w:eastAsia="宋体" w:hAnsi="宋体" w:cs="宋体"/>
          <w:kern w:val="0"/>
          <w:sz w:val="24"/>
          <w:szCs w:val="24"/>
        </w:rPr>
      </w:pPr>
    </w:p>
    <w:p w:rsidR="00890129" w:rsidRPr="00890129" w:rsidRDefault="00890129" w:rsidP="00890129">
      <w:pPr>
        <w:widowControl/>
        <w:ind w:right="-135"/>
        <w:jc w:val="left"/>
        <w:rPr>
          <w:rFonts w:ascii="宋体" w:eastAsia="宋体" w:hAnsi="宋体" w:cs="宋体"/>
          <w:color w:val="FFFFFF"/>
          <w:kern w:val="0"/>
          <w:sz w:val="24"/>
          <w:szCs w:val="24"/>
        </w:rPr>
      </w:pPr>
      <w:r w:rsidRPr="00890129">
        <w:rPr>
          <w:rFonts w:ascii="宋体" w:eastAsia="宋体" w:hAnsi="宋体" w:cs="宋体"/>
          <w:kern w:val="0"/>
          <w:sz w:val="24"/>
          <w:szCs w:val="24"/>
        </w:rPr>
        <w:fldChar w:fldCharType="end"/>
      </w:r>
      <w:r w:rsidRPr="00890129">
        <w:rPr>
          <w:rFonts w:ascii="宋体" w:eastAsia="宋体" w:hAnsi="宋体" w:cs="宋体"/>
          <w:kern w:val="0"/>
          <w:sz w:val="24"/>
          <w:szCs w:val="24"/>
        </w:rPr>
        <w:fldChar w:fldCharType="begin"/>
      </w:r>
      <w:r w:rsidRPr="00890129">
        <w:rPr>
          <w:rFonts w:ascii="宋体" w:eastAsia="宋体" w:hAnsi="宋体" w:cs="宋体"/>
          <w:kern w:val="0"/>
          <w:sz w:val="24"/>
          <w:szCs w:val="24"/>
        </w:rPr>
        <w:instrText xml:space="preserve"> HYPERLINK "javascript:;" </w:instrText>
      </w:r>
      <w:r w:rsidRPr="00890129">
        <w:rPr>
          <w:rFonts w:ascii="宋体" w:eastAsia="宋体" w:hAnsi="宋体" w:cs="宋体"/>
          <w:kern w:val="0"/>
          <w:sz w:val="24"/>
          <w:szCs w:val="24"/>
        </w:rPr>
        <w:fldChar w:fldCharType="separate"/>
      </w:r>
    </w:p>
    <w:p w:rsidR="00890129" w:rsidRPr="00890129" w:rsidRDefault="00890129" w:rsidP="00890129">
      <w:pPr>
        <w:widowControl/>
        <w:numPr>
          <w:ilvl w:val="0"/>
          <w:numId w:val="1"/>
        </w:numPr>
        <w:shd w:val="clear" w:color="auto" w:fill="BB061A"/>
        <w:spacing w:before="100" w:beforeAutospacing="1" w:after="75"/>
        <w:ind w:left="-225" w:right="-135"/>
        <w:jc w:val="center"/>
        <w:rPr>
          <w:rFonts w:ascii="宋体" w:eastAsia="宋体" w:hAnsi="宋体" w:cs="宋体"/>
          <w:kern w:val="0"/>
          <w:sz w:val="24"/>
          <w:szCs w:val="24"/>
        </w:rPr>
      </w:pPr>
    </w:p>
    <w:p w:rsidR="00890129" w:rsidRPr="00890129" w:rsidRDefault="00890129" w:rsidP="00890129">
      <w:pPr>
        <w:widowControl/>
        <w:jc w:val="left"/>
        <w:rPr>
          <w:rFonts w:ascii="宋体" w:eastAsia="宋体" w:hAnsi="宋体" w:cs="宋体"/>
          <w:color w:val="FFFFFF"/>
          <w:kern w:val="0"/>
          <w:sz w:val="24"/>
          <w:szCs w:val="24"/>
        </w:rPr>
      </w:pPr>
      <w:r w:rsidRPr="00890129">
        <w:rPr>
          <w:rFonts w:ascii="宋体" w:eastAsia="宋体" w:hAnsi="宋体" w:cs="宋体"/>
          <w:kern w:val="0"/>
          <w:sz w:val="24"/>
          <w:szCs w:val="24"/>
        </w:rPr>
        <w:fldChar w:fldCharType="end"/>
      </w:r>
      <w:r w:rsidRPr="00890129">
        <w:rPr>
          <w:rFonts w:ascii="宋体" w:eastAsia="宋体" w:hAnsi="宋体" w:cs="宋体"/>
          <w:kern w:val="0"/>
          <w:sz w:val="24"/>
          <w:szCs w:val="24"/>
        </w:rPr>
        <w:fldChar w:fldCharType="begin"/>
      </w:r>
      <w:r w:rsidRPr="00890129">
        <w:rPr>
          <w:rFonts w:ascii="宋体" w:eastAsia="宋体" w:hAnsi="宋体" w:cs="宋体"/>
          <w:kern w:val="0"/>
          <w:sz w:val="24"/>
          <w:szCs w:val="24"/>
        </w:rPr>
        <w:instrText xml:space="preserve"> HYPERLINK "javascript:;" </w:instrText>
      </w:r>
      <w:r w:rsidRPr="00890129">
        <w:rPr>
          <w:rFonts w:ascii="宋体" w:eastAsia="宋体" w:hAnsi="宋体" w:cs="宋体"/>
          <w:kern w:val="0"/>
          <w:sz w:val="24"/>
          <w:szCs w:val="24"/>
        </w:rPr>
        <w:fldChar w:fldCharType="separate"/>
      </w:r>
    </w:p>
    <w:p w:rsidR="00890129" w:rsidRPr="00890129" w:rsidRDefault="00890129" w:rsidP="00890129">
      <w:pPr>
        <w:widowControl/>
        <w:numPr>
          <w:ilvl w:val="0"/>
          <w:numId w:val="1"/>
        </w:numPr>
        <w:shd w:val="clear" w:color="auto" w:fill="9B9B9B"/>
        <w:spacing w:before="100" w:beforeAutospacing="1" w:after="75"/>
        <w:ind w:left="-225"/>
        <w:jc w:val="center"/>
        <w:rPr>
          <w:rFonts w:ascii="宋体" w:eastAsia="宋体" w:hAnsi="宋体" w:cs="宋体"/>
          <w:kern w:val="0"/>
          <w:sz w:val="24"/>
          <w:szCs w:val="24"/>
        </w:rPr>
      </w:pPr>
    </w:p>
    <w:p w:rsidR="00890129" w:rsidRPr="00890129" w:rsidRDefault="00890129" w:rsidP="00890129">
      <w:pPr>
        <w:widowControl/>
        <w:jc w:val="left"/>
        <w:rPr>
          <w:rFonts w:ascii="宋体" w:eastAsia="宋体" w:hAnsi="宋体" w:cs="宋体"/>
          <w:kern w:val="0"/>
          <w:sz w:val="24"/>
          <w:szCs w:val="24"/>
        </w:rPr>
      </w:pPr>
      <w:r w:rsidRPr="00890129">
        <w:rPr>
          <w:rFonts w:ascii="宋体" w:eastAsia="宋体" w:hAnsi="宋体" w:cs="宋体"/>
          <w:kern w:val="0"/>
          <w:sz w:val="24"/>
          <w:szCs w:val="24"/>
        </w:rPr>
        <w:fldChar w:fldCharType="end"/>
      </w:r>
    </w:p>
    <w:p w:rsidR="00890129" w:rsidRPr="00890129" w:rsidRDefault="00890129" w:rsidP="00890129">
      <w:pPr>
        <w:widowControl/>
        <w:spacing w:before="450" w:after="450"/>
        <w:jc w:val="left"/>
        <w:rPr>
          <w:rFonts w:ascii="宋体" w:eastAsia="宋体" w:hAnsi="宋体" w:cs="宋体"/>
          <w:kern w:val="0"/>
          <w:sz w:val="24"/>
          <w:szCs w:val="24"/>
        </w:rPr>
      </w:pPr>
      <w:r w:rsidRPr="00890129">
        <w:rPr>
          <w:rFonts w:ascii="宋体" w:eastAsia="宋体" w:hAnsi="宋体" w:cs="宋体"/>
          <w:kern w:val="0"/>
          <w:sz w:val="24"/>
          <w:szCs w:val="24"/>
        </w:rPr>
        <w:pict>
          <v:rect id="_x0000_i1026" style="width:0;height:0" o:hralign="center" o:hrstd="t" o:hr="t" fillcolor="#a0a0a0" stroked="f"/>
        </w:pict>
      </w:r>
    </w:p>
    <w:p w:rsidR="00890129" w:rsidRPr="00890129" w:rsidRDefault="00890129" w:rsidP="00890129">
      <w:pPr>
        <w:widowControl/>
        <w:spacing w:after="480"/>
        <w:jc w:val="center"/>
        <w:rPr>
          <w:rFonts w:ascii="宋体" w:eastAsia="宋体" w:hAnsi="宋体" w:cs="宋体"/>
          <w:kern w:val="0"/>
          <w:sz w:val="24"/>
          <w:szCs w:val="24"/>
        </w:rPr>
      </w:pPr>
      <w:r w:rsidRPr="00890129">
        <w:rPr>
          <w:rFonts w:ascii="宋体" w:eastAsia="宋体" w:hAnsi="宋体" w:cs="宋体"/>
          <w:kern w:val="0"/>
          <w:sz w:val="24"/>
          <w:szCs w:val="24"/>
        </w:rPr>
        <w:t xml:space="preserve">Tinder Daily Active Users Returned to Year-over-Year ("Y/Y") Growth </w:t>
      </w:r>
      <w:proofErr w:type="gramStart"/>
      <w:r w:rsidRPr="00890129">
        <w:rPr>
          <w:rFonts w:ascii="宋体" w:eastAsia="宋体" w:hAnsi="宋体" w:cs="宋体"/>
          <w:kern w:val="0"/>
          <w:sz w:val="24"/>
          <w:szCs w:val="24"/>
        </w:rPr>
        <w:t>In</w:t>
      </w:r>
      <w:proofErr w:type="gramEnd"/>
      <w:r w:rsidRPr="00890129">
        <w:rPr>
          <w:rFonts w:ascii="宋体" w:eastAsia="宋体" w:hAnsi="宋体" w:cs="宋体"/>
          <w:kern w:val="0"/>
          <w:sz w:val="24"/>
          <w:szCs w:val="24"/>
        </w:rPr>
        <w:t xml:space="preserve"> September After More Than Three Years</w:t>
      </w:r>
    </w:p>
    <w:p w:rsidR="00890129" w:rsidRPr="00890129" w:rsidRDefault="00890129" w:rsidP="00890129">
      <w:pPr>
        <w:widowControl/>
        <w:spacing w:after="480"/>
        <w:jc w:val="center"/>
        <w:rPr>
          <w:rFonts w:ascii="宋体" w:eastAsia="宋体" w:hAnsi="宋体" w:cs="宋体"/>
          <w:kern w:val="0"/>
          <w:sz w:val="24"/>
          <w:szCs w:val="24"/>
        </w:rPr>
      </w:pPr>
      <w:r w:rsidRPr="00890129">
        <w:rPr>
          <w:rFonts w:ascii="宋体" w:eastAsia="宋体" w:hAnsi="宋体" w:cs="宋体"/>
          <w:kern w:val="0"/>
          <w:sz w:val="24"/>
          <w:szCs w:val="24"/>
        </w:rPr>
        <w:t>Hinge Delivered Double-Digit User, Revenue, and Payer Growth Y/Y</w:t>
      </w:r>
    </w:p>
    <w:p w:rsidR="00890129" w:rsidRPr="00890129" w:rsidRDefault="00890129" w:rsidP="00890129">
      <w:pPr>
        <w:widowControl/>
        <w:spacing w:after="480"/>
        <w:jc w:val="left"/>
        <w:rPr>
          <w:rFonts w:ascii="宋体" w:eastAsia="宋体" w:hAnsi="宋体" w:cs="宋体"/>
          <w:kern w:val="0"/>
          <w:sz w:val="24"/>
          <w:szCs w:val="24"/>
        </w:rPr>
      </w:pPr>
      <w:r w:rsidRPr="00890129">
        <w:rPr>
          <w:rFonts w:ascii="宋体" w:eastAsia="宋体" w:hAnsi="宋体" w:cs="宋体"/>
          <w:kern w:val="0"/>
          <w:sz w:val="24"/>
          <w:szCs w:val="24"/>
        </w:rPr>
        <w:lastRenderedPageBreak/>
        <w:t xml:space="preserve">LOS ANGELES, Nov. 2, 2026 /PRNewswire/ -- Match Group (NASDAQ: </w:t>
      </w:r>
      <w:hyperlink r:id="rId6" w:anchor="financial-modal" w:history="1">
        <w:r w:rsidRPr="00890129">
          <w:rPr>
            <w:rFonts w:ascii="宋体" w:eastAsia="宋体" w:hAnsi="宋体" w:cs="宋体"/>
            <w:b/>
            <w:bCs/>
            <w:color w:val="063369"/>
            <w:kern w:val="0"/>
            <w:sz w:val="24"/>
            <w:szCs w:val="24"/>
            <w:u w:val="single"/>
          </w:rPr>
          <w:t>MTCH</w:t>
        </w:r>
      </w:hyperlink>
      <w:r w:rsidRPr="00890129">
        <w:rPr>
          <w:rFonts w:ascii="宋体" w:eastAsia="宋体" w:hAnsi="宋体" w:cs="宋体"/>
          <w:kern w:val="0"/>
          <w:sz w:val="24"/>
          <w:szCs w:val="24"/>
        </w:rPr>
        <w:t>) today announced financial results for the third quarter ended September 30, 2026.</w:t>
      </w:r>
    </w:p>
    <w:p w:rsidR="00890129" w:rsidRPr="00890129" w:rsidRDefault="00890129" w:rsidP="00890129">
      <w:pPr>
        <w:widowControl/>
        <w:jc w:val="left"/>
        <w:rPr>
          <w:rFonts w:ascii="宋体" w:eastAsia="宋体" w:hAnsi="宋体" w:cs="宋体"/>
          <w:kern w:val="0"/>
          <w:sz w:val="24"/>
          <w:szCs w:val="24"/>
        </w:rPr>
      </w:pPr>
      <w:r w:rsidRPr="00890129">
        <w:rPr>
          <w:rFonts w:ascii="宋体" w:eastAsia="宋体" w:hAnsi="宋体" w:cs="宋体"/>
          <w:noProof/>
          <w:color w:val="063369"/>
          <w:kern w:val="0"/>
          <w:sz w:val="24"/>
          <w:szCs w:val="24"/>
        </w:rPr>
        <w:drawing>
          <wp:inline distT="0" distB="0" distL="0" distR="0">
            <wp:extent cx="4763135" cy="1494155"/>
            <wp:effectExtent l="0" t="0" r="0" b="0"/>
            <wp:docPr id="1" name="图片 1" descr="Match Group">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id_1" descr="Match Group">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3135" cy="1494155"/>
                    </a:xfrm>
                    <a:prstGeom prst="rect">
                      <a:avLst/>
                    </a:prstGeom>
                    <a:noFill/>
                    <a:ln>
                      <a:noFill/>
                    </a:ln>
                  </pic:spPr>
                </pic:pic>
              </a:graphicData>
            </a:graphic>
          </wp:inline>
        </w:drawing>
      </w:r>
    </w:p>
    <w:p w:rsidR="00890129" w:rsidRPr="00890129" w:rsidRDefault="00890129" w:rsidP="00890129">
      <w:pPr>
        <w:widowControl/>
        <w:jc w:val="left"/>
        <w:rPr>
          <w:rFonts w:ascii="宋体" w:eastAsia="宋体" w:hAnsi="宋体" w:cs="宋体"/>
          <w:kern w:val="0"/>
          <w:sz w:val="24"/>
          <w:szCs w:val="24"/>
        </w:rPr>
      </w:pPr>
      <w:r w:rsidRPr="00890129">
        <w:rPr>
          <w:rFonts w:ascii="宋体" w:eastAsia="宋体" w:hAnsi="宋体" w:cs="宋体"/>
          <w:kern w:val="0"/>
          <w:sz w:val="24"/>
          <w:szCs w:val="24"/>
        </w:rPr>
        <w:t>Match Group</w:t>
      </w:r>
    </w:p>
    <w:p w:rsidR="00890129" w:rsidRPr="00890129" w:rsidRDefault="00890129" w:rsidP="00890129">
      <w:pPr>
        <w:widowControl/>
        <w:spacing w:after="480"/>
        <w:jc w:val="left"/>
        <w:rPr>
          <w:rFonts w:ascii="宋体" w:eastAsia="宋体" w:hAnsi="宋体" w:cs="宋体"/>
          <w:kern w:val="0"/>
          <w:sz w:val="24"/>
          <w:szCs w:val="24"/>
        </w:rPr>
      </w:pPr>
      <w:r w:rsidRPr="00890129">
        <w:rPr>
          <w:rFonts w:ascii="宋体" w:eastAsia="宋体" w:hAnsi="宋体" w:cs="宋体"/>
          <w:kern w:val="0"/>
          <w:sz w:val="24"/>
          <w:szCs w:val="24"/>
        </w:rPr>
        <w:t xml:space="preserve">"For the past year, we've said better user experiences will drive better business results. While there's still work ahead, Q3 provided more proof points that this strategy is working," said CEO Spencer </w:t>
      </w:r>
      <w:proofErr w:type="spellStart"/>
      <w:r w:rsidRPr="00890129">
        <w:rPr>
          <w:rFonts w:ascii="宋体" w:eastAsia="宋体" w:hAnsi="宋体" w:cs="宋体"/>
          <w:kern w:val="0"/>
          <w:sz w:val="24"/>
          <w:szCs w:val="24"/>
        </w:rPr>
        <w:t>Rascoff</w:t>
      </w:r>
      <w:proofErr w:type="spellEnd"/>
      <w:r w:rsidRPr="00890129">
        <w:rPr>
          <w:rFonts w:ascii="宋体" w:eastAsia="宋体" w:hAnsi="宋体" w:cs="宋体"/>
          <w:kern w:val="0"/>
          <w:sz w:val="24"/>
          <w:szCs w:val="24"/>
        </w:rPr>
        <w:t>. "Tinder's Sparks</w:t>
      </w:r>
      <w:r w:rsidRPr="00890129">
        <w:rPr>
          <w:rFonts w:ascii="宋体" w:eastAsia="宋体" w:hAnsi="宋体" w:cs="宋体"/>
          <w:kern w:val="0"/>
          <w:sz w:val="18"/>
          <w:szCs w:val="18"/>
          <w:vertAlign w:val="superscript"/>
        </w:rPr>
        <w:t>1</w:t>
      </w:r>
      <w:r w:rsidRPr="00890129">
        <w:rPr>
          <w:rFonts w:ascii="宋体" w:eastAsia="宋体" w:hAnsi="宋体" w:cs="宋体"/>
          <w:kern w:val="0"/>
          <w:sz w:val="24"/>
          <w:szCs w:val="24"/>
        </w:rPr>
        <w:t xml:space="preserve"> and Sparks Coverage</w:t>
      </w:r>
      <w:r w:rsidRPr="00890129">
        <w:rPr>
          <w:rFonts w:ascii="宋体" w:eastAsia="宋体" w:hAnsi="宋体" w:cs="宋体"/>
          <w:kern w:val="0"/>
          <w:sz w:val="18"/>
          <w:szCs w:val="18"/>
          <w:vertAlign w:val="superscript"/>
        </w:rPr>
        <w:t>2</w:t>
      </w:r>
      <w:r w:rsidRPr="00890129">
        <w:rPr>
          <w:rFonts w:ascii="宋体" w:eastAsia="宋体" w:hAnsi="宋体" w:cs="宋体"/>
          <w:kern w:val="0"/>
          <w:sz w:val="24"/>
          <w:szCs w:val="24"/>
        </w:rPr>
        <w:t xml:space="preserve"> delivered their strongest quarterly Y/Y performance since we began tracking them, and Daily Active Users returned to Y/Y growth in September for the first time in three and a half years. The early results from Events and Group Hangouts show Tinder is building the right features, and we're doubling down on our 'Better with Friends' Roadmap to drive reconsideration. Hinge is a leader in intentional dating, and we see significant opportunities ahead in both its core and expansion markets. There is more to do, but we're delivering on the milestones we set, and our confidence is building as we head into 2027."</w:t>
      </w:r>
    </w:p>
    <w:p w:rsidR="00890129" w:rsidRPr="00890129" w:rsidRDefault="00890129" w:rsidP="00890129">
      <w:pPr>
        <w:widowControl/>
        <w:spacing w:after="480"/>
        <w:jc w:val="left"/>
        <w:rPr>
          <w:rFonts w:ascii="宋体" w:eastAsia="宋体" w:hAnsi="宋体" w:cs="宋体"/>
          <w:kern w:val="0"/>
          <w:sz w:val="24"/>
          <w:szCs w:val="24"/>
        </w:rPr>
      </w:pPr>
      <w:r w:rsidRPr="00890129">
        <w:rPr>
          <w:rFonts w:ascii="宋体" w:eastAsia="宋体" w:hAnsi="宋体" w:cs="宋体"/>
          <w:kern w:val="0"/>
          <w:sz w:val="24"/>
          <w:szCs w:val="24"/>
        </w:rPr>
        <w:t>"We delivered against our financial expectations this quarter, while the underlying trends at Tinder continued to improve," said CFO Steve Bailey. "Our disciplined approach to capital allocation has reduced diluted shares outstanding</w:t>
      </w:r>
      <w:r w:rsidRPr="00890129">
        <w:rPr>
          <w:rFonts w:ascii="宋体" w:eastAsia="宋体" w:hAnsi="宋体" w:cs="宋体"/>
          <w:kern w:val="0"/>
          <w:sz w:val="18"/>
          <w:szCs w:val="18"/>
          <w:vertAlign w:val="superscript"/>
        </w:rPr>
        <w:t>3</w:t>
      </w:r>
      <w:r w:rsidRPr="00890129">
        <w:rPr>
          <w:rFonts w:ascii="宋体" w:eastAsia="宋体" w:hAnsi="宋体" w:cs="宋体"/>
          <w:kern w:val="0"/>
          <w:sz w:val="24"/>
          <w:szCs w:val="24"/>
        </w:rPr>
        <w:t xml:space="preserve"> by 4% Y/Y</w:t>
      </w:r>
      <w:r w:rsidRPr="00890129">
        <w:rPr>
          <w:rFonts w:ascii="宋体" w:eastAsia="宋体" w:hAnsi="宋体" w:cs="宋体"/>
          <w:kern w:val="0"/>
          <w:sz w:val="18"/>
          <w:szCs w:val="18"/>
          <w:vertAlign w:val="superscript"/>
        </w:rPr>
        <w:t>4</w:t>
      </w:r>
      <w:r w:rsidRPr="00890129">
        <w:rPr>
          <w:rFonts w:ascii="宋体" w:eastAsia="宋体" w:hAnsi="宋体" w:cs="宋体"/>
          <w:kern w:val="0"/>
          <w:sz w:val="24"/>
          <w:szCs w:val="24"/>
        </w:rPr>
        <w:t>, and 10% since the beginning of 2025. Looking ahead, we're focused on translating Tinder's improving user trends into sustainable revenue growth in 2027, while continuing to deliver strong Free Cash Flow and shareholder return to shareholders."</w:t>
      </w:r>
    </w:p>
    <w:p w:rsidR="00890129" w:rsidRPr="00890129" w:rsidRDefault="00890129" w:rsidP="00890129">
      <w:pPr>
        <w:widowControl/>
        <w:spacing w:after="480"/>
        <w:jc w:val="left"/>
        <w:rPr>
          <w:rFonts w:ascii="宋体" w:eastAsia="宋体" w:hAnsi="宋体" w:cs="宋体"/>
          <w:kern w:val="0"/>
          <w:sz w:val="24"/>
          <w:szCs w:val="24"/>
        </w:rPr>
      </w:pPr>
      <w:r w:rsidRPr="00890129">
        <w:rPr>
          <w:rFonts w:ascii="宋体" w:eastAsia="宋体" w:hAnsi="宋体" w:cs="宋体"/>
          <w:b/>
          <w:bCs/>
          <w:kern w:val="0"/>
          <w:sz w:val="24"/>
          <w:szCs w:val="24"/>
          <w:u w:val="single"/>
        </w:rPr>
        <w:t>Dividend Declaration</w:t>
      </w:r>
    </w:p>
    <w:p w:rsidR="00890129" w:rsidRPr="00890129" w:rsidRDefault="00890129" w:rsidP="00890129">
      <w:pPr>
        <w:widowControl/>
        <w:spacing w:after="480"/>
        <w:jc w:val="left"/>
        <w:rPr>
          <w:rFonts w:ascii="宋体" w:eastAsia="宋体" w:hAnsi="宋体" w:cs="宋体"/>
          <w:kern w:val="0"/>
          <w:sz w:val="24"/>
          <w:szCs w:val="24"/>
        </w:rPr>
      </w:pPr>
      <w:r w:rsidRPr="00890129">
        <w:rPr>
          <w:rFonts w:ascii="宋体" w:eastAsia="宋体" w:hAnsi="宋体" w:cs="宋体"/>
          <w:kern w:val="0"/>
          <w:sz w:val="24"/>
          <w:szCs w:val="24"/>
        </w:rPr>
        <w:t>Match Group's Board of Directors has declared a cash dividend of $0.20 per share of the company's common stock. The dividend is payable on January 21, 2027 to shareholders of record as of January 6, 2027.</w:t>
      </w:r>
    </w:p>
    <w:p w:rsidR="00890129" w:rsidRPr="00890129" w:rsidRDefault="00890129" w:rsidP="00890129">
      <w:pPr>
        <w:widowControl/>
        <w:spacing w:after="480"/>
        <w:jc w:val="left"/>
        <w:rPr>
          <w:rFonts w:ascii="宋体" w:eastAsia="宋体" w:hAnsi="宋体" w:cs="宋体"/>
          <w:kern w:val="0"/>
          <w:sz w:val="24"/>
          <w:szCs w:val="24"/>
        </w:rPr>
      </w:pPr>
      <w:r w:rsidRPr="00890129">
        <w:rPr>
          <w:rFonts w:ascii="宋体" w:eastAsia="宋体" w:hAnsi="宋体" w:cs="宋体"/>
          <w:b/>
          <w:bCs/>
          <w:kern w:val="0"/>
          <w:sz w:val="24"/>
          <w:szCs w:val="24"/>
          <w:u w:val="single"/>
        </w:rPr>
        <w:lastRenderedPageBreak/>
        <w:t>Webcast and Prepared Remarks</w:t>
      </w:r>
    </w:p>
    <w:p w:rsidR="00890129" w:rsidRPr="00890129" w:rsidRDefault="00890129" w:rsidP="00890129">
      <w:pPr>
        <w:widowControl/>
        <w:spacing w:after="480"/>
        <w:jc w:val="left"/>
        <w:rPr>
          <w:rFonts w:ascii="宋体" w:eastAsia="宋体" w:hAnsi="宋体" w:cs="宋体"/>
          <w:kern w:val="0"/>
          <w:sz w:val="24"/>
          <w:szCs w:val="24"/>
        </w:rPr>
      </w:pPr>
      <w:r w:rsidRPr="00890129">
        <w:rPr>
          <w:rFonts w:ascii="宋体" w:eastAsia="宋体" w:hAnsi="宋体" w:cs="宋体"/>
          <w:kern w:val="0"/>
          <w:sz w:val="24"/>
          <w:szCs w:val="24"/>
        </w:rPr>
        <w:t xml:space="preserve">A webcast of our third quarter 2026 results will be available at </w:t>
      </w:r>
      <w:hyperlink r:id="rId8" w:tgtFrame="_blank" w:history="1">
        <w:r w:rsidRPr="00890129">
          <w:rPr>
            <w:rFonts w:ascii="宋体" w:eastAsia="宋体" w:hAnsi="宋体" w:cs="宋体"/>
            <w:b/>
            <w:bCs/>
            <w:color w:val="063369"/>
            <w:kern w:val="0"/>
            <w:sz w:val="24"/>
            <w:szCs w:val="24"/>
            <w:u w:val="single"/>
          </w:rPr>
          <w:t>https://ir.mtch.com</w:t>
        </w:r>
      </w:hyperlink>
      <w:r w:rsidRPr="00890129">
        <w:rPr>
          <w:rFonts w:ascii="宋体" w:eastAsia="宋体" w:hAnsi="宋体" w:cs="宋体"/>
          <w:kern w:val="0"/>
          <w:sz w:val="24"/>
          <w:szCs w:val="24"/>
        </w:rPr>
        <w:t>, along with our Prepared Remarks and Supplemental Financial Materials. The call will begin with brief remarks followed by a question and answer session. The webcast will begin today, November 2, 2026, at 5:00 PM Eastern Time.</w:t>
      </w:r>
    </w:p>
    <w:p w:rsidR="00890129" w:rsidRPr="00890129" w:rsidRDefault="00890129" w:rsidP="00890129">
      <w:pPr>
        <w:widowControl/>
        <w:spacing w:after="480"/>
        <w:jc w:val="left"/>
        <w:rPr>
          <w:rFonts w:ascii="宋体" w:eastAsia="宋体" w:hAnsi="宋体" w:cs="宋体"/>
          <w:kern w:val="0"/>
          <w:sz w:val="24"/>
          <w:szCs w:val="24"/>
        </w:rPr>
      </w:pPr>
      <w:r w:rsidRPr="00890129">
        <w:rPr>
          <w:rFonts w:ascii="宋体" w:eastAsia="宋体" w:hAnsi="宋体" w:cs="宋体"/>
          <w:b/>
          <w:bCs/>
          <w:kern w:val="0"/>
          <w:sz w:val="24"/>
          <w:szCs w:val="24"/>
        </w:rPr>
        <w:t>About Match Group</w:t>
      </w:r>
    </w:p>
    <w:p w:rsidR="00890129" w:rsidRPr="00890129" w:rsidRDefault="00890129" w:rsidP="00890129">
      <w:pPr>
        <w:widowControl/>
        <w:spacing w:after="480"/>
        <w:jc w:val="left"/>
        <w:rPr>
          <w:rFonts w:ascii="宋体" w:eastAsia="宋体" w:hAnsi="宋体" w:cs="宋体"/>
          <w:kern w:val="0"/>
          <w:sz w:val="24"/>
          <w:szCs w:val="24"/>
        </w:rPr>
      </w:pPr>
      <w:r w:rsidRPr="00890129">
        <w:rPr>
          <w:rFonts w:ascii="宋体" w:eastAsia="宋体" w:hAnsi="宋体" w:cs="宋体"/>
          <w:kern w:val="0"/>
          <w:sz w:val="24"/>
          <w:szCs w:val="24"/>
        </w:rPr>
        <w:t xml:space="preserve">Match Group is leading the next chapter of human connection. Our global portfolio of brands — including Tinder, Hinge, Match, Pairs, BLK, Upward, </w:t>
      </w:r>
      <w:proofErr w:type="spellStart"/>
      <w:r w:rsidRPr="00890129">
        <w:rPr>
          <w:rFonts w:ascii="宋体" w:eastAsia="宋体" w:hAnsi="宋体" w:cs="宋体"/>
          <w:kern w:val="0"/>
          <w:sz w:val="24"/>
          <w:szCs w:val="24"/>
        </w:rPr>
        <w:t>OurTime</w:t>
      </w:r>
      <w:proofErr w:type="spellEnd"/>
      <w:r w:rsidRPr="00890129">
        <w:rPr>
          <w:rFonts w:ascii="宋体" w:eastAsia="宋体" w:hAnsi="宋体" w:cs="宋体"/>
          <w:kern w:val="0"/>
          <w:sz w:val="24"/>
          <w:szCs w:val="24"/>
        </w:rPr>
        <w:t xml:space="preserve">, The League, HER, </w:t>
      </w:r>
      <w:proofErr w:type="spellStart"/>
      <w:r w:rsidRPr="00890129">
        <w:rPr>
          <w:rFonts w:ascii="宋体" w:eastAsia="宋体" w:hAnsi="宋体" w:cs="宋体"/>
          <w:kern w:val="0"/>
          <w:sz w:val="24"/>
          <w:szCs w:val="24"/>
        </w:rPr>
        <w:t>Azar</w:t>
      </w:r>
      <w:proofErr w:type="spellEnd"/>
      <w:r w:rsidRPr="00890129">
        <w:rPr>
          <w:rFonts w:ascii="宋体" w:eastAsia="宋体" w:hAnsi="宋体" w:cs="宋体"/>
          <w:kern w:val="0"/>
          <w:sz w:val="24"/>
          <w:szCs w:val="24"/>
        </w:rPr>
        <w:t xml:space="preserve">, and more — sparks meaningful real-world connections across cultures, communities, and every stage of life. Learn more at </w:t>
      </w:r>
      <w:hyperlink r:id="rId9" w:tgtFrame="_blank" w:history="1">
        <w:r w:rsidRPr="00890129">
          <w:rPr>
            <w:rFonts w:ascii="宋体" w:eastAsia="宋体" w:hAnsi="宋体" w:cs="宋体"/>
            <w:b/>
            <w:bCs/>
            <w:color w:val="063369"/>
            <w:kern w:val="0"/>
            <w:sz w:val="24"/>
            <w:szCs w:val="24"/>
            <w:u w:val="single"/>
          </w:rPr>
          <w:t>www.mtch.com</w:t>
        </w:r>
      </w:hyperlink>
      <w:r w:rsidRPr="00890129">
        <w:rPr>
          <w:rFonts w:ascii="宋体" w:eastAsia="宋体" w:hAnsi="宋体" w:cs="宋体"/>
          <w:kern w:val="0"/>
          <w:sz w:val="24"/>
          <w:szCs w:val="24"/>
        </w:rPr>
        <w:t>.</w:t>
      </w:r>
    </w:p>
    <w:p w:rsidR="00890129" w:rsidRPr="00890129" w:rsidRDefault="00890129" w:rsidP="00890129">
      <w:pPr>
        <w:widowControl/>
        <w:spacing w:after="480"/>
        <w:jc w:val="left"/>
        <w:rPr>
          <w:rFonts w:ascii="宋体" w:eastAsia="宋体" w:hAnsi="宋体" w:cs="宋体"/>
          <w:kern w:val="0"/>
          <w:sz w:val="24"/>
          <w:szCs w:val="24"/>
        </w:rPr>
      </w:pPr>
      <w:r w:rsidRPr="00890129">
        <w:rPr>
          <w:rFonts w:ascii="宋体" w:eastAsia="宋体" w:hAnsi="宋体" w:cs="宋体"/>
          <w:b/>
          <w:bCs/>
          <w:kern w:val="0"/>
          <w:sz w:val="24"/>
          <w:szCs w:val="24"/>
        </w:rPr>
        <w:t xml:space="preserve">Safe Harbor Statement </w:t>
      </w:r>
      <w:proofErr w:type="gramStart"/>
      <w:r w:rsidRPr="00890129">
        <w:rPr>
          <w:rFonts w:ascii="宋体" w:eastAsia="宋体" w:hAnsi="宋体" w:cs="宋体"/>
          <w:b/>
          <w:bCs/>
          <w:kern w:val="0"/>
          <w:sz w:val="24"/>
          <w:szCs w:val="24"/>
        </w:rPr>
        <w:t>Under</w:t>
      </w:r>
      <w:proofErr w:type="gramEnd"/>
      <w:r w:rsidRPr="00890129">
        <w:rPr>
          <w:rFonts w:ascii="宋体" w:eastAsia="宋体" w:hAnsi="宋体" w:cs="宋体"/>
          <w:b/>
          <w:bCs/>
          <w:kern w:val="0"/>
          <w:sz w:val="24"/>
          <w:szCs w:val="24"/>
        </w:rPr>
        <w:t xml:space="preserve"> the Private Securities Litigation Reform Act of 1995</w:t>
      </w:r>
    </w:p>
    <w:p w:rsidR="00890129" w:rsidRPr="00890129" w:rsidRDefault="00890129" w:rsidP="00890129">
      <w:pPr>
        <w:widowControl/>
        <w:spacing w:after="480"/>
        <w:jc w:val="left"/>
        <w:rPr>
          <w:rFonts w:ascii="宋体" w:eastAsia="宋体" w:hAnsi="宋体" w:cs="宋体"/>
          <w:kern w:val="0"/>
          <w:sz w:val="24"/>
          <w:szCs w:val="24"/>
        </w:rPr>
      </w:pPr>
      <w:r w:rsidRPr="00890129">
        <w:rPr>
          <w:rFonts w:ascii="宋体" w:eastAsia="宋体" w:hAnsi="宋体" w:cs="宋体"/>
          <w:kern w:val="0"/>
          <w:sz w:val="24"/>
          <w:szCs w:val="24"/>
        </w:rPr>
        <w:t xml:space="preserve">This press release and our webcast, which will be held at 5:00 PM Eastern Time on November 2, 2026, may contain "forward-looking statements" within the meaning of the Private Securities Litigation Reform Act of 1995. All statements that are not historical facts are "forward-looking statements." The use of words such as "anticipates," "estimates," "expects," "plans," "believes," "will," and "would," among others, generally identify forward-looking statements. These forward-looking statements include, among others, statements relating to: Match Group's future financial performance, Match Group's business prospects and strategy, anticipated trends, and other similar matters. These forward-looking statements are based on management's current expectations and assumptions about future events, which are inherently subject to uncertainties, risks and changes in circumstances that are difficult to predict. Actual results could differ materially from those contained in these forward-looking statements for a variety of reasons, including, among others: failure to retain existing users or add new users, or if users do not convert to paying users; competition; risks related to our restructuring and reorganization activities; our ability to attract and retain users through cost-effective marketing efforts; our reliance on a variety of third-party platforms, in particular, mobile app stores; our ability to realize reductions in in-app purchase fees; inappropriate actions by certain of our users could be </w:t>
      </w:r>
      <w:r w:rsidRPr="00890129">
        <w:rPr>
          <w:rFonts w:ascii="宋体" w:eastAsia="宋体" w:hAnsi="宋体" w:cs="宋体"/>
          <w:kern w:val="0"/>
          <w:sz w:val="24"/>
          <w:szCs w:val="24"/>
        </w:rPr>
        <w:lastRenderedPageBreak/>
        <w:t xml:space="preserve">attributed to us or may not be adequately prevented by us; dependence on our key personnel; volatile global economic conditions; operational and financial risks in connection with acquisitions; impairment charges related to our intangible assets; operations in various international markets, including certain markets in which we have limited experience; foreign currency exchange rate fluctuations; challenges in measuring our user metrics and other estimates; the limited operating history of our newer brands and services makes it difficult to evaluate our current business and future prospects; impacts of climate change; the integrity of our and third parties' systems and infrastructure; </w:t>
      </w:r>
      <w:proofErr w:type="spellStart"/>
      <w:r w:rsidRPr="00890129">
        <w:rPr>
          <w:rFonts w:ascii="宋体" w:eastAsia="宋体" w:hAnsi="宋体" w:cs="宋体"/>
          <w:kern w:val="0"/>
          <w:sz w:val="24"/>
          <w:szCs w:val="24"/>
        </w:rPr>
        <w:t>cyberattacks</w:t>
      </w:r>
      <w:proofErr w:type="spellEnd"/>
      <w:r w:rsidRPr="00890129">
        <w:rPr>
          <w:rFonts w:ascii="宋体" w:eastAsia="宋体" w:hAnsi="宋体" w:cs="宋体"/>
          <w:kern w:val="0"/>
          <w:sz w:val="24"/>
          <w:szCs w:val="24"/>
        </w:rPr>
        <w:t xml:space="preserve"> on our systems and infrastructure and </w:t>
      </w:r>
      <w:proofErr w:type="spellStart"/>
      <w:r w:rsidRPr="00890129">
        <w:rPr>
          <w:rFonts w:ascii="宋体" w:eastAsia="宋体" w:hAnsi="宋体" w:cs="宋体"/>
          <w:kern w:val="0"/>
          <w:sz w:val="24"/>
          <w:szCs w:val="24"/>
        </w:rPr>
        <w:t>cyberattacks</w:t>
      </w:r>
      <w:proofErr w:type="spellEnd"/>
      <w:r w:rsidRPr="00890129">
        <w:rPr>
          <w:rFonts w:ascii="宋体" w:eastAsia="宋体" w:hAnsi="宋体" w:cs="宋体"/>
          <w:kern w:val="0"/>
          <w:sz w:val="24"/>
          <w:szCs w:val="24"/>
        </w:rPr>
        <w:t xml:space="preserve"> experienced by third parties; our ability to access, collect, and use personal data about our users; breaches or unauthorized access of personal and confidential or sensitive user information that we maintain and store; challenges with properly managing the use of artificial intelligence; risks related to credit card payments; risks related to our use of "open source" software; complex and evolving U.S., foreign, and international laws and regulations; our ability to protect our intellectual property rights or accusations that we infringe upon the intellectual property rights of others; adverse outcomes in litigation; risks related to our taxation in multiple jurisdictions; risks related to our indebtedness; and risks relating to ownership of our common stock. Certain of these and other risks and uncertainties are discussed in Match Group's filings with the Securities and Exchange Commission. Other unknown or unpredictable factors that could also adversely affect Match Group's business, financial condition and results of operations may arise from time to time. In light of these risks and uncertainties, these forward-looking statements may not prove to be accurate. Accordingly, you should not place undue reliance on these forward-looking statements, which only reflect the views of Match Group management as of the date of this press release. Match Group does not undertake to update these forward-looking statements.</w:t>
      </w:r>
    </w:p>
    <w:p w:rsidR="00890129" w:rsidRPr="00890129" w:rsidRDefault="00890129" w:rsidP="00890129">
      <w:pPr>
        <w:widowControl/>
        <w:spacing w:after="480"/>
        <w:jc w:val="left"/>
        <w:rPr>
          <w:rFonts w:ascii="宋体" w:eastAsia="宋体" w:hAnsi="宋体" w:cs="宋体"/>
          <w:kern w:val="0"/>
          <w:sz w:val="24"/>
          <w:szCs w:val="24"/>
        </w:rPr>
      </w:pPr>
      <w:r w:rsidRPr="00890129">
        <w:rPr>
          <w:rFonts w:ascii="宋体" w:eastAsia="宋体" w:hAnsi="宋体" w:cs="宋体"/>
          <w:kern w:val="0"/>
          <w:sz w:val="18"/>
          <w:szCs w:val="18"/>
          <w:vertAlign w:val="superscript"/>
        </w:rPr>
        <w:t>1</w:t>
      </w:r>
      <w:r w:rsidRPr="00890129">
        <w:rPr>
          <w:rFonts w:ascii="宋体" w:eastAsia="宋体" w:hAnsi="宋体" w:cs="宋体"/>
          <w:kern w:val="0"/>
          <w:sz w:val="24"/>
          <w:szCs w:val="24"/>
        </w:rPr>
        <w:t xml:space="preserve"> Sparks is the number of users engaging in six-way conversations at a brand level in a given week.</w:t>
      </w:r>
      <w:r w:rsidRPr="00890129">
        <w:rPr>
          <w:rFonts w:ascii="宋体" w:eastAsia="宋体" w:hAnsi="宋体" w:cs="宋体"/>
          <w:kern w:val="0"/>
          <w:sz w:val="24"/>
          <w:szCs w:val="24"/>
        </w:rPr>
        <w:br/>
      </w:r>
      <w:r w:rsidRPr="00890129">
        <w:rPr>
          <w:rFonts w:ascii="宋体" w:eastAsia="宋体" w:hAnsi="宋体" w:cs="宋体"/>
          <w:kern w:val="0"/>
          <w:sz w:val="24"/>
          <w:szCs w:val="24"/>
        </w:rPr>
        <w:br/>
      </w:r>
      <w:r w:rsidRPr="00890129">
        <w:rPr>
          <w:rFonts w:ascii="宋体" w:eastAsia="宋体" w:hAnsi="宋体" w:cs="宋体"/>
          <w:kern w:val="0"/>
          <w:sz w:val="18"/>
          <w:szCs w:val="18"/>
          <w:vertAlign w:val="superscript"/>
        </w:rPr>
        <w:t>2</w:t>
      </w:r>
      <w:r w:rsidRPr="00890129">
        <w:rPr>
          <w:rFonts w:ascii="宋体" w:eastAsia="宋体" w:hAnsi="宋体" w:cs="宋体"/>
          <w:kern w:val="0"/>
          <w:sz w:val="24"/>
          <w:szCs w:val="24"/>
        </w:rPr>
        <w:t xml:space="preserve"> Sparks Coverage is the percentage of active users at a brand level who experience a Spark in a given period.</w:t>
      </w:r>
      <w:r w:rsidRPr="00890129">
        <w:rPr>
          <w:rFonts w:ascii="宋体" w:eastAsia="宋体" w:hAnsi="宋体" w:cs="宋体"/>
          <w:kern w:val="0"/>
          <w:sz w:val="24"/>
          <w:szCs w:val="24"/>
        </w:rPr>
        <w:br/>
      </w:r>
      <w:r w:rsidRPr="00890129">
        <w:rPr>
          <w:rFonts w:ascii="宋体" w:eastAsia="宋体" w:hAnsi="宋体" w:cs="宋体"/>
          <w:kern w:val="0"/>
          <w:sz w:val="24"/>
          <w:szCs w:val="24"/>
        </w:rPr>
        <w:br/>
      </w:r>
      <w:r w:rsidRPr="00890129">
        <w:rPr>
          <w:rFonts w:ascii="宋体" w:eastAsia="宋体" w:hAnsi="宋体" w:cs="宋体"/>
          <w:kern w:val="0"/>
          <w:sz w:val="18"/>
          <w:szCs w:val="18"/>
          <w:vertAlign w:val="superscript"/>
        </w:rPr>
        <w:t>3</w:t>
      </w:r>
      <w:r w:rsidRPr="00890129">
        <w:rPr>
          <w:rFonts w:ascii="宋体" w:eastAsia="宋体" w:hAnsi="宋体" w:cs="宋体"/>
          <w:kern w:val="0"/>
          <w:sz w:val="24"/>
          <w:szCs w:val="24"/>
        </w:rPr>
        <w:t xml:space="preserve"> As defined on page 19 of Match Group's Q3 2026 Prepared Remarks.</w:t>
      </w:r>
      <w:r w:rsidRPr="00890129">
        <w:rPr>
          <w:rFonts w:ascii="宋体" w:eastAsia="宋体" w:hAnsi="宋体" w:cs="宋体"/>
          <w:kern w:val="0"/>
          <w:sz w:val="24"/>
          <w:szCs w:val="24"/>
        </w:rPr>
        <w:br/>
      </w:r>
      <w:r w:rsidRPr="00890129">
        <w:rPr>
          <w:rFonts w:ascii="宋体" w:eastAsia="宋体" w:hAnsi="宋体" w:cs="宋体"/>
          <w:kern w:val="0"/>
          <w:sz w:val="24"/>
          <w:szCs w:val="24"/>
        </w:rPr>
        <w:br/>
      </w:r>
      <w:r w:rsidRPr="00890129">
        <w:rPr>
          <w:rFonts w:ascii="宋体" w:eastAsia="宋体" w:hAnsi="宋体" w:cs="宋体"/>
          <w:kern w:val="0"/>
          <w:sz w:val="18"/>
          <w:szCs w:val="18"/>
          <w:vertAlign w:val="superscript"/>
        </w:rPr>
        <w:t>4</w:t>
      </w:r>
      <w:r w:rsidRPr="00890129">
        <w:rPr>
          <w:rFonts w:ascii="宋体" w:eastAsia="宋体" w:hAnsi="宋体" w:cs="宋体"/>
          <w:kern w:val="0"/>
          <w:sz w:val="24"/>
          <w:szCs w:val="24"/>
        </w:rPr>
        <w:t xml:space="preserve"> As of October 31, 2026.</w:t>
      </w:r>
    </w:p>
    <w:p w:rsidR="00890129" w:rsidRPr="00890129" w:rsidRDefault="00890129" w:rsidP="00890129">
      <w:pPr>
        <w:widowControl/>
        <w:spacing w:after="480"/>
        <w:jc w:val="left"/>
        <w:rPr>
          <w:rFonts w:ascii="宋体" w:eastAsia="宋体" w:hAnsi="宋体" w:cs="宋体"/>
          <w:kern w:val="0"/>
          <w:sz w:val="24"/>
          <w:szCs w:val="24"/>
        </w:rPr>
      </w:pPr>
      <w:r w:rsidRPr="00890129">
        <w:rPr>
          <w:rFonts w:ascii="宋体" w:eastAsia="宋体" w:hAnsi="宋体" w:cs="宋体"/>
          <w:kern w:val="0"/>
          <w:sz w:val="24"/>
          <w:szCs w:val="24"/>
        </w:rPr>
        <w:lastRenderedPageBreak/>
        <w:t>SOURCE Match Group</w:t>
      </w:r>
    </w:p>
    <w:p w:rsidR="00D75BE2" w:rsidRDefault="00D75BE2">
      <w:bookmarkStart w:id="0" w:name="_GoBack"/>
      <w:bookmarkEnd w:id="0"/>
    </w:p>
    <w:sectPr w:rsidR="00D75BE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214F51"/>
    <w:multiLevelType w:val="multilevel"/>
    <w:tmpl w:val="20D27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129"/>
    <w:rsid w:val="00890129"/>
    <w:rsid w:val="00D75B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091EAE-A527-4752-B588-DA67B0A4D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Char"/>
    <w:uiPriority w:val="9"/>
    <w:qFormat/>
    <w:rsid w:val="00890129"/>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Char"/>
    <w:uiPriority w:val="9"/>
    <w:qFormat/>
    <w:rsid w:val="00890129"/>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890129"/>
    <w:rPr>
      <w:rFonts w:ascii="宋体" w:eastAsia="宋体" w:hAnsi="宋体" w:cs="宋体"/>
      <w:b/>
      <w:bCs/>
      <w:kern w:val="36"/>
      <w:sz w:val="48"/>
      <w:szCs w:val="48"/>
    </w:rPr>
  </w:style>
  <w:style w:type="character" w:customStyle="1" w:styleId="2Char">
    <w:name w:val="标题 2 Char"/>
    <w:basedOn w:val="a0"/>
    <w:link w:val="2"/>
    <w:uiPriority w:val="9"/>
    <w:rsid w:val="00890129"/>
    <w:rPr>
      <w:rFonts w:ascii="宋体" w:eastAsia="宋体" w:hAnsi="宋体" w:cs="宋体"/>
      <w:b/>
      <w:bCs/>
      <w:kern w:val="0"/>
      <w:sz w:val="36"/>
      <w:szCs w:val="36"/>
    </w:rPr>
  </w:style>
  <w:style w:type="character" w:styleId="a3">
    <w:name w:val="Hyperlink"/>
    <w:basedOn w:val="a0"/>
    <w:uiPriority w:val="99"/>
    <w:semiHidden/>
    <w:unhideWhenUsed/>
    <w:rsid w:val="00890129"/>
    <w:rPr>
      <w:color w:val="0000FF"/>
      <w:u w:val="single"/>
    </w:rPr>
  </w:style>
  <w:style w:type="character" w:styleId="a4">
    <w:name w:val="Strong"/>
    <w:basedOn w:val="a0"/>
    <w:uiPriority w:val="22"/>
    <w:qFormat/>
    <w:rsid w:val="00890129"/>
    <w:rPr>
      <w:b/>
      <w:bCs/>
    </w:rPr>
  </w:style>
  <w:style w:type="paragraph" w:customStyle="1" w:styleId="mb-no">
    <w:name w:val="mb-no"/>
    <w:basedOn w:val="a"/>
    <w:rsid w:val="00890129"/>
    <w:pPr>
      <w:widowControl/>
      <w:spacing w:before="100" w:beforeAutospacing="1" w:after="100" w:afterAutospacing="1"/>
      <w:jc w:val="left"/>
    </w:pPr>
    <w:rPr>
      <w:rFonts w:ascii="宋体" w:eastAsia="宋体" w:hAnsi="宋体" w:cs="宋体"/>
      <w:kern w:val="0"/>
      <w:sz w:val="24"/>
      <w:szCs w:val="24"/>
    </w:rPr>
  </w:style>
  <w:style w:type="paragraph" w:customStyle="1" w:styleId="prntac">
    <w:name w:val="prntac"/>
    <w:basedOn w:val="a"/>
    <w:rsid w:val="00890129"/>
    <w:pPr>
      <w:widowControl/>
      <w:spacing w:before="100" w:beforeAutospacing="1" w:after="100" w:afterAutospacing="1"/>
      <w:jc w:val="left"/>
    </w:pPr>
    <w:rPr>
      <w:rFonts w:ascii="宋体" w:eastAsia="宋体" w:hAnsi="宋体" w:cs="宋体"/>
      <w:kern w:val="0"/>
      <w:sz w:val="24"/>
      <w:szCs w:val="24"/>
    </w:rPr>
  </w:style>
  <w:style w:type="paragraph" w:styleId="a5">
    <w:name w:val="Normal (Web)"/>
    <w:basedOn w:val="a"/>
    <w:uiPriority w:val="99"/>
    <w:semiHidden/>
    <w:unhideWhenUsed/>
    <w:rsid w:val="00890129"/>
    <w:pPr>
      <w:widowControl/>
      <w:spacing w:before="100" w:beforeAutospacing="1" w:after="100" w:afterAutospacing="1"/>
      <w:jc w:val="left"/>
    </w:pPr>
    <w:rPr>
      <w:rFonts w:ascii="宋体" w:eastAsia="宋体" w:hAnsi="宋体" w:cs="宋体"/>
      <w:kern w:val="0"/>
      <w:sz w:val="24"/>
      <w:szCs w:val="24"/>
    </w:rPr>
  </w:style>
  <w:style w:type="character" w:customStyle="1" w:styleId="legendspanclass">
    <w:name w:val="legendspanclass"/>
    <w:basedOn w:val="a0"/>
    <w:rsid w:val="008901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8109193">
      <w:bodyDiv w:val="1"/>
      <w:marLeft w:val="0"/>
      <w:marRight w:val="0"/>
      <w:marTop w:val="0"/>
      <w:marBottom w:val="0"/>
      <w:divBdr>
        <w:top w:val="none" w:sz="0" w:space="0" w:color="auto"/>
        <w:left w:val="none" w:sz="0" w:space="0" w:color="auto"/>
        <w:bottom w:val="none" w:sz="0" w:space="0" w:color="auto"/>
        <w:right w:val="none" w:sz="0" w:space="0" w:color="auto"/>
      </w:divBdr>
      <w:divsChild>
        <w:div w:id="1304697253">
          <w:marLeft w:val="0"/>
          <w:marRight w:val="0"/>
          <w:marTop w:val="100"/>
          <w:marBottom w:val="100"/>
          <w:divBdr>
            <w:top w:val="none" w:sz="0" w:space="0" w:color="auto"/>
            <w:left w:val="none" w:sz="0" w:space="0" w:color="auto"/>
            <w:bottom w:val="none" w:sz="0" w:space="0" w:color="auto"/>
            <w:right w:val="none" w:sz="0" w:space="0" w:color="auto"/>
          </w:divBdr>
          <w:divsChild>
            <w:div w:id="664554366">
              <w:marLeft w:val="-225"/>
              <w:marRight w:val="-225"/>
              <w:marTop w:val="0"/>
              <w:marBottom w:val="0"/>
              <w:divBdr>
                <w:top w:val="none" w:sz="0" w:space="0" w:color="auto"/>
                <w:left w:val="none" w:sz="0" w:space="0" w:color="auto"/>
                <w:bottom w:val="none" w:sz="0" w:space="0" w:color="auto"/>
                <w:right w:val="none" w:sz="0" w:space="0" w:color="auto"/>
              </w:divBdr>
              <w:divsChild>
                <w:div w:id="1207402402">
                  <w:marLeft w:val="0"/>
                  <w:marRight w:val="0"/>
                  <w:marTop w:val="0"/>
                  <w:marBottom w:val="0"/>
                  <w:divBdr>
                    <w:top w:val="none" w:sz="0" w:space="0" w:color="auto"/>
                    <w:left w:val="none" w:sz="0" w:space="0" w:color="auto"/>
                    <w:bottom w:val="none" w:sz="0" w:space="0" w:color="auto"/>
                    <w:right w:val="none" w:sz="0" w:space="0" w:color="auto"/>
                  </w:divBdr>
                  <w:divsChild>
                    <w:div w:id="1985045579">
                      <w:marLeft w:val="-225"/>
                      <w:marRight w:val="-225"/>
                      <w:marTop w:val="0"/>
                      <w:marBottom w:val="0"/>
                      <w:divBdr>
                        <w:top w:val="none" w:sz="0" w:space="0" w:color="auto"/>
                        <w:left w:val="none" w:sz="0" w:space="0" w:color="auto"/>
                        <w:bottom w:val="none" w:sz="0" w:space="0" w:color="auto"/>
                        <w:right w:val="none" w:sz="0" w:space="0" w:color="auto"/>
                      </w:divBdr>
                      <w:divsChild>
                        <w:div w:id="199919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835643">
              <w:marLeft w:val="-225"/>
              <w:marRight w:val="-225"/>
              <w:marTop w:val="0"/>
              <w:marBottom w:val="0"/>
              <w:divBdr>
                <w:top w:val="none" w:sz="0" w:space="0" w:color="auto"/>
                <w:left w:val="none" w:sz="0" w:space="0" w:color="auto"/>
                <w:bottom w:val="none" w:sz="0" w:space="0" w:color="auto"/>
                <w:right w:val="none" w:sz="0" w:space="0" w:color="auto"/>
              </w:divBdr>
              <w:divsChild>
                <w:div w:id="836654005">
                  <w:marLeft w:val="0"/>
                  <w:marRight w:val="0"/>
                  <w:marTop w:val="0"/>
                  <w:marBottom w:val="0"/>
                  <w:divBdr>
                    <w:top w:val="none" w:sz="0" w:space="0" w:color="auto"/>
                    <w:left w:val="none" w:sz="0" w:space="0" w:color="auto"/>
                    <w:bottom w:val="none" w:sz="0" w:space="0" w:color="auto"/>
                    <w:right w:val="none" w:sz="0" w:space="0" w:color="auto"/>
                  </w:divBdr>
                </w:div>
              </w:divsChild>
            </w:div>
            <w:div w:id="715395267">
              <w:marLeft w:val="-225"/>
              <w:marRight w:val="-225"/>
              <w:marTop w:val="0"/>
              <w:marBottom w:val="0"/>
              <w:divBdr>
                <w:top w:val="none" w:sz="0" w:space="0" w:color="auto"/>
                <w:left w:val="none" w:sz="0" w:space="0" w:color="auto"/>
                <w:bottom w:val="none" w:sz="0" w:space="0" w:color="auto"/>
                <w:right w:val="none" w:sz="0" w:space="0" w:color="auto"/>
              </w:divBdr>
              <w:divsChild>
                <w:div w:id="1155292355">
                  <w:marLeft w:val="0"/>
                  <w:marRight w:val="0"/>
                  <w:marTop w:val="0"/>
                  <w:marBottom w:val="0"/>
                  <w:divBdr>
                    <w:top w:val="none" w:sz="0" w:space="0" w:color="auto"/>
                    <w:left w:val="none" w:sz="0" w:space="0" w:color="auto"/>
                    <w:bottom w:val="none" w:sz="0" w:space="0" w:color="auto"/>
                    <w:right w:val="none" w:sz="0" w:space="0" w:color="auto"/>
                  </w:divBdr>
                </w:div>
                <w:div w:id="1646468729">
                  <w:marLeft w:val="0"/>
                  <w:marRight w:val="0"/>
                  <w:marTop w:val="0"/>
                  <w:marBottom w:val="0"/>
                  <w:divBdr>
                    <w:top w:val="none" w:sz="0" w:space="0" w:color="auto"/>
                    <w:left w:val="none" w:sz="0" w:space="0" w:color="auto"/>
                    <w:bottom w:val="none" w:sz="0" w:space="0" w:color="auto"/>
                    <w:right w:val="none" w:sz="0" w:space="0" w:color="auto"/>
                  </w:divBdr>
                  <w:divsChild>
                    <w:div w:id="1851138930">
                      <w:marLeft w:val="0"/>
                      <w:marRight w:val="0"/>
                      <w:marTop w:val="0"/>
                      <w:marBottom w:val="0"/>
                      <w:divBdr>
                        <w:top w:val="none" w:sz="0" w:space="0" w:color="auto"/>
                        <w:left w:val="none" w:sz="0" w:space="0" w:color="auto"/>
                        <w:bottom w:val="none" w:sz="0" w:space="0" w:color="auto"/>
                        <w:right w:val="none" w:sz="0" w:space="0" w:color="auto"/>
                      </w:divBdr>
                      <w:divsChild>
                        <w:div w:id="65634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696996">
              <w:marLeft w:val="-225"/>
              <w:marRight w:val="-225"/>
              <w:marTop w:val="0"/>
              <w:marBottom w:val="0"/>
              <w:divBdr>
                <w:top w:val="none" w:sz="0" w:space="0" w:color="auto"/>
                <w:left w:val="none" w:sz="0" w:space="0" w:color="auto"/>
                <w:bottom w:val="none" w:sz="0" w:space="0" w:color="auto"/>
                <w:right w:val="none" w:sz="0" w:space="0" w:color="auto"/>
              </w:divBdr>
              <w:divsChild>
                <w:div w:id="32690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02016">
          <w:marLeft w:val="-225"/>
          <w:marRight w:val="-225"/>
          <w:marTop w:val="0"/>
          <w:marBottom w:val="0"/>
          <w:divBdr>
            <w:top w:val="none" w:sz="0" w:space="0" w:color="auto"/>
            <w:left w:val="none" w:sz="0" w:space="0" w:color="auto"/>
            <w:bottom w:val="none" w:sz="0" w:space="0" w:color="auto"/>
            <w:right w:val="none" w:sz="0" w:space="0" w:color="auto"/>
          </w:divBdr>
          <w:divsChild>
            <w:div w:id="133259473">
              <w:marLeft w:val="1463"/>
              <w:marRight w:val="0"/>
              <w:marTop w:val="0"/>
              <w:marBottom w:val="0"/>
              <w:divBdr>
                <w:top w:val="none" w:sz="0" w:space="0" w:color="auto"/>
                <w:left w:val="none" w:sz="0" w:space="0" w:color="auto"/>
                <w:bottom w:val="none" w:sz="0" w:space="0" w:color="auto"/>
                <w:right w:val="none" w:sz="0" w:space="0" w:color="auto"/>
              </w:divBdr>
              <w:divsChild>
                <w:div w:id="1990665382">
                  <w:marLeft w:val="0"/>
                  <w:marRight w:val="0"/>
                  <w:marTop w:val="0"/>
                  <w:marBottom w:val="0"/>
                  <w:divBdr>
                    <w:top w:val="none" w:sz="0" w:space="0" w:color="auto"/>
                    <w:left w:val="none" w:sz="0" w:space="0" w:color="auto"/>
                    <w:bottom w:val="none" w:sz="0" w:space="0" w:color="auto"/>
                    <w:right w:val="none" w:sz="0" w:space="0" w:color="auto"/>
                  </w:divBdr>
                  <w:divsChild>
                    <w:div w:id="1254239024">
                      <w:marLeft w:val="450"/>
                      <w:marRight w:val="-1875"/>
                      <w:marTop w:val="0"/>
                      <w:marBottom w:val="0"/>
                      <w:divBdr>
                        <w:top w:val="none" w:sz="0" w:space="0" w:color="auto"/>
                        <w:left w:val="none" w:sz="0" w:space="0" w:color="auto"/>
                        <w:bottom w:val="none" w:sz="0" w:space="0" w:color="auto"/>
                        <w:right w:val="none" w:sz="0" w:space="0" w:color="auto"/>
                      </w:divBdr>
                      <w:divsChild>
                        <w:div w:id="1750544666">
                          <w:marLeft w:val="0"/>
                          <w:marRight w:val="0"/>
                          <w:marTop w:val="0"/>
                          <w:marBottom w:val="150"/>
                          <w:divBdr>
                            <w:top w:val="none" w:sz="0" w:space="0" w:color="auto"/>
                            <w:left w:val="none" w:sz="0" w:space="0" w:color="auto"/>
                            <w:bottom w:val="none" w:sz="0" w:space="0" w:color="auto"/>
                            <w:right w:val="none" w:sz="0" w:space="0" w:color="auto"/>
                          </w:divBdr>
                          <w:divsChild>
                            <w:div w:id="1718965280">
                              <w:marLeft w:val="-225"/>
                              <w:marRight w:val="-225"/>
                              <w:marTop w:val="0"/>
                              <w:marBottom w:val="0"/>
                              <w:divBdr>
                                <w:top w:val="none" w:sz="0" w:space="0" w:color="auto"/>
                                <w:left w:val="none" w:sz="0" w:space="0" w:color="auto"/>
                                <w:bottom w:val="none" w:sz="0" w:space="0" w:color="auto"/>
                                <w:right w:val="none" w:sz="0" w:space="0" w:color="auto"/>
                              </w:divBdr>
                              <w:divsChild>
                                <w:div w:id="1771966508">
                                  <w:marLeft w:val="0"/>
                                  <w:marRight w:val="0"/>
                                  <w:marTop w:val="0"/>
                                  <w:marBottom w:val="0"/>
                                  <w:divBdr>
                                    <w:top w:val="none" w:sz="0" w:space="0" w:color="auto"/>
                                    <w:left w:val="none" w:sz="0" w:space="0" w:color="auto"/>
                                    <w:bottom w:val="none" w:sz="0" w:space="0" w:color="auto"/>
                                    <w:right w:val="none" w:sz="0" w:space="0" w:color="auto"/>
                                  </w:divBdr>
                                  <w:divsChild>
                                    <w:div w:id="160930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ge.prnewswire.com/c/link/?t=0&amp;l=en&amp;o=4812188-1&amp;h=942341047&amp;u=https%3A%2F%2Fir.mtch.com%2F&amp;a=https%3A%2F%2Fir.mtch.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rnewswire.com/news-releases/match-group-announces-third-quarter-results-302926778.html" TargetMode="External"/><Relationship Id="rId11" Type="http://schemas.openxmlformats.org/officeDocument/2006/relationships/theme" Target="theme/theme1.xml"/><Relationship Id="rId5" Type="http://schemas.openxmlformats.org/officeDocument/2006/relationships/hyperlink" Target="https://www.prnewswire.com/news/match-group/"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dge.prnewswire.com/c/link/?t=0&amp;l=en&amp;o=4812188-1&amp;h=1853043252&amp;u=https%3A%2F%2Fwww.mtch.com%2F&amp;a=www.mtch.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1121</Words>
  <Characters>6392</Characters>
  <Application>Microsoft Office Word</Application>
  <DocSecurity>0</DocSecurity>
  <Lines>53</Lines>
  <Paragraphs>14</Paragraphs>
  <ScaleCrop>false</ScaleCrop>
  <Company/>
  <LinksUpToDate>false</LinksUpToDate>
  <CharactersWithSpaces>7499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shiyuan</dc:creator>
  <cp:keywords/>
  <dc:description/>
  <cp:lastModifiedBy>shiyuan</cp:lastModifiedBy>
  <cp:revision>1</cp:revision>
  <dcterms:created xsi:type="dcterms:W3CDTF">2026-11-03T05:37:00Z</dcterms:created>
  <dcterms:modified xsi:type="dcterms:W3CDTF">2026-11-03T05:37:00Z</dcterms:modified>
</cp:coreProperties>
</file>