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5633" w:rsidRDefault="00F146E6">
      <w:pPr>
        <w:rPr>
          <w:rFonts w:ascii="楷体_GB2312" w:eastAsia="楷体_GB2312" w:cs="Times New Roman"/>
          <w:b/>
          <w:bCs/>
          <w:color w:val="3967B1"/>
          <w:sz w:val="24"/>
          <w:szCs w:val="24"/>
        </w:rPr>
        <w:sectPr w:rsidR="00C15633">
          <w:headerReference w:type="default" r:id="rId8"/>
          <w:footerReference w:type="default" r:id="rId9"/>
          <w:pgSz w:w="11906" w:h="16838"/>
          <w:pgMar w:top="1440" w:right="1080" w:bottom="1440" w:left="1080" w:header="851" w:footer="992" w:gutter="0"/>
          <w:cols w:num="2" w:space="720" w:equalWidth="0">
            <w:col w:w="6115" w:space="425"/>
            <w:col w:w="3205"/>
          </w:cols>
          <w:docGrid w:type="lines" w:linePitch="312"/>
        </w:sectPr>
      </w:pPr>
      <w:r w:rsidRPr="00F146E6">
        <w:pict>
          <v:rect id="Rectangle 13" o:spid="_x0000_s1027" style="position:absolute;left:0;text-align:left;margin-left:370.05pt;margin-top:8.95pt;width:171.85pt;height:696.65pt;z-index:-2" o:preferrelative="t" fillcolor="#eaeaea" stroked="f"/>
        </w:pict>
      </w:r>
      <w:r w:rsidRPr="00F146E6">
        <w:pict>
          <v:shapetype id="_x0000_t202" coordsize="21600,21600" o:spt="202" path="m,l,21600r21600,l21600,xe">
            <v:stroke joinstyle="miter"/>
            <v:path gradientshapeok="t" o:connecttype="rect"/>
          </v:shapetype>
          <v:shape id="文本框 2" o:spid="_x0000_s1028" type="#_x0000_t202" style="position:absolute;left:0;text-align:left;margin-left:-15.25pt;margin-top:-23.05pt;width:185.3pt;height:41.2pt;z-index:2" o:preferrelative="t" filled="f" stroked="f">
            <v:textbox>
              <w:txbxContent>
                <w:p w:rsidR="00C15633" w:rsidRDefault="00C3777C">
                  <w:pPr>
                    <w:ind w:right="480"/>
                    <w:jc w:val="left"/>
                    <w:rPr>
                      <w:rFonts w:ascii="黑体" w:eastAsia="黑体" w:hAnsi="黑体" w:cs="Times New Roman"/>
                      <w:color w:val="FFFFFF"/>
                      <w:sz w:val="28"/>
                      <w:szCs w:val="28"/>
                    </w:rPr>
                  </w:pPr>
                  <w:r>
                    <w:rPr>
                      <w:rFonts w:ascii="黑体" w:eastAsia="黑体" w:hAnsi="黑体" w:cs="黑体" w:hint="eastAsia"/>
                      <w:color w:val="FFFFFF"/>
                      <w:sz w:val="28"/>
                      <w:szCs w:val="28"/>
                    </w:rPr>
                    <w:t>个基点评报告</w:t>
                  </w:r>
                </w:p>
              </w:txbxContent>
            </v:textbox>
          </v:shape>
        </w:pict>
      </w:r>
      <w:r w:rsidRPr="00F146E6">
        <w:pict>
          <v:shape id="Text Box 4" o:spid="_x0000_s1029" type="#_x0000_t202" style="position:absolute;left:0;text-align:left;margin-left:356.45pt;margin-top:-23.75pt;width:185.3pt;height:41.7pt;z-index:1" o:preferrelative="t" filled="f" stroked="f">
            <v:textbox>
              <w:txbxContent>
                <w:p w:rsidR="00C15633" w:rsidRDefault="00C3777C">
                  <w:pPr>
                    <w:ind w:right="480"/>
                    <w:jc w:val="center"/>
                    <w:rPr>
                      <w:rFonts w:ascii="黑体" w:eastAsia="黑体" w:hAnsi="黑体" w:cs="Times New Roman"/>
                      <w:color w:val="FFFFFF"/>
                      <w:sz w:val="28"/>
                      <w:szCs w:val="28"/>
                    </w:rPr>
                  </w:pPr>
                  <w:r>
                    <w:rPr>
                      <w:rFonts w:ascii="黑体" w:eastAsia="黑体" w:hAnsi="黑体" w:cs="黑体"/>
                      <w:color w:val="FFFFFF"/>
                      <w:sz w:val="28"/>
                      <w:szCs w:val="28"/>
                    </w:rPr>
                    <w:t xml:space="preserve"> 201</w:t>
                  </w:r>
                  <w:r>
                    <w:rPr>
                      <w:rFonts w:ascii="黑体" w:eastAsia="黑体" w:hAnsi="黑体" w:cs="黑体" w:hint="eastAsia"/>
                      <w:color w:val="FFFFFF"/>
                      <w:sz w:val="28"/>
                      <w:szCs w:val="28"/>
                    </w:rPr>
                    <w:t>5年7月</w:t>
                  </w:r>
                  <w:r w:rsidR="00DF7310">
                    <w:rPr>
                      <w:rFonts w:ascii="黑体" w:eastAsia="黑体" w:hAnsi="黑体" w:cs="黑体" w:hint="eastAsia"/>
                      <w:color w:val="FFFFFF"/>
                      <w:sz w:val="28"/>
                      <w:szCs w:val="28"/>
                    </w:rPr>
                    <w:t>30</w:t>
                  </w:r>
                  <w:r>
                    <w:rPr>
                      <w:rFonts w:ascii="黑体" w:eastAsia="黑体" w:hAnsi="黑体" w:cs="黑体" w:hint="eastAsia"/>
                      <w:color w:val="FFFFFF"/>
                      <w:sz w:val="28"/>
                      <w:szCs w:val="28"/>
                    </w:rPr>
                    <w:t>日</w:t>
                  </w:r>
                </w:p>
              </w:txbxContent>
            </v:textbox>
          </v:shape>
        </w:pict>
      </w:r>
      <w:r w:rsidRPr="00F146E6">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6" o:spid="_x0000_s1030" type="#_x0000_t75" style="position:absolute;left:0;text-align:left;margin-left:-59.85pt;margin-top:-71.85pt;width:603.6pt;height:79.6pt;z-index:-1">
            <v:imagedata r:id="rId10" o:title=""/>
          </v:shape>
        </w:pict>
      </w:r>
    </w:p>
    <w:p w:rsidR="00C15633" w:rsidRDefault="00DF7310">
      <w:pPr>
        <w:pBdr>
          <w:bottom w:val="single" w:sz="6" w:space="1" w:color="auto"/>
        </w:pBdr>
        <w:spacing w:line="360" w:lineRule="auto"/>
        <w:rPr>
          <w:rFonts w:ascii="楷体_GB2312" w:eastAsia="楷体_GB2312" w:cs="楷体_GB2312"/>
          <w:b/>
          <w:bCs/>
          <w:color w:val="FC6204"/>
          <w:sz w:val="28"/>
          <w:szCs w:val="28"/>
        </w:rPr>
      </w:pPr>
      <w:r>
        <w:rPr>
          <w:rFonts w:ascii="楷体_GB2312" w:eastAsia="楷体_GB2312" w:cs="楷体_GB2312" w:hint="eastAsia"/>
          <w:b/>
          <w:bCs/>
          <w:color w:val="FC6204"/>
          <w:sz w:val="28"/>
          <w:szCs w:val="28"/>
        </w:rPr>
        <w:lastRenderedPageBreak/>
        <w:t>易方达新兴成长灵活配置</w:t>
      </w:r>
      <w:r w:rsidR="00C3777C">
        <w:rPr>
          <w:rFonts w:ascii="楷体_GB2312" w:eastAsia="楷体_GB2312" w:cs="楷体_GB2312" w:hint="eastAsia"/>
          <w:b/>
          <w:bCs/>
          <w:color w:val="FC6204"/>
          <w:sz w:val="28"/>
          <w:szCs w:val="28"/>
        </w:rPr>
        <w:t>（</w:t>
      </w:r>
      <w:r>
        <w:rPr>
          <w:rFonts w:ascii="楷体_GB2312" w:eastAsia="楷体_GB2312" w:cs="楷体_GB2312" w:hint="eastAsia"/>
          <w:b/>
          <w:bCs/>
          <w:color w:val="FC6204"/>
          <w:sz w:val="28"/>
          <w:szCs w:val="28"/>
        </w:rPr>
        <w:t>000404</w:t>
      </w:r>
      <w:r w:rsidR="00C3777C">
        <w:rPr>
          <w:rFonts w:ascii="楷体_GB2312" w:eastAsia="楷体_GB2312" w:cs="楷体_GB2312" w:hint="eastAsia"/>
          <w:b/>
          <w:bCs/>
          <w:color w:val="FC6204"/>
          <w:sz w:val="28"/>
          <w:szCs w:val="28"/>
        </w:rPr>
        <w:t>）</w:t>
      </w:r>
    </w:p>
    <w:p w:rsidR="00C15633" w:rsidRDefault="00DF7310">
      <w:pPr>
        <w:spacing w:line="360" w:lineRule="auto"/>
        <w:rPr>
          <w:rFonts w:ascii="微软雅黑" w:eastAsia="微软雅黑" w:hAnsi="微软雅黑" w:cs="微软雅黑"/>
          <w:b/>
          <w:bCs/>
          <w:sz w:val="36"/>
          <w:szCs w:val="36"/>
        </w:rPr>
      </w:pPr>
      <w:r>
        <w:rPr>
          <w:rFonts w:ascii="微软雅黑" w:eastAsia="微软雅黑" w:hAnsi="微软雅黑" w:cs="微软雅黑" w:hint="eastAsia"/>
          <w:b/>
          <w:bCs/>
          <w:sz w:val="36"/>
          <w:szCs w:val="36"/>
        </w:rPr>
        <w:t xml:space="preserve">严控风险  </w:t>
      </w:r>
      <w:r w:rsidR="005448E7">
        <w:rPr>
          <w:rFonts w:ascii="微软雅黑" w:eastAsia="微软雅黑" w:hAnsi="微软雅黑" w:cs="微软雅黑" w:hint="eastAsia"/>
          <w:b/>
          <w:bCs/>
          <w:sz w:val="36"/>
          <w:szCs w:val="36"/>
        </w:rPr>
        <w:t>灵活投资</w:t>
      </w:r>
      <w:r w:rsidR="008546AE">
        <w:rPr>
          <w:rFonts w:ascii="微软雅黑" w:eastAsia="微软雅黑" w:hAnsi="微软雅黑" w:cs="微软雅黑" w:hint="eastAsia"/>
          <w:b/>
          <w:bCs/>
          <w:sz w:val="36"/>
          <w:szCs w:val="36"/>
        </w:rPr>
        <w:t xml:space="preserve"> </w:t>
      </w:r>
    </w:p>
    <w:p w:rsidR="00C15633" w:rsidRDefault="00C3777C">
      <w:pPr>
        <w:spacing w:line="360" w:lineRule="auto"/>
        <w:rPr>
          <w:rFonts w:ascii="楷体" w:eastAsia="楷体" w:hAnsi="楷体" w:cs="楷体"/>
          <w:bCs/>
        </w:rPr>
      </w:pPr>
      <w:r>
        <w:rPr>
          <w:rFonts w:ascii="楷体" w:eastAsia="楷体" w:hAnsi="楷体" w:cs="楷体" w:hint="eastAsia"/>
          <w:b/>
          <w:bCs/>
        </w:rPr>
        <w:t>报告摘要：</w:t>
      </w:r>
    </w:p>
    <w:p w:rsidR="00C15633" w:rsidRDefault="00DF7310">
      <w:pPr>
        <w:numPr>
          <w:ilvl w:val="0"/>
          <w:numId w:val="1"/>
        </w:numPr>
        <w:spacing w:line="360" w:lineRule="auto"/>
        <w:rPr>
          <w:rFonts w:ascii="楷体" w:eastAsia="楷体" w:hAnsi="楷体" w:cs="楷体"/>
          <w:bCs/>
        </w:rPr>
      </w:pPr>
      <w:r>
        <w:rPr>
          <w:rFonts w:ascii="楷体" w:eastAsia="楷体" w:hAnsi="楷体" w:cs="楷体" w:hint="eastAsia"/>
          <w:b/>
        </w:rPr>
        <w:t>易方达新兴成长灵活配置</w:t>
      </w:r>
      <w:r w:rsidR="00C3777C">
        <w:rPr>
          <w:rFonts w:ascii="楷体" w:eastAsia="楷体" w:hAnsi="楷体" w:cs="楷体" w:hint="eastAsia"/>
          <w:b/>
        </w:rPr>
        <w:t>（</w:t>
      </w:r>
      <w:r w:rsidR="008C0F5C">
        <w:rPr>
          <w:rFonts w:ascii="楷体" w:eastAsia="楷体" w:hAnsi="楷体" w:cs="楷体" w:hint="eastAsia"/>
          <w:b/>
        </w:rPr>
        <w:t>200010</w:t>
      </w:r>
      <w:r w:rsidR="00C3777C">
        <w:rPr>
          <w:rFonts w:ascii="楷体" w:eastAsia="楷体" w:hAnsi="楷体" w:cs="楷体" w:hint="eastAsia"/>
          <w:b/>
        </w:rPr>
        <w:t>）是一只</w:t>
      </w:r>
      <w:r>
        <w:rPr>
          <w:rFonts w:ascii="楷体" w:eastAsia="楷体" w:hAnsi="楷体" w:cs="楷体" w:hint="eastAsia"/>
          <w:b/>
        </w:rPr>
        <w:t>混合</w:t>
      </w:r>
      <w:r w:rsidR="00C3777C">
        <w:rPr>
          <w:rFonts w:ascii="楷体" w:eastAsia="楷体" w:hAnsi="楷体" w:cs="楷体" w:hint="eastAsia"/>
          <w:b/>
        </w:rPr>
        <w:t>型基金，</w:t>
      </w:r>
      <w:r w:rsidR="008C0F5C">
        <w:rPr>
          <w:rFonts w:ascii="楷体" w:eastAsia="楷体" w:hAnsi="楷体" w:cs="楷体" w:hint="eastAsia"/>
          <w:bCs/>
        </w:rPr>
        <w:t>2013</w:t>
      </w:r>
      <w:r w:rsidR="00C3777C">
        <w:rPr>
          <w:rFonts w:ascii="楷体" w:eastAsia="楷体" w:hAnsi="楷体" w:cs="楷体" w:hint="eastAsia"/>
          <w:bCs/>
        </w:rPr>
        <w:t>年</w:t>
      </w:r>
      <w:r>
        <w:rPr>
          <w:rFonts w:ascii="楷体" w:eastAsia="楷体" w:hAnsi="楷体" w:cs="楷体" w:hint="eastAsia"/>
          <w:bCs/>
        </w:rPr>
        <w:t>11</w:t>
      </w:r>
      <w:r w:rsidR="00C3777C">
        <w:rPr>
          <w:rFonts w:ascii="楷体" w:eastAsia="楷体" w:hAnsi="楷体" w:cs="楷体" w:hint="eastAsia"/>
          <w:bCs/>
        </w:rPr>
        <w:t>月</w:t>
      </w:r>
      <w:r>
        <w:rPr>
          <w:rFonts w:ascii="楷体" w:eastAsia="楷体" w:hAnsi="楷体" w:cs="楷体" w:hint="eastAsia"/>
          <w:bCs/>
        </w:rPr>
        <w:t>28日宋昆先生开始掌管该基金</w:t>
      </w:r>
      <w:r w:rsidR="00C3777C">
        <w:rPr>
          <w:rFonts w:ascii="楷体" w:eastAsia="楷体" w:hAnsi="楷体" w:cs="楷体" w:hint="eastAsia"/>
          <w:bCs/>
        </w:rPr>
        <w:t>。基金近1年累计收益</w:t>
      </w:r>
      <w:r>
        <w:rPr>
          <w:rFonts w:ascii="楷体" w:eastAsia="楷体" w:hAnsi="楷体" w:cs="楷体" w:hint="eastAsia"/>
          <w:bCs/>
        </w:rPr>
        <w:t>139.94</w:t>
      </w:r>
      <w:r w:rsidR="00C3777C">
        <w:rPr>
          <w:rFonts w:ascii="楷体" w:eastAsia="楷体" w:hAnsi="楷体" w:cs="楷体" w:hint="eastAsia"/>
          <w:bCs/>
        </w:rPr>
        <w:t>%，同期上证指数上涨</w:t>
      </w:r>
      <w:r>
        <w:rPr>
          <w:rFonts w:ascii="楷体" w:eastAsia="楷体" w:hAnsi="楷体" w:cs="楷体" w:hint="eastAsia"/>
          <w:bCs/>
        </w:rPr>
        <w:t>73.72</w:t>
      </w:r>
      <w:r w:rsidR="00C3777C">
        <w:rPr>
          <w:rFonts w:ascii="楷体" w:eastAsia="楷体" w:hAnsi="楷体" w:cs="楷体" w:hint="eastAsia"/>
          <w:bCs/>
        </w:rPr>
        <w:t>%，沪深300指数上涨</w:t>
      </w:r>
      <w:r>
        <w:rPr>
          <w:rFonts w:ascii="楷体" w:eastAsia="楷体" w:hAnsi="楷体" w:cs="楷体" w:hint="eastAsia"/>
          <w:bCs/>
        </w:rPr>
        <w:t>69.27</w:t>
      </w:r>
      <w:r w:rsidR="00C3777C">
        <w:rPr>
          <w:rFonts w:ascii="楷体" w:eastAsia="楷体" w:hAnsi="楷体" w:cs="楷体" w:hint="eastAsia"/>
          <w:bCs/>
        </w:rPr>
        <w:t>%。</w:t>
      </w:r>
    </w:p>
    <w:p w:rsidR="00DF7310" w:rsidRPr="00DF7310" w:rsidRDefault="008C0F5C">
      <w:pPr>
        <w:numPr>
          <w:ilvl w:val="0"/>
          <w:numId w:val="1"/>
        </w:numPr>
        <w:spacing w:line="360" w:lineRule="auto"/>
        <w:rPr>
          <w:rFonts w:ascii="楷体" w:eastAsia="楷体" w:hAnsi="楷体" w:cs="楷体" w:hint="eastAsia"/>
          <w:bCs/>
        </w:rPr>
      </w:pPr>
      <w:r>
        <w:rPr>
          <w:rFonts w:ascii="楷体" w:eastAsia="楷体" w:hAnsi="楷体" w:cs="楷体" w:hint="eastAsia"/>
          <w:b/>
        </w:rPr>
        <w:t>投资目标：</w:t>
      </w:r>
      <w:r w:rsidR="00DF7310" w:rsidRPr="00DF7310">
        <w:rPr>
          <w:rFonts w:ascii="楷体" w:eastAsia="楷体" w:hAnsi="楷体" w:cs="楷体"/>
          <w:bCs/>
        </w:rPr>
        <w:t>本基金在严格控制风险的前提下,追求超越业绩比较基准的投资回报和资产的长期稳健增值。</w:t>
      </w:r>
    </w:p>
    <w:p w:rsidR="00DF7310" w:rsidRDefault="00DF7310" w:rsidP="00DF7310">
      <w:pPr>
        <w:numPr>
          <w:ilvl w:val="0"/>
          <w:numId w:val="1"/>
        </w:numPr>
        <w:spacing w:line="360" w:lineRule="auto"/>
        <w:rPr>
          <w:rFonts w:ascii="楷体" w:eastAsia="楷体" w:hAnsi="楷体" w:cs="楷体" w:hint="eastAsia"/>
          <w:bCs/>
        </w:rPr>
      </w:pPr>
      <w:r>
        <w:rPr>
          <w:rFonts w:ascii="楷体" w:eastAsia="楷体" w:hAnsi="楷体" w:cs="楷体" w:hint="eastAsia"/>
          <w:b/>
        </w:rPr>
        <w:t>投资范围</w:t>
      </w:r>
      <w:r w:rsidR="008C0F5C" w:rsidRPr="00DF7310">
        <w:rPr>
          <w:rFonts w:ascii="楷体" w:eastAsia="楷体" w:hAnsi="楷体" w:cs="楷体" w:hint="eastAsia"/>
          <w:b/>
        </w:rPr>
        <w:t>：</w:t>
      </w:r>
      <w:r w:rsidRPr="00DF7310">
        <w:rPr>
          <w:rFonts w:ascii="楷体" w:eastAsia="楷体" w:hAnsi="楷体" w:cs="楷体"/>
          <w:bCs/>
        </w:rPr>
        <w:t>具有良好流动性的金融工具,包括国内依法发行、上市的股票(包括创业板、中小板以及其他经中国证监会批准上市的股票)、债券、资产支持证券、银行存款、货币市场工具、权证、股指期货及法律法规或中国证监会允许基金投资的其他金融工具。 如法律法规或监管机构以后允许基金投资其他品种,本基金可以将其纳入投资范围。</w:t>
      </w:r>
    </w:p>
    <w:p w:rsidR="00C15633" w:rsidRDefault="008C0F5C" w:rsidP="00DF7310">
      <w:pPr>
        <w:numPr>
          <w:ilvl w:val="0"/>
          <w:numId w:val="1"/>
        </w:numPr>
        <w:spacing w:line="360" w:lineRule="auto"/>
        <w:rPr>
          <w:rFonts w:cs="Times New Roman"/>
        </w:rPr>
      </w:pPr>
      <w:r w:rsidRPr="00DF7310">
        <w:rPr>
          <w:rFonts w:ascii="楷体" w:eastAsia="楷体" w:hAnsi="楷体" w:cs="楷体" w:hint="eastAsia"/>
          <w:b/>
        </w:rPr>
        <w:t>基金经理：</w:t>
      </w:r>
      <w:r w:rsidR="00DF7310" w:rsidRPr="00DF7310">
        <w:rPr>
          <w:rFonts w:ascii="楷体" w:eastAsia="楷体" w:hAnsi="楷体" w:cs="楷体"/>
          <w:bCs/>
        </w:rPr>
        <w:t xml:space="preserve"> 宋昆先生,经济学硕士。曾任易方达基金管理有限公司行业研究员、公募基金投资部总经理助理,现任易方达基金管理有限公司公募基金投资部副总经理、易方达科讯股票型证券投资基金基金经理(自2010年9月11日起任职)、易方达新兴成长混合型证券投资基金基金经理(自2013年11月28日起任职)、易方达创新驱动灵活配置混合型证券投资基金基金经理(自2015年2月13日起任职)。</w:t>
      </w:r>
    </w:p>
    <w:p w:rsidR="00C15633" w:rsidRDefault="00C15633">
      <w:pPr>
        <w:rPr>
          <w:rFonts w:cs="Times New Roman"/>
        </w:rPr>
      </w:pPr>
    </w:p>
    <w:p w:rsidR="00C15633" w:rsidRDefault="00C15633">
      <w:pPr>
        <w:rPr>
          <w:rFonts w:cs="Times New Roman"/>
        </w:rPr>
      </w:pPr>
    </w:p>
    <w:p w:rsidR="00C15633" w:rsidRDefault="00C15633">
      <w:pPr>
        <w:rPr>
          <w:rFonts w:cs="Times New Roman"/>
        </w:rPr>
      </w:pPr>
    </w:p>
    <w:p w:rsidR="00C15633" w:rsidRDefault="00C15633">
      <w:pPr>
        <w:rPr>
          <w:rFonts w:cs="Times New Roman"/>
        </w:rPr>
      </w:pPr>
    </w:p>
    <w:p w:rsidR="00C15633" w:rsidRDefault="00C15633">
      <w:pPr>
        <w:rPr>
          <w:rFonts w:cs="Times New Roman"/>
        </w:rPr>
      </w:pPr>
    </w:p>
    <w:p w:rsidR="00C15633" w:rsidRDefault="00C15633">
      <w:pPr>
        <w:rPr>
          <w:rFonts w:cs="Times New Roman"/>
        </w:rPr>
      </w:pPr>
    </w:p>
    <w:p w:rsidR="00C15633" w:rsidRDefault="00C15633">
      <w:pPr>
        <w:rPr>
          <w:rFonts w:cs="Times New Roman"/>
        </w:rPr>
      </w:pPr>
    </w:p>
    <w:p w:rsidR="00C15633" w:rsidRDefault="00C15633">
      <w:pPr>
        <w:rPr>
          <w:rFonts w:cs="Times New Roman"/>
        </w:rPr>
      </w:pPr>
    </w:p>
    <w:p w:rsidR="00C15633" w:rsidRDefault="00C15633">
      <w:pPr>
        <w:rPr>
          <w:rFonts w:cs="Times New Roman"/>
        </w:rPr>
      </w:pPr>
    </w:p>
    <w:p w:rsidR="00C15633" w:rsidRDefault="00C15633">
      <w:pPr>
        <w:rPr>
          <w:rFonts w:cs="Times New Roman"/>
        </w:rPr>
      </w:pPr>
    </w:p>
    <w:p w:rsidR="00C15633" w:rsidRDefault="00C15633">
      <w:pPr>
        <w:rPr>
          <w:rFonts w:cs="Times New Roman"/>
        </w:rPr>
      </w:pPr>
    </w:p>
    <w:p w:rsidR="00C15633" w:rsidRDefault="00C15633">
      <w:pPr>
        <w:rPr>
          <w:rFonts w:cs="Times New Roman"/>
        </w:rPr>
      </w:pPr>
    </w:p>
    <w:p w:rsidR="00C15633" w:rsidRDefault="00C15633">
      <w:pPr>
        <w:rPr>
          <w:rFonts w:cs="Times New Roman"/>
        </w:rPr>
      </w:pPr>
    </w:p>
    <w:p w:rsidR="00C15633" w:rsidRDefault="00C15633">
      <w:pPr>
        <w:rPr>
          <w:rFonts w:cs="Times New Roman"/>
        </w:rPr>
      </w:pPr>
    </w:p>
    <w:p w:rsidR="00C15633" w:rsidRDefault="00C15633">
      <w:pPr>
        <w:rPr>
          <w:rFonts w:cs="Times New Roman"/>
        </w:rPr>
      </w:pPr>
    </w:p>
    <w:p w:rsidR="00C15633" w:rsidRDefault="00C15633">
      <w:pPr>
        <w:rPr>
          <w:rFonts w:cs="Times New Roman"/>
        </w:rPr>
      </w:pPr>
    </w:p>
    <w:p w:rsidR="00C15633" w:rsidRDefault="00C15633">
      <w:pPr>
        <w:rPr>
          <w:rFonts w:cs="Times New Roman"/>
        </w:rPr>
      </w:pPr>
    </w:p>
    <w:p w:rsidR="00C15633" w:rsidRDefault="00C15633">
      <w:pPr>
        <w:rPr>
          <w:rFonts w:cs="Times New Roman"/>
        </w:rPr>
      </w:pPr>
    </w:p>
    <w:p w:rsidR="00C15633" w:rsidRDefault="00C15633">
      <w:pPr>
        <w:rPr>
          <w:rFonts w:cs="Times New Roman"/>
        </w:rPr>
      </w:pPr>
    </w:p>
    <w:p w:rsidR="00C15633" w:rsidRDefault="00C15633">
      <w:pPr>
        <w:rPr>
          <w:rFonts w:cs="Times New Roman"/>
        </w:rPr>
      </w:pPr>
    </w:p>
    <w:p w:rsidR="00C15633" w:rsidRDefault="00C15633">
      <w:pPr>
        <w:rPr>
          <w:rFonts w:cs="Times New Roman"/>
        </w:rPr>
      </w:pPr>
    </w:p>
    <w:p w:rsidR="00C15633" w:rsidRDefault="00C15633">
      <w:pPr>
        <w:rPr>
          <w:rFonts w:cs="Times New Roman"/>
        </w:rPr>
      </w:pPr>
    </w:p>
    <w:p w:rsidR="00C15633" w:rsidRDefault="00C15633">
      <w:pPr>
        <w:rPr>
          <w:rFonts w:ascii="黑体" w:eastAsia="黑体" w:hAnsi="黑体" w:cs="Times New Roman"/>
          <w:color w:val="000000"/>
        </w:rPr>
      </w:pPr>
    </w:p>
    <w:p w:rsidR="00C15633" w:rsidRDefault="00C15633">
      <w:pPr>
        <w:rPr>
          <w:rFonts w:ascii="黑体" w:eastAsia="黑体" w:hAnsi="黑体" w:cs="Times New Roman"/>
          <w:sz w:val="18"/>
          <w:szCs w:val="18"/>
        </w:rPr>
      </w:pPr>
    </w:p>
    <w:p w:rsidR="00C15633" w:rsidRDefault="00C15633">
      <w:pPr>
        <w:rPr>
          <w:rFonts w:ascii="黑体" w:eastAsia="黑体" w:hAnsi="黑体" w:cs="Times New Roman"/>
          <w:sz w:val="18"/>
          <w:szCs w:val="18"/>
        </w:rPr>
      </w:pPr>
    </w:p>
    <w:p w:rsidR="00C15633" w:rsidRDefault="00C15633">
      <w:pPr>
        <w:rPr>
          <w:rFonts w:ascii="黑体" w:eastAsia="黑体" w:hAnsi="黑体" w:cs="Times New Roman"/>
          <w:sz w:val="18"/>
          <w:szCs w:val="18"/>
        </w:rPr>
      </w:pPr>
    </w:p>
    <w:p w:rsidR="00C15633" w:rsidRDefault="00C15633">
      <w:pPr>
        <w:rPr>
          <w:rFonts w:ascii="黑体" w:eastAsia="黑体" w:hAnsi="黑体" w:cs="Times New Roman"/>
        </w:rPr>
      </w:pPr>
    </w:p>
    <w:p w:rsidR="00C15633" w:rsidRDefault="00C15633">
      <w:pPr>
        <w:rPr>
          <w:rFonts w:ascii="黑体" w:eastAsia="黑体" w:hAnsi="黑体" w:cs="Times New Roman"/>
        </w:rPr>
      </w:pPr>
    </w:p>
    <w:p w:rsidR="00C15633" w:rsidRDefault="00C15633">
      <w:pPr>
        <w:rPr>
          <w:rFonts w:ascii="黑体" w:eastAsia="黑体" w:hAnsi="黑体" w:cs="Times New Roman"/>
        </w:rPr>
      </w:pPr>
    </w:p>
    <w:p w:rsidR="00C15633" w:rsidRDefault="00C15633">
      <w:pPr>
        <w:rPr>
          <w:rFonts w:ascii="黑体" w:eastAsia="黑体" w:hAnsi="黑体" w:cs="Times New Roman"/>
        </w:rPr>
      </w:pPr>
    </w:p>
    <w:p w:rsidR="00C15633" w:rsidRDefault="00C15633">
      <w:pPr>
        <w:rPr>
          <w:rFonts w:ascii="黑体" w:eastAsia="黑体" w:hAnsi="黑体" w:cs="Times New Roman"/>
        </w:rPr>
      </w:pPr>
    </w:p>
    <w:p w:rsidR="00C15633" w:rsidRDefault="00C15633">
      <w:pPr>
        <w:rPr>
          <w:rFonts w:ascii="黑体" w:eastAsia="黑体" w:hAnsi="黑体" w:cs="Times New Roman"/>
        </w:rPr>
      </w:pPr>
    </w:p>
    <w:p w:rsidR="00C15633" w:rsidRDefault="00C15633">
      <w:pPr>
        <w:rPr>
          <w:rFonts w:ascii="黑体" w:eastAsia="黑体" w:hAnsi="黑体" w:cs="Times New Roman"/>
        </w:rPr>
      </w:pPr>
    </w:p>
    <w:p w:rsidR="00C15633" w:rsidRDefault="00C15633">
      <w:pPr>
        <w:rPr>
          <w:rFonts w:ascii="黑体" w:eastAsia="黑体" w:hAnsi="黑体" w:cs="Times New Roman"/>
        </w:rPr>
      </w:pPr>
    </w:p>
    <w:p w:rsidR="00C15633" w:rsidRDefault="00C15633">
      <w:pPr>
        <w:rPr>
          <w:rFonts w:ascii="黑体" w:eastAsia="黑体" w:hAnsi="黑体" w:cs="Times New Roman"/>
        </w:rPr>
      </w:pPr>
    </w:p>
    <w:p w:rsidR="00C15633" w:rsidRDefault="00C15633">
      <w:pPr>
        <w:rPr>
          <w:rFonts w:ascii="黑体" w:eastAsia="黑体" w:hAnsi="黑体" w:cs="Times New Roman"/>
        </w:rPr>
      </w:pPr>
    </w:p>
    <w:p w:rsidR="00C15633" w:rsidRDefault="00C15633">
      <w:pPr>
        <w:rPr>
          <w:rFonts w:ascii="黑体" w:eastAsia="黑体" w:hAnsi="黑体" w:cs="Times New Roman"/>
        </w:rPr>
      </w:pPr>
    </w:p>
    <w:p w:rsidR="00C15633" w:rsidRDefault="00C15633">
      <w:pPr>
        <w:rPr>
          <w:rFonts w:ascii="黑体" w:eastAsia="黑体" w:hAnsi="黑体" w:cs="Times New Roman"/>
        </w:rPr>
      </w:pPr>
    </w:p>
    <w:p w:rsidR="00C15633" w:rsidRDefault="00C15633">
      <w:pPr>
        <w:rPr>
          <w:rFonts w:ascii="黑体" w:eastAsia="黑体" w:hAnsi="黑体" w:cs="Times New Roman"/>
        </w:rPr>
      </w:pPr>
    </w:p>
    <w:p w:rsidR="00C15633" w:rsidRDefault="00C15633">
      <w:pPr>
        <w:rPr>
          <w:rFonts w:ascii="黑体" w:eastAsia="黑体" w:hAnsi="黑体" w:cs="Times New Roman"/>
        </w:rPr>
      </w:pPr>
    </w:p>
    <w:p w:rsidR="00C15633" w:rsidRDefault="00C15633">
      <w:pPr>
        <w:rPr>
          <w:rFonts w:cs="Times New Roman"/>
          <w:u w:val="single"/>
        </w:rPr>
        <w:sectPr w:rsidR="00C15633">
          <w:type w:val="continuous"/>
          <w:pgSz w:w="11906" w:h="16838"/>
          <w:pgMar w:top="1440" w:right="737" w:bottom="1440" w:left="907" w:header="851" w:footer="992" w:gutter="0"/>
          <w:cols w:num="2" w:space="720" w:equalWidth="0">
            <w:col w:w="7272" w:space="630"/>
            <w:col w:w="2360"/>
          </w:cols>
          <w:docGrid w:type="lines" w:linePitch="312"/>
        </w:sectPr>
      </w:pPr>
    </w:p>
    <w:p w:rsidR="00C15633" w:rsidRDefault="00C15633">
      <w:pPr>
        <w:spacing w:line="360" w:lineRule="auto"/>
        <w:rPr>
          <w:rFonts w:cs="宋体" w:hint="eastAsia"/>
          <w:b/>
          <w:bCs/>
          <w:sz w:val="28"/>
          <w:szCs w:val="28"/>
        </w:rPr>
      </w:pPr>
    </w:p>
    <w:p w:rsidR="00DF7310" w:rsidRDefault="00DF7310">
      <w:pPr>
        <w:spacing w:line="360" w:lineRule="auto"/>
        <w:rPr>
          <w:rFonts w:cs="宋体"/>
          <w:b/>
          <w:bCs/>
          <w:sz w:val="28"/>
          <w:szCs w:val="28"/>
        </w:rPr>
      </w:pPr>
    </w:p>
    <w:p w:rsidR="00C15633" w:rsidRDefault="00C3777C">
      <w:pPr>
        <w:spacing w:line="360" w:lineRule="auto"/>
        <w:rPr>
          <w:rFonts w:cs="Times New Roman"/>
          <w:b/>
          <w:bCs/>
          <w:sz w:val="28"/>
          <w:szCs w:val="28"/>
        </w:rPr>
      </w:pPr>
      <w:r>
        <w:rPr>
          <w:rFonts w:cs="宋体" w:hint="eastAsia"/>
          <w:b/>
          <w:bCs/>
          <w:sz w:val="28"/>
          <w:szCs w:val="28"/>
        </w:rPr>
        <w:lastRenderedPageBreak/>
        <w:t>一、基金产品介绍</w:t>
      </w:r>
    </w:p>
    <w:p w:rsidR="00C15633" w:rsidRDefault="00DF7310" w:rsidP="00DF7310">
      <w:pPr>
        <w:spacing w:line="360" w:lineRule="auto"/>
        <w:ind w:firstLineChars="200" w:firstLine="480"/>
        <w:rPr>
          <w:rFonts w:ascii="宋体" w:hAnsi="宋体" w:cs="Times New Roman" w:hint="eastAsia"/>
          <w:kern w:val="0"/>
          <w:sz w:val="24"/>
          <w:szCs w:val="24"/>
        </w:rPr>
      </w:pPr>
      <w:r w:rsidRPr="00DF7310">
        <w:rPr>
          <w:rFonts w:ascii="宋体" w:hAnsi="宋体" w:cs="Times New Roman" w:hint="eastAsia"/>
          <w:kern w:val="0"/>
          <w:sz w:val="24"/>
          <w:szCs w:val="24"/>
        </w:rPr>
        <w:t>易方达新兴成长灵活配置（200010）是一只</w:t>
      </w:r>
      <w:r>
        <w:rPr>
          <w:rFonts w:ascii="宋体" w:hAnsi="宋体" w:cs="Times New Roman" w:hint="eastAsia"/>
          <w:kern w:val="0"/>
          <w:sz w:val="24"/>
          <w:szCs w:val="24"/>
        </w:rPr>
        <w:t>混合</w:t>
      </w:r>
      <w:r w:rsidRPr="00DF7310">
        <w:rPr>
          <w:rFonts w:ascii="宋体" w:hAnsi="宋体" w:cs="Times New Roman" w:hint="eastAsia"/>
          <w:kern w:val="0"/>
          <w:sz w:val="24"/>
          <w:szCs w:val="24"/>
        </w:rPr>
        <w:t>型基金，</w:t>
      </w:r>
      <w:r w:rsidR="00C3777C">
        <w:rPr>
          <w:rFonts w:ascii="宋体" w:hAnsi="宋体" w:cs="Times New Roman" w:hint="eastAsia"/>
          <w:kern w:val="0"/>
          <w:sz w:val="24"/>
          <w:szCs w:val="24"/>
        </w:rPr>
        <w:t>成立于</w:t>
      </w:r>
      <w:r>
        <w:rPr>
          <w:rFonts w:ascii="宋体" w:hAnsi="宋体" w:cs="Times New Roman" w:hint="eastAsia"/>
          <w:kern w:val="0"/>
          <w:sz w:val="24"/>
          <w:szCs w:val="24"/>
        </w:rPr>
        <w:t>2013</w:t>
      </w:r>
      <w:r w:rsidR="00C3777C">
        <w:rPr>
          <w:rFonts w:ascii="宋体" w:hAnsi="宋体" w:cs="Times New Roman" w:hint="eastAsia"/>
          <w:kern w:val="0"/>
          <w:sz w:val="24"/>
          <w:szCs w:val="24"/>
        </w:rPr>
        <w:t>年</w:t>
      </w:r>
      <w:r w:rsidR="008C0F5C">
        <w:rPr>
          <w:rFonts w:ascii="宋体" w:hAnsi="宋体" w:cs="Times New Roman" w:hint="eastAsia"/>
          <w:kern w:val="0"/>
          <w:sz w:val="24"/>
          <w:szCs w:val="24"/>
        </w:rPr>
        <w:t>1</w:t>
      </w:r>
      <w:r>
        <w:rPr>
          <w:rFonts w:ascii="宋体" w:hAnsi="宋体" w:cs="Times New Roman" w:hint="eastAsia"/>
          <w:kern w:val="0"/>
          <w:sz w:val="24"/>
          <w:szCs w:val="24"/>
        </w:rPr>
        <w:t>1</w:t>
      </w:r>
      <w:r w:rsidR="00C3777C">
        <w:rPr>
          <w:rFonts w:ascii="宋体" w:hAnsi="宋体" w:cs="Times New Roman" w:hint="eastAsia"/>
          <w:kern w:val="0"/>
          <w:sz w:val="24"/>
          <w:szCs w:val="24"/>
        </w:rPr>
        <w:t>月</w:t>
      </w:r>
      <w:r>
        <w:rPr>
          <w:rFonts w:ascii="宋体" w:hAnsi="宋体" w:cs="Times New Roman" w:hint="eastAsia"/>
          <w:kern w:val="0"/>
          <w:sz w:val="24"/>
          <w:szCs w:val="24"/>
        </w:rPr>
        <w:t>28</w:t>
      </w:r>
      <w:r w:rsidR="00C3777C">
        <w:rPr>
          <w:rFonts w:ascii="宋体" w:hAnsi="宋体" w:cs="Times New Roman" w:hint="eastAsia"/>
          <w:kern w:val="0"/>
          <w:sz w:val="24"/>
          <w:szCs w:val="24"/>
        </w:rPr>
        <w:t>日，成立时规模</w:t>
      </w:r>
      <w:r>
        <w:rPr>
          <w:rFonts w:ascii="宋体" w:hAnsi="宋体" w:cs="Times New Roman" w:hint="eastAsia"/>
          <w:kern w:val="0"/>
          <w:sz w:val="24"/>
          <w:szCs w:val="24"/>
        </w:rPr>
        <w:t>5.474</w:t>
      </w:r>
      <w:r w:rsidR="00C3777C">
        <w:rPr>
          <w:rFonts w:ascii="宋体" w:hAnsi="宋体" w:cs="Times New Roman" w:hint="eastAsia"/>
          <w:kern w:val="0"/>
          <w:sz w:val="24"/>
          <w:szCs w:val="24"/>
        </w:rPr>
        <w:t>亿份，截止2015年6月30日资产规模</w:t>
      </w:r>
      <w:r>
        <w:rPr>
          <w:rFonts w:ascii="宋体" w:hAnsi="宋体" w:cs="Times New Roman" w:hint="eastAsia"/>
          <w:kern w:val="0"/>
          <w:sz w:val="24"/>
          <w:szCs w:val="24"/>
        </w:rPr>
        <w:t>22.22</w:t>
      </w:r>
      <w:r w:rsidR="00C3777C">
        <w:rPr>
          <w:rFonts w:ascii="宋体" w:hAnsi="宋体" w:cs="Times New Roman" w:hint="eastAsia"/>
          <w:kern w:val="0"/>
          <w:sz w:val="24"/>
          <w:szCs w:val="24"/>
        </w:rPr>
        <w:t>亿元，份额规模</w:t>
      </w:r>
      <w:r>
        <w:rPr>
          <w:rFonts w:ascii="宋体" w:hAnsi="宋体" w:cs="Times New Roman" w:hint="eastAsia"/>
          <w:kern w:val="0"/>
          <w:sz w:val="24"/>
          <w:szCs w:val="24"/>
        </w:rPr>
        <w:t>7.4697</w:t>
      </w:r>
      <w:r w:rsidR="008C0F5C">
        <w:rPr>
          <w:rFonts w:ascii="宋体" w:hAnsi="宋体" w:cs="Times New Roman" w:hint="eastAsia"/>
          <w:kern w:val="0"/>
          <w:sz w:val="24"/>
          <w:szCs w:val="24"/>
        </w:rPr>
        <w:t>亿份。</w:t>
      </w:r>
      <w:r w:rsidRPr="00DF7310">
        <w:rPr>
          <w:rFonts w:ascii="宋体" w:hAnsi="宋体" w:cs="Times New Roman" w:hint="eastAsia"/>
          <w:kern w:val="0"/>
          <w:sz w:val="24"/>
          <w:szCs w:val="24"/>
        </w:rPr>
        <w:t>2013年11月28日</w:t>
      </w:r>
      <w:r>
        <w:rPr>
          <w:rFonts w:ascii="宋体" w:hAnsi="宋体" w:cs="Times New Roman" w:hint="eastAsia"/>
          <w:kern w:val="0"/>
          <w:sz w:val="24"/>
          <w:szCs w:val="24"/>
        </w:rPr>
        <w:t>，</w:t>
      </w:r>
      <w:r w:rsidRPr="00DF7310">
        <w:rPr>
          <w:rFonts w:ascii="宋体" w:hAnsi="宋体" w:cs="Times New Roman" w:hint="eastAsia"/>
          <w:kern w:val="0"/>
          <w:sz w:val="24"/>
          <w:szCs w:val="24"/>
        </w:rPr>
        <w:t>宋昆先生开始掌管该基金。</w:t>
      </w:r>
      <w:r w:rsidR="00C3777C">
        <w:rPr>
          <w:rFonts w:ascii="宋体" w:hAnsi="宋体" w:cs="Times New Roman" w:hint="eastAsia"/>
          <w:kern w:val="0"/>
          <w:sz w:val="24"/>
          <w:szCs w:val="24"/>
        </w:rPr>
        <w:t>本基金申购费率0.60%（小于</w:t>
      </w:r>
      <w:r>
        <w:rPr>
          <w:rFonts w:ascii="宋体" w:hAnsi="宋体" w:cs="Times New Roman" w:hint="eastAsia"/>
          <w:kern w:val="0"/>
          <w:sz w:val="24"/>
          <w:szCs w:val="24"/>
        </w:rPr>
        <w:t>100</w:t>
      </w:r>
      <w:r w:rsidR="00C3777C">
        <w:rPr>
          <w:rFonts w:ascii="宋体" w:hAnsi="宋体" w:cs="Times New Roman" w:hint="eastAsia"/>
          <w:kern w:val="0"/>
          <w:sz w:val="24"/>
          <w:szCs w:val="24"/>
        </w:rPr>
        <w:t>万），赎回费</w:t>
      </w:r>
      <w:r>
        <w:rPr>
          <w:rFonts w:ascii="宋体" w:hAnsi="宋体" w:cs="Times New Roman" w:hint="eastAsia"/>
          <w:kern w:val="0"/>
          <w:sz w:val="24"/>
          <w:szCs w:val="24"/>
        </w:rPr>
        <w:t>1</w:t>
      </w:r>
      <w:r w:rsidR="00C3777C">
        <w:rPr>
          <w:rFonts w:ascii="宋体" w:hAnsi="宋体" w:cs="Times New Roman" w:hint="eastAsia"/>
          <w:kern w:val="0"/>
          <w:sz w:val="24"/>
          <w:szCs w:val="24"/>
        </w:rPr>
        <w:t>.50%(小于</w:t>
      </w:r>
      <w:r>
        <w:rPr>
          <w:rFonts w:ascii="宋体" w:hAnsi="宋体" w:cs="Times New Roman" w:hint="eastAsia"/>
          <w:kern w:val="0"/>
          <w:sz w:val="24"/>
          <w:szCs w:val="24"/>
        </w:rPr>
        <w:t>7天</w:t>
      </w:r>
      <w:r w:rsidR="00C3777C">
        <w:rPr>
          <w:rFonts w:ascii="宋体" w:hAnsi="宋体" w:cs="Times New Roman" w:hint="eastAsia"/>
          <w:kern w:val="0"/>
          <w:sz w:val="24"/>
          <w:szCs w:val="24"/>
        </w:rPr>
        <w:t>)。</w:t>
      </w:r>
    </w:p>
    <w:p w:rsidR="00DF7310" w:rsidRDefault="00DF7310" w:rsidP="00DF7310">
      <w:pPr>
        <w:spacing w:line="360" w:lineRule="auto"/>
        <w:ind w:firstLineChars="200" w:firstLine="480"/>
        <w:rPr>
          <w:rFonts w:ascii="宋体" w:hAnsi="宋体" w:cs="Times New Roman"/>
          <w:kern w:val="0"/>
          <w:sz w:val="24"/>
          <w:szCs w:val="24"/>
        </w:rPr>
      </w:pPr>
      <w:r>
        <w:rPr>
          <w:rFonts w:ascii="宋体" w:hAnsi="宋体" w:cs="Times New Roman" w:hint="eastAsia"/>
          <w:kern w:val="0"/>
          <w:sz w:val="24"/>
          <w:szCs w:val="24"/>
        </w:rPr>
        <w:t>分红政策：</w:t>
      </w:r>
      <w:r w:rsidRPr="00DF7310">
        <w:rPr>
          <w:rFonts w:ascii="宋体" w:hAnsi="宋体" w:cs="Times New Roman"/>
          <w:kern w:val="0"/>
          <w:sz w:val="24"/>
          <w:szCs w:val="24"/>
        </w:rPr>
        <w:t>1、在符合有关基金分红条件的前提下,本基金每年收益分配次数最多为12次,每份基金份额每次分配比例不得低于收益分配基准日每份基金份额可供分配利润的10%,若《基金合同》生效不满3个月可不进行收益分配</w:t>
      </w:r>
      <w:r>
        <w:rPr>
          <w:rFonts w:ascii="宋体" w:hAnsi="宋体" w:cs="Times New Roman"/>
          <w:kern w:val="0"/>
          <w:sz w:val="24"/>
          <w:szCs w:val="24"/>
        </w:rPr>
        <w:t>;</w:t>
      </w:r>
      <w:r w:rsidRPr="00DF7310">
        <w:rPr>
          <w:rFonts w:ascii="宋体" w:hAnsi="宋体" w:cs="Times New Roman"/>
          <w:kern w:val="0"/>
          <w:sz w:val="24"/>
          <w:szCs w:val="24"/>
        </w:rPr>
        <w:t>2、本基金收益分配方式分两种:现金分红与红利再投资,投资者可选择现金红利或将现金红利自动转为基金份额进行再投资;若投资者不选择,本基金默认的收益分配方式是现金分红</w:t>
      </w:r>
      <w:r>
        <w:rPr>
          <w:rFonts w:ascii="宋体" w:hAnsi="宋体" w:cs="Times New Roman"/>
          <w:kern w:val="0"/>
          <w:sz w:val="24"/>
          <w:szCs w:val="24"/>
        </w:rPr>
        <w:t>;</w:t>
      </w:r>
      <w:r w:rsidRPr="00DF7310">
        <w:rPr>
          <w:rFonts w:ascii="宋体" w:hAnsi="宋体" w:cs="Times New Roman"/>
          <w:kern w:val="0"/>
          <w:sz w:val="24"/>
          <w:szCs w:val="24"/>
        </w:rPr>
        <w:t>3、基金收益分配后基金份额净值不能低于面值;即基金收益分配基准日的基金份额净值减去每单位基金份额收益分配金额后不能低于面值。 4、每一基金份额享有同等分配权; </w:t>
      </w:r>
    </w:p>
    <w:p w:rsidR="00DF7310" w:rsidRDefault="008C0F5C" w:rsidP="008C0F5C">
      <w:pPr>
        <w:spacing w:line="360" w:lineRule="auto"/>
        <w:ind w:firstLineChars="200" w:firstLine="480"/>
        <w:rPr>
          <w:rFonts w:ascii="宋体" w:hAnsi="宋体" w:cs="Times New Roman" w:hint="eastAsia"/>
          <w:kern w:val="0"/>
          <w:sz w:val="24"/>
          <w:szCs w:val="24"/>
        </w:rPr>
      </w:pPr>
      <w:r>
        <w:rPr>
          <w:rFonts w:ascii="宋体" w:hAnsi="宋体" w:cs="Times New Roman" w:hint="eastAsia"/>
          <w:kern w:val="0"/>
          <w:sz w:val="24"/>
          <w:szCs w:val="24"/>
        </w:rPr>
        <w:t>业绩比较基准：</w:t>
      </w:r>
      <w:r w:rsidR="00DF7310" w:rsidRPr="00DF7310">
        <w:rPr>
          <w:rFonts w:ascii="宋体" w:hAnsi="宋体" w:cs="Times New Roman"/>
          <w:kern w:val="0"/>
          <w:sz w:val="24"/>
          <w:szCs w:val="24"/>
        </w:rPr>
        <w:t>中证新兴产业指数收益率×50%+中债总财富指数收益率×50%</w:t>
      </w:r>
      <w:r w:rsidR="00DF7310">
        <w:rPr>
          <w:rFonts w:ascii="宋体" w:hAnsi="宋体" w:cs="Times New Roman" w:hint="eastAsia"/>
          <w:kern w:val="0"/>
          <w:sz w:val="24"/>
          <w:szCs w:val="24"/>
        </w:rPr>
        <w:t>。</w:t>
      </w:r>
    </w:p>
    <w:p w:rsidR="00C15633" w:rsidRDefault="00C3777C">
      <w:pPr>
        <w:pStyle w:val="HTML"/>
        <w:shd w:val="clear" w:color="auto" w:fill="FFFFFF"/>
        <w:tabs>
          <w:tab w:val="left" w:pos="435"/>
        </w:tabs>
        <w:spacing w:line="360" w:lineRule="auto"/>
        <w:rPr>
          <w:rFonts w:cs="Times New Roman"/>
          <w:b/>
          <w:bCs/>
          <w:sz w:val="28"/>
          <w:szCs w:val="28"/>
        </w:rPr>
      </w:pPr>
      <w:r>
        <w:rPr>
          <w:rFonts w:hint="eastAsia"/>
          <w:b/>
          <w:bCs/>
          <w:sz w:val="28"/>
          <w:szCs w:val="28"/>
        </w:rPr>
        <w:t>二、基金分析</w:t>
      </w:r>
    </w:p>
    <w:p w:rsidR="00C15633" w:rsidRDefault="00C3777C">
      <w:pPr>
        <w:spacing w:line="360" w:lineRule="auto"/>
        <w:rPr>
          <w:rFonts w:cs="宋体"/>
          <w:b/>
          <w:bCs/>
          <w:sz w:val="24"/>
          <w:szCs w:val="24"/>
        </w:rPr>
      </w:pPr>
      <w:r>
        <w:rPr>
          <w:b/>
          <w:bCs/>
          <w:sz w:val="24"/>
          <w:szCs w:val="24"/>
        </w:rPr>
        <w:t>1</w:t>
      </w:r>
      <w:r>
        <w:rPr>
          <w:rFonts w:cs="宋体" w:hint="eastAsia"/>
          <w:b/>
          <w:bCs/>
          <w:sz w:val="24"/>
          <w:szCs w:val="24"/>
        </w:rPr>
        <w:t>、收益风险分析</w:t>
      </w:r>
    </w:p>
    <w:p w:rsidR="00DF7310" w:rsidRPr="00DF7310" w:rsidRDefault="00C3777C" w:rsidP="00DF7310">
      <w:pPr>
        <w:spacing w:line="360" w:lineRule="auto"/>
        <w:rPr>
          <w:rFonts w:ascii="宋体" w:hAnsi="宋体" w:cs="宋体"/>
          <w:sz w:val="24"/>
          <w:szCs w:val="24"/>
        </w:rPr>
      </w:pPr>
      <w:r>
        <w:rPr>
          <w:rFonts w:ascii="宋体" w:hAnsi="宋体" w:cs="宋体" w:hint="eastAsia"/>
          <w:sz w:val="24"/>
          <w:szCs w:val="24"/>
        </w:rPr>
        <w:t xml:space="preserve">    </w:t>
      </w:r>
      <w:r w:rsidR="00DF7310" w:rsidRPr="00DF7310">
        <w:rPr>
          <w:rFonts w:ascii="宋体" w:hAnsi="宋体" w:cs="宋体" w:hint="eastAsia"/>
          <w:sz w:val="24"/>
          <w:szCs w:val="24"/>
        </w:rPr>
        <w:t>易方达新兴成长灵活配置（200010）是一只混合型基金，2013年11月28日宋昆先生开始掌管该基金。基金近1年累计收益139.94%，同期上证指数上涨73.72%，沪深300指数上涨69.27%。</w:t>
      </w:r>
    </w:p>
    <w:p w:rsidR="00C15633" w:rsidRDefault="00C3777C" w:rsidP="008C0F5C">
      <w:pPr>
        <w:spacing w:line="360" w:lineRule="auto"/>
        <w:rPr>
          <w:rFonts w:ascii="楷体" w:eastAsia="楷体" w:hAnsi="楷体" w:cs="宋体"/>
          <w:b/>
          <w:color w:val="000000"/>
          <w:kern w:val="0"/>
        </w:rPr>
      </w:pPr>
      <w:r>
        <w:rPr>
          <w:rFonts w:ascii="楷体" w:eastAsia="楷体" w:hAnsi="楷体" w:cs="宋体" w:hint="eastAsia"/>
          <w:b/>
          <w:color w:val="000000"/>
          <w:kern w:val="0"/>
        </w:rPr>
        <w:t>图1：近一年来基金累计收益率与上证指数、沪深300走势比较</w:t>
      </w:r>
    </w:p>
    <w:p w:rsidR="00C15633" w:rsidRDefault="00DF7310">
      <w:pPr>
        <w:pBdr>
          <w:top w:val="single" w:sz="6" w:space="1" w:color="auto"/>
          <w:bottom w:val="single" w:sz="6" w:space="1" w:color="auto"/>
        </w:pBdr>
        <w:spacing w:line="360" w:lineRule="auto"/>
        <w:jc w:val="center"/>
        <w:rPr>
          <w:rFonts w:cs="宋体"/>
          <w:b/>
          <w:bCs/>
          <w:sz w:val="24"/>
          <w:szCs w:val="24"/>
        </w:rPr>
      </w:pPr>
      <w:r>
        <w:rPr>
          <w:rFonts w:cs="宋体"/>
          <w:b/>
          <w:bCs/>
          <w:sz w:val="24"/>
          <w:szCs w:val="24"/>
        </w:rPr>
        <w:pict>
          <v:shape id="_x0000_i1025" type="#_x0000_t75" style="width:487.1pt;height:163.4pt">
            <v:imagedata r:id="rId11" o:title="01"/>
          </v:shape>
        </w:pict>
      </w:r>
    </w:p>
    <w:p w:rsidR="00C15633" w:rsidRDefault="00C3777C">
      <w:pPr>
        <w:spacing w:line="360" w:lineRule="auto"/>
        <w:rPr>
          <w:rFonts w:ascii="Arial" w:eastAsia="楷体_GB2312" w:hAnsi="Arial" w:cs="Arial"/>
          <w:i/>
          <w:iCs/>
          <w:sz w:val="20"/>
          <w:szCs w:val="20"/>
        </w:rPr>
      </w:pPr>
      <w:r>
        <w:rPr>
          <w:rFonts w:ascii="Arial" w:eastAsia="楷体_GB2312" w:hAnsi="Arial" w:cs="楷体_GB2312" w:hint="eastAsia"/>
          <w:i/>
          <w:iCs/>
          <w:sz w:val="20"/>
          <w:szCs w:val="20"/>
        </w:rPr>
        <w:t>数据来源：东方财富</w:t>
      </w:r>
      <w:r>
        <w:rPr>
          <w:rFonts w:ascii="Arial" w:eastAsia="楷体_GB2312" w:hAnsi="Arial" w:cs="楷体_GB2312" w:hint="eastAsia"/>
          <w:i/>
          <w:iCs/>
          <w:sz w:val="20"/>
          <w:szCs w:val="20"/>
        </w:rPr>
        <w:t>Choice</w:t>
      </w:r>
      <w:r>
        <w:rPr>
          <w:rFonts w:ascii="Arial" w:eastAsia="楷体_GB2312" w:hAnsi="Arial" w:cs="楷体_GB2312" w:hint="eastAsia"/>
          <w:i/>
          <w:iCs/>
          <w:sz w:val="20"/>
          <w:szCs w:val="20"/>
        </w:rPr>
        <w:t>终端、天天基金研究中心</w:t>
      </w:r>
    </w:p>
    <w:p w:rsidR="00C15633" w:rsidRDefault="00DF7310">
      <w:pPr>
        <w:spacing w:line="360" w:lineRule="auto"/>
        <w:ind w:firstLineChars="200" w:firstLine="480"/>
        <w:rPr>
          <w:rFonts w:ascii="宋体" w:hAnsi="宋体" w:cs="宋体"/>
          <w:sz w:val="24"/>
          <w:szCs w:val="24"/>
        </w:rPr>
      </w:pPr>
      <w:r>
        <w:rPr>
          <w:rFonts w:ascii="宋体" w:hAnsi="宋体" w:cs="宋体" w:hint="eastAsia"/>
          <w:sz w:val="24"/>
          <w:szCs w:val="24"/>
        </w:rPr>
        <w:t>基金成立以来在多个</w:t>
      </w:r>
      <w:r w:rsidR="00C3777C">
        <w:rPr>
          <w:rFonts w:ascii="宋体" w:hAnsi="宋体" w:cs="宋体" w:hint="eastAsia"/>
          <w:sz w:val="24"/>
          <w:szCs w:val="24"/>
        </w:rPr>
        <w:t>阶段表现出色，近1年同类排名</w:t>
      </w:r>
      <w:r>
        <w:rPr>
          <w:rFonts w:ascii="宋体" w:hAnsi="宋体" w:cs="宋体" w:hint="eastAsia"/>
          <w:sz w:val="24"/>
          <w:szCs w:val="24"/>
        </w:rPr>
        <w:t>2</w:t>
      </w:r>
      <w:r w:rsidR="00C3777C">
        <w:rPr>
          <w:rFonts w:ascii="宋体" w:hAnsi="宋体" w:cs="宋体" w:hint="eastAsia"/>
          <w:sz w:val="24"/>
          <w:szCs w:val="24"/>
        </w:rPr>
        <w:t>|</w:t>
      </w:r>
      <w:r>
        <w:rPr>
          <w:rFonts w:ascii="宋体" w:hAnsi="宋体" w:cs="宋体" w:hint="eastAsia"/>
          <w:sz w:val="24"/>
          <w:szCs w:val="24"/>
        </w:rPr>
        <w:t>408</w:t>
      </w:r>
      <w:r w:rsidR="00C3777C">
        <w:rPr>
          <w:rFonts w:ascii="宋体" w:hAnsi="宋体" w:cs="宋体" w:hint="eastAsia"/>
          <w:sz w:val="24"/>
          <w:szCs w:val="24"/>
        </w:rPr>
        <w:t>，近6月同类排名</w:t>
      </w:r>
      <w:r>
        <w:rPr>
          <w:rFonts w:ascii="宋体" w:hAnsi="宋体" w:cs="宋体" w:hint="eastAsia"/>
          <w:sz w:val="24"/>
          <w:szCs w:val="24"/>
        </w:rPr>
        <w:t>5</w:t>
      </w:r>
      <w:r w:rsidR="00C3777C">
        <w:rPr>
          <w:rFonts w:ascii="宋体" w:hAnsi="宋体" w:cs="宋体" w:hint="eastAsia"/>
          <w:sz w:val="24"/>
          <w:szCs w:val="24"/>
        </w:rPr>
        <w:t>|</w:t>
      </w:r>
      <w:r>
        <w:rPr>
          <w:rFonts w:ascii="宋体" w:hAnsi="宋体" w:cs="宋体" w:hint="eastAsia"/>
          <w:sz w:val="24"/>
          <w:szCs w:val="24"/>
        </w:rPr>
        <w:t>468</w:t>
      </w:r>
      <w:r w:rsidR="00C3777C">
        <w:rPr>
          <w:rFonts w:ascii="宋体" w:hAnsi="宋体" w:cs="宋体" w:hint="eastAsia"/>
          <w:sz w:val="24"/>
          <w:szCs w:val="24"/>
        </w:rPr>
        <w:t>，近</w:t>
      </w:r>
      <w:r w:rsidR="00C3777C">
        <w:rPr>
          <w:rFonts w:ascii="宋体" w:hAnsi="宋体" w:cs="宋体" w:hint="eastAsia"/>
          <w:sz w:val="24"/>
          <w:szCs w:val="24"/>
        </w:rPr>
        <w:lastRenderedPageBreak/>
        <w:t>3月同类排名</w:t>
      </w:r>
      <w:r>
        <w:rPr>
          <w:rFonts w:ascii="宋体" w:hAnsi="宋体" w:cs="宋体" w:hint="eastAsia"/>
          <w:sz w:val="24"/>
          <w:szCs w:val="24"/>
        </w:rPr>
        <w:t>356</w:t>
      </w:r>
      <w:r w:rsidR="00C3777C">
        <w:rPr>
          <w:rFonts w:ascii="宋体" w:hAnsi="宋体" w:cs="宋体" w:hint="eastAsia"/>
          <w:sz w:val="24"/>
          <w:szCs w:val="24"/>
        </w:rPr>
        <w:t>|</w:t>
      </w:r>
      <w:r>
        <w:rPr>
          <w:rFonts w:ascii="宋体" w:hAnsi="宋体" w:cs="宋体" w:hint="eastAsia"/>
          <w:sz w:val="24"/>
          <w:szCs w:val="24"/>
        </w:rPr>
        <w:t>573</w:t>
      </w:r>
      <w:r w:rsidR="00C3777C">
        <w:rPr>
          <w:rFonts w:ascii="宋体" w:hAnsi="宋体" w:cs="宋体" w:hint="eastAsia"/>
          <w:sz w:val="24"/>
          <w:szCs w:val="24"/>
        </w:rPr>
        <w:t>,今年来同类排名</w:t>
      </w:r>
      <w:r>
        <w:rPr>
          <w:rFonts w:ascii="宋体" w:hAnsi="宋体" w:cs="宋体" w:hint="eastAsia"/>
          <w:sz w:val="24"/>
          <w:szCs w:val="24"/>
        </w:rPr>
        <w:t>1</w:t>
      </w:r>
      <w:r w:rsidR="00C3777C">
        <w:rPr>
          <w:rFonts w:ascii="宋体" w:hAnsi="宋体" w:cs="宋体" w:hint="eastAsia"/>
          <w:sz w:val="24"/>
          <w:szCs w:val="24"/>
        </w:rPr>
        <w:t>|</w:t>
      </w:r>
      <w:r>
        <w:rPr>
          <w:rFonts w:ascii="宋体" w:hAnsi="宋体" w:cs="宋体" w:hint="eastAsia"/>
          <w:sz w:val="24"/>
          <w:szCs w:val="24"/>
        </w:rPr>
        <w:t>458</w:t>
      </w:r>
      <w:r w:rsidR="00C3777C">
        <w:rPr>
          <w:rFonts w:ascii="宋体" w:hAnsi="宋体" w:cs="宋体" w:hint="eastAsia"/>
          <w:sz w:val="24"/>
          <w:szCs w:val="24"/>
        </w:rPr>
        <w:t>。</w:t>
      </w:r>
    </w:p>
    <w:p w:rsidR="00C15633" w:rsidRDefault="00C3777C">
      <w:pPr>
        <w:spacing w:line="360" w:lineRule="auto"/>
        <w:rPr>
          <w:rFonts w:ascii="楷体" w:eastAsia="楷体" w:hAnsi="楷体" w:cs="宋体"/>
          <w:b/>
          <w:color w:val="000000"/>
          <w:kern w:val="0"/>
        </w:rPr>
      </w:pPr>
      <w:r>
        <w:rPr>
          <w:rFonts w:ascii="楷体" w:eastAsia="楷体" w:hAnsi="楷体" w:cs="宋体" w:hint="eastAsia"/>
          <w:b/>
          <w:color w:val="000000"/>
          <w:kern w:val="0"/>
        </w:rPr>
        <w:t>图2：阶段涨幅</w:t>
      </w:r>
    </w:p>
    <w:p w:rsidR="00C15633" w:rsidRDefault="00DF7310">
      <w:pPr>
        <w:pBdr>
          <w:top w:val="single" w:sz="6" w:space="1" w:color="auto"/>
          <w:bottom w:val="single" w:sz="6" w:space="1" w:color="auto"/>
        </w:pBdr>
        <w:spacing w:line="360" w:lineRule="auto"/>
        <w:jc w:val="center"/>
        <w:rPr>
          <w:rFonts w:cs="宋体"/>
          <w:b/>
          <w:bCs/>
          <w:sz w:val="24"/>
          <w:szCs w:val="24"/>
        </w:rPr>
      </w:pPr>
      <w:r>
        <w:rPr>
          <w:rFonts w:cs="宋体"/>
          <w:b/>
          <w:bCs/>
          <w:sz w:val="24"/>
          <w:szCs w:val="24"/>
        </w:rPr>
        <w:pict>
          <v:shape id="_x0000_i1026" type="#_x0000_t75" style="width:487.1pt;height:120.85pt">
            <v:imagedata r:id="rId12" o:title="02"/>
          </v:shape>
        </w:pict>
      </w:r>
    </w:p>
    <w:p w:rsidR="00C15633" w:rsidRDefault="00C3777C">
      <w:pPr>
        <w:spacing w:line="360" w:lineRule="auto"/>
        <w:rPr>
          <w:rFonts w:ascii="Arial" w:eastAsia="楷体_GB2312" w:hAnsi="Arial" w:cs="楷体_GB2312"/>
          <w:i/>
          <w:iCs/>
          <w:sz w:val="20"/>
          <w:szCs w:val="20"/>
        </w:rPr>
      </w:pPr>
      <w:r>
        <w:rPr>
          <w:rFonts w:ascii="Arial" w:eastAsia="楷体_GB2312" w:hAnsi="Arial" w:cs="楷体_GB2312" w:hint="eastAsia"/>
          <w:i/>
          <w:iCs/>
          <w:sz w:val="20"/>
          <w:szCs w:val="20"/>
        </w:rPr>
        <w:t>数据来源：东方财富</w:t>
      </w:r>
      <w:r>
        <w:rPr>
          <w:rFonts w:ascii="Arial" w:eastAsia="楷体_GB2312" w:hAnsi="Arial" w:cs="楷体_GB2312" w:hint="eastAsia"/>
          <w:i/>
          <w:iCs/>
          <w:sz w:val="20"/>
          <w:szCs w:val="20"/>
        </w:rPr>
        <w:t>Choice</w:t>
      </w:r>
      <w:r>
        <w:rPr>
          <w:rFonts w:ascii="Arial" w:eastAsia="楷体_GB2312" w:hAnsi="Arial" w:cs="楷体_GB2312" w:hint="eastAsia"/>
          <w:i/>
          <w:iCs/>
          <w:sz w:val="20"/>
          <w:szCs w:val="20"/>
        </w:rPr>
        <w:t>终端、天天基金研究中心</w:t>
      </w:r>
    </w:p>
    <w:p w:rsidR="00DF7310" w:rsidRPr="00DF7310" w:rsidRDefault="00DF7310" w:rsidP="00DF7310">
      <w:pPr>
        <w:spacing w:line="360" w:lineRule="auto"/>
        <w:ind w:firstLineChars="200" w:firstLine="420"/>
        <w:rPr>
          <w:rFonts w:hint="eastAsia"/>
        </w:rPr>
      </w:pPr>
      <w:r w:rsidRPr="00DF7310">
        <w:rPr>
          <w:rFonts w:hint="eastAsia"/>
        </w:rPr>
        <w:t>截至</w:t>
      </w:r>
      <w:r w:rsidRPr="00DF7310">
        <w:rPr>
          <w:rFonts w:hint="eastAsia"/>
        </w:rPr>
        <w:t>2015-06-30</w:t>
      </w:r>
      <w:r w:rsidRPr="00DF7310">
        <w:rPr>
          <w:rFonts w:hint="eastAsia"/>
        </w:rPr>
        <w:t>，</w:t>
      </w:r>
      <w:hyperlink r:id="rId13" w:history="1">
        <w:r w:rsidRPr="00DF7310">
          <w:rPr>
            <w:rFonts w:hint="eastAsia"/>
          </w:rPr>
          <w:t>易方达新兴成长灵活配置</w:t>
        </w:r>
      </w:hyperlink>
      <w:r w:rsidRPr="00DF7310">
        <w:rPr>
          <w:rFonts w:hint="eastAsia"/>
        </w:rPr>
        <w:t>,</w:t>
      </w:r>
      <w:r w:rsidRPr="00DF7310">
        <w:rPr>
          <w:rFonts w:hint="eastAsia"/>
        </w:rPr>
        <w:t>期末净资产</w:t>
      </w:r>
      <w:r w:rsidRPr="00DF7310">
        <w:rPr>
          <w:rFonts w:hint="eastAsia"/>
        </w:rPr>
        <w:t>22.22</w:t>
      </w:r>
      <w:r w:rsidRPr="00DF7310">
        <w:rPr>
          <w:rFonts w:hint="eastAsia"/>
        </w:rPr>
        <w:t>亿元，比上期增加</w:t>
      </w:r>
      <w:r w:rsidRPr="00DF7310">
        <w:rPr>
          <w:rFonts w:hint="eastAsia"/>
        </w:rPr>
        <w:t>3.12%</w:t>
      </w:r>
      <w:r>
        <w:rPr>
          <w:rFonts w:hint="eastAsia"/>
        </w:rPr>
        <w:t>。</w:t>
      </w:r>
    </w:p>
    <w:p w:rsidR="00C15633" w:rsidRDefault="00C3777C">
      <w:pPr>
        <w:spacing w:line="360" w:lineRule="auto"/>
        <w:rPr>
          <w:rFonts w:ascii="宋体" w:hAnsi="宋体" w:cs="宋体"/>
          <w:sz w:val="24"/>
          <w:szCs w:val="24"/>
        </w:rPr>
      </w:pPr>
      <w:r>
        <w:rPr>
          <w:rFonts w:ascii="楷体" w:eastAsia="楷体" w:hAnsi="楷体" w:cs="宋体" w:hint="eastAsia"/>
          <w:b/>
          <w:color w:val="000000"/>
          <w:kern w:val="0"/>
        </w:rPr>
        <w:t>图3：份额规模变动</w:t>
      </w:r>
    </w:p>
    <w:p w:rsidR="00C15633" w:rsidRDefault="00DF7310">
      <w:pPr>
        <w:pBdr>
          <w:top w:val="single" w:sz="6" w:space="1" w:color="auto"/>
          <w:bottom w:val="single" w:sz="6" w:space="1" w:color="auto"/>
        </w:pBdr>
        <w:spacing w:line="360" w:lineRule="auto"/>
        <w:jc w:val="center"/>
        <w:rPr>
          <w:rFonts w:cs="宋体"/>
          <w:b/>
          <w:bCs/>
          <w:sz w:val="24"/>
          <w:szCs w:val="24"/>
        </w:rPr>
      </w:pPr>
      <w:r>
        <w:rPr>
          <w:rFonts w:cs="宋体"/>
          <w:b/>
          <w:bCs/>
          <w:sz w:val="24"/>
          <w:szCs w:val="24"/>
        </w:rPr>
        <w:pict>
          <v:shape id="_x0000_i1027" type="#_x0000_t75" style="width:487.1pt;height:205.35pt">
            <v:imagedata r:id="rId14" o:title="03"/>
          </v:shape>
        </w:pict>
      </w:r>
    </w:p>
    <w:p w:rsidR="00C15633" w:rsidRDefault="00C3777C">
      <w:pPr>
        <w:spacing w:line="360" w:lineRule="auto"/>
        <w:rPr>
          <w:rFonts w:ascii="Arial" w:eastAsia="楷体_GB2312" w:hAnsi="Arial" w:cs="楷体_GB2312"/>
          <w:i/>
          <w:iCs/>
          <w:sz w:val="20"/>
          <w:szCs w:val="20"/>
        </w:rPr>
      </w:pPr>
      <w:r>
        <w:rPr>
          <w:rFonts w:ascii="Arial" w:eastAsia="楷体_GB2312" w:hAnsi="Arial" w:cs="楷体_GB2312" w:hint="eastAsia"/>
          <w:i/>
          <w:iCs/>
          <w:sz w:val="20"/>
          <w:szCs w:val="20"/>
        </w:rPr>
        <w:t>数据来源：东方财富</w:t>
      </w:r>
      <w:r>
        <w:rPr>
          <w:rFonts w:ascii="Arial" w:eastAsia="楷体_GB2312" w:hAnsi="Arial" w:cs="楷体_GB2312" w:hint="eastAsia"/>
          <w:i/>
          <w:iCs/>
          <w:sz w:val="20"/>
          <w:szCs w:val="20"/>
        </w:rPr>
        <w:t>Choice</w:t>
      </w:r>
      <w:r>
        <w:rPr>
          <w:rFonts w:ascii="Arial" w:eastAsia="楷体_GB2312" w:hAnsi="Arial" w:cs="楷体_GB2312" w:hint="eastAsia"/>
          <w:i/>
          <w:iCs/>
          <w:sz w:val="20"/>
          <w:szCs w:val="20"/>
        </w:rPr>
        <w:t>终端、天天基金研究中心</w:t>
      </w:r>
    </w:p>
    <w:p w:rsidR="00C15633" w:rsidRDefault="00C3777C">
      <w:pPr>
        <w:spacing w:line="360" w:lineRule="auto"/>
        <w:rPr>
          <w:rFonts w:ascii="楷体" w:eastAsia="楷体" w:hAnsi="楷体" w:cs="宋体"/>
          <w:b/>
          <w:color w:val="000000"/>
          <w:kern w:val="0"/>
        </w:rPr>
      </w:pPr>
      <w:r>
        <w:rPr>
          <w:rFonts w:ascii="楷体" w:eastAsia="楷体" w:hAnsi="楷体" w:cs="宋体" w:hint="eastAsia"/>
          <w:b/>
          <w:color w:val="000000"/>
          <w:kern w:val="0"/>
        </w:rPr>
        <w:t>图4：净资产规模变动</w:t>
      </w:r>
    </w:p>
    <w:p w:rsidR="00C15633" w:rsidRDefault="00DF7310">
      <w:pPr>
        <w:pBdr>
          <w:top w:val="single" w:sz="6" w:space="1" w:color="auto"/>
          <w:bottom w:val="single" w:sz="6" w:space="1" w:color="auto"/>
        </w:pBdr>
        <w:spacing w:line="360" w:lineRule="auto"/>
        <w:jc w:val="center"/>
        <w:rPr>
          <w:rFonts w:cs="宋体"/>
          <w:b/>
          <w:bCs/>
          <w:sz w:val="24"/>
          <w:szCs w:val="24"/>
        </w:rPr>
      </w:pPr>
      <w:r>
        <w:rPr>
          <w:rFonts w:cs="宋体"/>
          <w:b/>
          <w:bCs/>
          <w:sz w:val="24"/>
          <w:szCs w:val="24"/>
        </w:rPr>
        <w:lastRenderedPageBreak/>
        <w:pict>
          <v:shape id="_x0000_i1028" type="#_x0000_t75" style="width:487.1pt;height:200.95pt">
            <v:imagedata r:id="rId15" o:title="04"/>
          </v:shape>
        </w:pict>
      </w:r>
    </w:p>
    <w:p w:rsidR="00C15633" w:rsidRPr="00DF7310" w:rsidRDefault="00C3777C">
      <w:pPr>
        <w:spacing w:line="360" w:lineRule="auto"/>
        <w:rPr>
          <w:rFonts w:ascii="Arial" w:eastAsia="楷体_GB2312" w:hAnsi="Arial" w:cs="楷体_GB2312"/>
          <w:i/>
          <w:iCs/>
          <w:sz w:val="20"/>
          <w:szCs w:val="20"/>
        </w:rPr>
      </w:pPr>
      <w:r w:rsidRPr="00DF7310">
        <w:rPr>
          <w:rFonts w:ascii="Arial" w:eastAsia="楷体_GB2312" w:hAnsi="Arial" w:cs="楷体_GB2312" w:hint="eastAsia"/>
          <w:i/>
          <w:iCs/>
          <w:sz w:val="20"/>
          <w:szCs w:val="20"/>
        </w:rPr>
        <w:t>数据来源：东方财富</w:t>
      </w:r>
      <w:r w:rsidRPr="00DF7310">
        <w:rPr>
          <w:rFonts w:ascii="Arial" w:eastAsia="楷体_GB2312" w:hAnsi="Arial" w:cs="楷体_GB2312" w:hint="eastAsia"/>
          <w:i/>
          <w:iCs/>
          <w:sz w:val="20"/>
          <w:szCs w:val="20"/>
        </w:rPr>
        <w:t>Choice</w:t>
      </w:r>
      <w:r w:rsidRPr="00DF7310">
        <w:rPr>
          <w:rFonts w:ascii="Arial" w:eastAsia="楷体_GB2312" w:hAnsi="Arial" w:cs="楷体_GB2312" w:hint="eastAsia"/>
          <w:i/>
          <w:iCs/>
          <w:sz w:val="20"/>
          <w:szCs w:val="20"/>
        </w:rPr>
        <w:t>终端、天天基金研究中心</w:t>
      </w:r>
    </w:p>
    <w:p w:rsidR="00DF7310" w:rsidRPr="00DF7310" w:rsidRDefault="00DF7310" w:rsidP="00DF7310">
      <w:pPr>
        <w:spacing w:line="360" w:lineRule="auto"/>
        <w:ind w:firstLineChars="200" w:firstLine="420"/>
        <w:rPr>
          <w:rFonts w:hint="eastAsia"/>
        </w:rPr>
      </w:pPr>
      <w:r w:rsidRPr="00DF7310">
        <w:rPr>
          <w:rFonts w:hint="eastAsia"/>
        </w:rPr>
        <w:t>截至</w:t>
      </w:r>
      <w:r w:rsidRPr="00DF7310">
        <w:rPr>
          <w:rFonts w:hint="eastAsia"/>
        </w:rPr>
        <w:t>2014-12-31</w:t>
      </w:r>
      <w:r w:rsidRPr="00DF7310">
        <w:rPr>
          <w:rFonts w:hint="eastAsia"/>
        </w:rPr>
        <w:t>，</w:t>
      </w:r>
      <w:hyperlink r:id="rId16" w:history="1">
        <w:r w:rsidRPr="00DF7310">
          <w:rPr>
            <w:rFonts w:hint="eastAsia"/>
          </w:rPr>
          <w:t>易方达新兴成长灵活配置</w:t>
        </w:r>
      </w:hyperlink>
      <w:r w:rsidRPr="00DF7310">
        <w:rPr>
          <w:rFonts w:hint="eastAsia"/>
        </w:rPr>
        <w:t> </w:t>
      </w:r>
      <w:r w:rsidRPr="00DF7310">
        <w:rPr>
          <w:rFonts w:hint="eastAsia"/>
        </w:rPr>
        <w:t>的基金机构持有</w:t>
      </w:r>
      <w:r w:rsidRPr="00DF7310">
        <w:rPr>
          <w:rFonts w:hint="eastAsia"/>
        </w:rPr>
        <w:t>3.23</w:t>
      </w:r>
      <w:r w:rsidRPr="00DF7310">
        <w:rPr>
          <w:rFonts w:hint="eastAsia"/>
        </w:rPr>
        <w:t>亿份，占总份额的</w:t>
      </w:r>
      <w:r w:rsidRPr="00DF7310">
        <w:rPr>
          <w:rFonts w:hint="eastAsia"/>
        </w:rPr>
        <w:t>58.22%</w:t>
      </w:r>
      <w:r w:rsidRPr="00DF7310">
        <w:rPr>
          <w:rFonts w:hint="eastAsia"/>
        </w:rPr>
        <w:t>，个人投资者持有</w:t>
      </w:r>
      <w:r w:rsidRPr="00DF7310">
        <w:rPr>
          <w:rFonts w:hint="eastAsia"/>
        </w:rPr>
        <w:t>2.32</w:t>
      </w:r>
      <w:r w:rsidRPr="00DF7310">
        <w:rPr>
          <w:rFonts w:hint="eastAsia"/>
        </w:rPr>
        <w:t>亿份，占总份额的</w:t>
      </w:r>
      <w:r w:rsidRPr="00DF7310">
        <w:rPr>
          <w:rFonts w:hint="eastAsia"/>
        </w:rPr>
        <w:t>41.78%</w:t>
      </w:r>
    </w:p>
    <w:p w:rsidR="00C15633" w:rsidRDefault="00C3777C">
      <w:pPr>
        <w:spacing w:line="360" w:lineRule="auto"/>
        <w:rPr>
          <w:rFonts w:ascii="楷体" w:eastAsia="楷体" w:hAnsi="楷体" w:cs="宋体"/>
          <w:b/>
          <w:color w:val="000000"/>
          <w:kern w:val="0"/>
        </w:rPr>
      </w:pPr>
      <w:r>
        <w:rPr>
          <w:rFonts w:ascii="楷体" w:eastAsia="楷体" w:hAnsi="楷体" w:cs="宋体" w:hint="eastAsia"/>
          <w:b/>
          <w:color w:val="000000"/>
          <w:kern w:val="0"/>
        </w:rPr>
        <w:t>图5：持有人结构</w:t>
      </w:r>
    </w:p>
    <w:p w:rsidR="00C15633" w:rsidRDefault="00DF7310">
      <w:pPr>
        <w:pBdr>
          <w:top w:val="single" w:sz="6" w:space="1" w:color="auto"/>
          <w:bottom w:val="single" w:sz="6" w:space="1" w:color="auto"/>
        </w:pBdr>
        <w:spacing w:line="360" w:lineRule="auto"/>
        <w:jc w:val="center"/>
        <w:rPr>
          <w:rFonts w:cs="宋体"/>
          <w:b/>
          <w:bCs/>
          <w:sz w:val="24"/>
          <w:szCs w:val="24"/>
        </w:rPr>
      </w:pPr>
      <w:r>
        <w:pict>
          <v:shape id="_x0000_i1029" type="#_x0000_t75" style="width:487.1pt;height:214.1pt">
            <v:imagedata r:id="rId17" o:title="05"/>
          </v:shape>
        </w:pict>
      </w:r>
    </w:p>
    <w:p w:rsidR="00C15633" w:rsidRDefault="00C3777C">
      <w:pPr>
        <w:spacing w:line="360" w:lineRule="auto"/>
        <w:rPr>
          <w:rFonts w:ascii="Arial" w:eastAsia="楷体_GB2312" w:hAnsi="Arial" w:cs="楷体_GB2312"/>
          <w:i/>
          <w:iCs/>
          <w:sz w:val="20"/>
          <w:szCs w:val="20"/>
        </w:rPr>
      </w:pPr>
      <w:r>
        <w:rPr>
          <w:rFonts w:ascii="Arial" w:eastAsia="楷体_GB2312" w:hAnsi="Arial" w:cs="楷体_GB2312" w:hint="eastAsia"/>
          <w:i/>
          <w:iCs/>
          <w:sz w:val="20"/>
          <w:szCs w:val="20"/>
        </w:rPr>
        <w:t>数据来源：东方财富</w:t>
      </w:r>
      <w:r>
        <w:rPr>
          <w:rFonts w:ascii="Arial" w:eastAsia="楷体_GB2312" w:hAnsi="Arial" w:cs="楷体_GB2312" w:hint="eastAsia"/>
          <w:i/>
          <w:iCs/>
          <w:sz w:val="20"/>
          <w:szCs w:val="20"/>
        </w:rPr>
        <w:t>Choice</w:t>
      </w:r>
      <w:r>
        <w:rPr>
          <w:rFonts w:ascii="Arial" w:eastAsia="楷体_GB2312" w:hAnsi="Arial" w:cs="楷体_GB2312" w:hint="eastAsia"/>
          <w:i/>
          <w:iCs/>
          <w:sz w:val="20"/>
          <w:szCs w:val="20"/>
        </w:rPr>
        <w:t>终端、天天基金研究中心</w:t>
      </w:r>
    </w:p>
    <w:p w:rsidR="00DF7310" w:rsidRDefault="00DF7310" w:rsidP="00DF7310">
      <w:pPr>
        <w:spacing w:line="360" w:lineRule="auto"/>
        <w:ind w:firstLineChars="200" w:firstLine="480"/>
        <w:rPr>
          <w:rFonts w:ascii="宋体" w:hAnsi="宋体" w:cs="宋体" w:hint="eastAsia"/>
          <w:sz w:val="24"/>
          <w:szCs w:val="24"/>
        </w:rPr>
      </w:pPr>
      <w:r w:rsidRPr="00DF7310">
        <w:rPr>
          <w:rFonts w:ascii="宋体" w:hAnsi="宋体" w:cs="宋体"/>
          <w:sz w:val="24"/>
          <w:szCs w:val="24"/>
        </w:rPr>
        <w:t>截至2015-06-30，</w:t>
      </w:r>
      <w:hyperlink r:id="rId18" w:history="1">
        <w:r w:rsidRPr="00DF7310">
          <w:rPr>
            <w:rFonts w:ascii="宋体" w:hAnsi="宋体" w:cs="宋体"/>
            <w:sz w:val="24"/>
            <w:szCs w:val="24"/>
          </w:rPr>
          <w:t>易方达新兴成长灵活配置</w:t>
        </w:r>
      </w:hyperlink>
      <w:r w:rsidRPr="00DF7310">
        <w:rPr>
          <w:rFonts w:ascii="宋体" w:hAnsi="宋体" w:cs="宋体"/>
          <w:sz w:val="24"/>
          <w:szCs w:val="24"/>
        </w:rPr>
        <w:t>净资产规模22.22亿元，比上一期（2015-03-31）增加了3.12%，股票配置占比上期增加1.22%</w:t>
      </w:r>
      <w:r>
        <w:rPr>
          <w:rFonts w:ascii="宋体" w:hAnsi="宋体" w:cs="宋体" w:hint="eastAsia"/>
          <w:sz w:val="24"/>
          <w:szCs w:val="24"/>
        </w:rPr>
        <w:t>。</w:t>
      </w:r>
    </w:p>
    <w:p w:rsidR="00C15633" w:rsidRDefault="00C3777C">
      <w:pPr>
        <w:spacing w:line="360" w:lineRule="auto"/>
        <w:rPr>
          <w:rFonts w:ascii="楷体" w:eastAsia="楷体" w:hAnsi="楷体" w:cs="宋体"/>
          <w:b/>
          <w:color w:val="000000"/>
          <w:kern w:val="0"/>
        </w:rPr>
      </w:pPr>
      <w:r>
        <w:rPr>
          <w:rFonts w:ascii="楷体" w:eastAsia="楷体" w:hAnsi="楷体" w:cs="宋体" w:hint="eastAsia"/>
          <w:b/>
          <w:color w:val="000000"/>
          <w:kern w:val="0"/>
        </w:rPr>
        <w:t>图6：资产配置</w:t>
      </w:r>
    </w:p>
    <w:p w:rsidR="00C15633" w:rsidRDefault="00DF7310">
      <w:pPr>
        <w:pBdr>
          <w:top w:val="single" w:sz="6" w:space="1" w:color="auto"/>
          <w:bottom w:val="single" w:sz="6" w:space="1" w:color="auto"/>
        </w:pBdr>
        <w:spacing w:line="360" w:lineRule="auto"/>
        <w:jc w:val="center"/>
        <w:rPr>
          <w:rFonts w:cs="宋体"/>
          <w:b/>
          <w:bCs/>
          <w:sz w:val="24"/>
          <w:szCs w:val="24"/>
        </w:rPr>
      </w:pPr>
      <w:r>
        <w:lastRenderedPageBreak/>
        <w:pict>
          <v:shape id="_x0000_i1030" type="#_x0000_t75" style="width:487.1pt;height:213.5pt">
            <v:imagedata r:id="rId19" o:title="06"/>
          </v:shape>
        </w:pict>
      </w:r>
    </w:p>
    <w:p w:rsidR="00C15633" w:rsidRDefault="00C3777C" w:rsidP="008C0F5C">
      <w:pPr>
        <w:spacing w:line="360" w:lineRule="auto"/>
        <w:ind w:firstLineChars="200" w:firstLine="480"/>
        <w:rPr>
          <w:rFonts w:ascii="宋体" w:hAnsi="宋体" w:cs="宋体"/>
          <w:sz w:val="24"/>
          <w:szCs w:val="24"/>
        </w:rPr>
      </w:pPr>
      <w:r>
        <w:rPr>
          <w:rFonts w:ascii="宋体" w:hAnsi="宋体" w:cs="宋体" w:hint="eastAsia"/>
          <w:sz w:val="24"/>
          <w:szCs w:val="24"/>
        </w:rPr>
        <w:t>本基金2015</w:t>
      </w:r>
      <w:r w:rsidR="00DF7310">
        <w:rPr>
          <w:rFonts w:ascii="宋体" w:hAnsi="宋体" w:cs="宋体" w:hint="eastAsia"/>
          <w:sz w:val="24"/>
          <w:szCs w:val="24"/>
        </w:rPr>
        <w:t>年第二</w:t>
      </w:r>
      <w:r>
        <w:rPr>
          <w:rFonts w:ascii="宋体" w:hAnsi="宋体" w:cs="宋体" w:hint="eastAsia"/>
          <w:sz w:val="24"/>
          <w:szCs w:val="24"/>
        </w:rPr>
        <w:t>季度配置制造业最多，占</w:t>
      </w:r>
      <w:r w:rsidR="00DF7310">
        <w:rPr>
          <w:rFonts w:ascii="宋体" w:hAnsi="宋体" w:cs="宋体" w:hint="eastAsia"/>
          <w:sz w:val="24"/>
          <w:szCs w:val="24"/>
        </w:rPr>
        <w:t>39.58</w:t>
      </w:r>
      <w:r>
        <w:rPr>
          <w:rFonts w:ascii="宋体" w:hAnsi="宋体" w:cs="宋体" w:hint="eastAsia"/>
          <w:sz w:val="24"/>
          <w:szCs w:val="24"/>
        </w:rPr>
        <w:t>%，其次是</w:t>
      </w:r>
      <w:r w:rsidR="008546AE" w:rsidRPr="008546AE">
        <w:rPr>
          <w:rFonts w:ascii="宋体" w:hAnsi="宋体" w:cs="宋体"/>
          <w:sz w:val="24"/>
          <w:szCs w:val="24"/>
        </w:rPr>
        <w:t>信息传输、软件和信息技术服务业</w:t>
      </w:r>
      <w:r w:rsidR="008546AE" w:rsidRPr="008546AE">
        <w:rPr>
          <w:rFonts w:ascii="宋体" w:hAnsi="宋体" w:cs="宋体" w:hint="eastAsia"/>
          <w:sz w:val="24"/>
          <w:szCs w:val="24"/>
        </w:rPr>
        <w:t>占</w:t>
      </w:r>
      <w:r w:rsidR="00DF7310">
        <w:rPr>
          <w:rFonts w:ascii="宋体" w:hAnsi="宋体" w:cs="宋体" w:hint="eastAsia"/>
          <w:sz w:val="24"/>
          <w:szCs w:val="24"/>
        </w:rPr>
        <w:t>36.32</w:t>
      </w:r>
      <w:r w:rsidR="008546AE" w:rsidRPr="008546AE">
        <w:rPr>
          <w:rFonts w:ascii="宋体" w:hAnsi="宋体" w:cs="宋体" w:hint="eastAsia"/>
          <w:sz w:val="24"/>
          <w:szCs w:val="24"/>
        </w:rPr>
        <w:t>%，</w:t>
      </w:r>
      <w:r w:rsidR="00DF7310" w:rsidRPr="00DF7310">
        <w:rPr>
          <w:rFonts w:ascii="宋体" w:hAnsi="宋体" w:cs="宋体"/>
          <w:sz w:val="24"/>
          <w:szCs w:val="24"/>
        </w:rPr>
        <w:t>卫生和社会工作</w:t>
      </w:r>
      <w:r w:rsidR="00DF7310" w:rsidRPr="00DF7310">
        <w:rPr>
          <w:rFonts w:ascii="宋体" w:hAnsi="宋体" w:cs="宋体" w:hint="eastAsia"/>
          <w:sz w:val="24"/>
          <w:szCs w:val="24"/>
        </w:rPr>
        <w:t>占10.26%，</w:t>
      </w:r>
      <w:r w:rsidR="00DF7310" w:rsidRPr="00DF7310">
        <w:rPr>
          <w:rFonts w:ascii="宋体" w:hAnsi="宋体" w:cs="宋体"/>
          <w:sz w:val="24"/>
          <w:szCs w:val="24"/>
        </w:rPr>
        <w:t>科学研究和技术服务业</w:t>
      </w:r>
      <w:r w:rsidR="00DF7310" w:rsidRPr="00DF7310">
        <w:rPr>
          <w:rFonts w:ascii="宋体" w:hAnsi="宋体" w:cs="宋体" w:hint="eastAsia"/>
          <w:sz w:val="24"/>
          <w:szCs w:val="24"/>
        </w:rPr>
        <w:t>占6.68%。</w:t>
      </w:r>
    </w:p>
    <w:p w:rsidR="00C15633" w:rsidRDefault="00C3777C">
      <w:pPr>
        <w:spacing w:line="360" w:lineRule="auto"/>
        <w:rPr>
          <w:rFonts w:ascii="楷体" w:eastAsia="楷体" w:hAnsi="楷体" w:cs="宋体"/>
          <w:b/>
          <w:color w:val="000000"/>
          <w:kern w:val="0"/>
        </w:rPr>
      </w:pPr>
      <w:r>
        <w:rPr>
          <w:rFonts w:ascii="楷体" w:eastAsia="楷体" w:hAnsi="楷体" w:cs="宋体" w:hint="eastAsia"/>
          <w:b/>
          <w:color w:val="000000"/>
          <w:kern w:val="0"/>
        </w:rPr>
        <w:t>图7：2015</w:t>
      </w:r>
      <w:r w:rsidR="00DF7310">
        <w:rPr>
          <w:rFonts w:ascii="楷体" w:eastAsia="楷体" w:hAnsi="楷体" w:cs="宋体" w:hint="eastAsia"/>
          <w:b/>
          <w:color w:val="000000"/>
          <w:kern w:val="0"/>
        </w:rPr>
        <w:t>年二</w:t>
      </w:r>
      <w:r>
        <w:rPr>
          <w:rFonts w:ascii="楷体" w:eastAsia="楷体" w:hAnsi="楷体" w:cs="宋体" w:hint="eastAsia"/>
          <w:b/>
          <w:color w:val="000000"/>
          <w:kern w:val="0"/>
        </w:rPr>
        <w:t>季度行业配置</w:t>
      </w:r>
    </w:p>
    <w:p w:rsidR="00C15633" w:rsidRDefault="00DF7310">
      <w:pPr>
        <w:pBdr>
          <w:top w:val="single" w:sz="6" w:space="1" w:color="auto"/>
          <w:bottom w:val="single" w:sz="6" w:space="1" w:color="auto"/>
        </w:pBdr>
        <w:spacing w:line="360" w:lineRule="auto"/>
        <w:jc w:val="center"/>
        <w:rPr>
          <w:rFonts w:cs="宋体"/>
          <w:b/>
          <w:bCs/>
          <w:sz w:val="24"/>
          <w:szCs w:val="24"/>
        </w:rPr>
      </w:pPr>
      <w:r w:rsidRPr="00DF7310">
        <w:rPr>
          <w:rFonts w:cs="宋体"/>
          <w:b/>
          <w:noProof/>
          <w:sz w:val="24"/>
          <w:szCs w:val="24"/>
        </w:rPr>
        <w:pict>
          <v:shape id="图表 1" o:spid="_x0000_i1031" type="#_x0000_t75" style="width:361.25pt;height:216.6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">
            <v:imagedata r:id="rId20" o:title=""/>
            <o:lock v:ext="edit" aspectratio="f"/>
          </v:shape>
        </w:pict>
      </w:r>
    </w:p>
    <w:p w:rsidR="00C15633" w:rsidRDefault="00C3777C">
      <w:pPr>
        <w:spacing w:line="360" w:lineRule="auto"/>
        <w:rPr>
          <w:rFonts w:ascii="宋体" w:hAnsi="宋体" w:cs="宋体"/>
          <w:sz w:val="24"/>
          <w:szCs w:val="24"/>
        </w:rPr>
      </w:pPr>
      <w:r>
        <w:rPr>
          <w:rFonts w:ascii="Arial" w:eastAsia="楷体_GB2312" w:hAnsi="Arial" w:cs="楷体_GB2312" w:hint="eastAsia"/>
          <w:i/>
          <w:iCs/>
          <w:sz w:val="20"/>
          <w:szCs w:val="20"/>
        </w:rPr>
        <w:t>数据来源：东方财富</w:t>
      </w:r>
      <w:r>
        <w:rPr>
          <w:rFonts w:ascii="Arial" w:eastAsia="楷体_GB2312" w:hAnsi="Arial" w:cs="楷体_GB2312" w:hint="eastAsia"/>
          <w:i/>
          <w:iCs/>
          <w:sz w:val="20"/>
          <w:szCs w:val="20"/>
        </w:rPr>
        <w:t>Choice</w:t>
      </w:r>
      <w:r>
        <w:rPr>
          <w:rFonts w:ascii="Arial" w:eastAsia="楷体_GB2312" w:hAnsi="Arial" w:cs="楷体_GB2312" w:hint="eastAsia"/>
          <w:i/>
          <w:iCs/>
          <w:sz w:val="20"/>
          <w:szCs w:val="20"/>
        </w:rPr>
        <w:t>终端、天天基金研究中心</w:t>
      </w:r>
    </w:p>
    <w:p w:rsidR="00C15633" w:rsidRDefault="00C3777C">
      <w:pPr>
        <w:spacing w:line="360" w:lineRule="auto"/>
        <w:ind w:firstLineChars="200" w:firstLine="480"/>
        <w:rPr>
          <w:rFonts w:ascii="宋体" w:hAnsi="宋体" w:cs="宋体"/>
          <w:sz w:val="24"/>
          <w:szCs w:val="24"/>
        </w:rPr>
      </w:pPr>
      <w:r>
        <w:rPr>
          <w:rFonts w:ascii="宋体" w:hAnsi="宋体" w:cs="宋体" w:hint="eastAsia"/>
          <w:sz w:val="24"/>
          <w:szCs w:val="24"/>
        </w:rPr>
        <w:t>近一年本基金持仓股票如下表所示：</w:t>
      </w:r>
    </w:p>
    <w:p w:rsidR="00C15633" w:rsidRDefault="00C3777C">
      <w:pPr>
        <w:spacing w:line="360" w:lineRule="auto"/>
        <w:rPr>
          <w:rFonts w:ascii="楷体" w:eastAsia="楷体" w:hAnsi="楷体" w:cs="宋体"/>
          <w:b/>
          <w:color w:val="000000"/>
          <w:kern w:val="0"/>
        </w:rPr>
      </w:pPr>
      <w:r>
        <w:rPr>
          <w:rFonts w:ascii="楷体" w:eastAsia="楷体" w:hAnsi="楷体" w:cs="宋体" w:hint="eastAsia"/>
          <w:b/>
          <w:color w:val="000000"/>
          <w:kern w:val="0"/>
        </w:rPr>
        <w:t>表1： 近一年基金重仓</w:t>
      </w:r>
    </w:p>
    <w:tbl>
      <w:tblPr>
        <w:tblW w:w="8640" w:type="dxa"/>
        <w:tblInd w:w="95" w:type="dxa"/>
        <w:tblLook w:val="04A0"/>
      </w:tblPr>
      <w:tblGrid>
        <w:gridCol w:w="1080"/>
        <w:gridCol w:w="1080"/>
        <w:gridCol w:w="1080"/>
        <w:gridCol w:w="1080"/>
        <w:gridCol w:w="1080"/>
        <w:gridCol w:w="1080"/>
        <w:gridCol w:w="1080"/>
        <w:gridCol w:w="1080"/>
      </w:tblGrid>
      <w:tr w:rsidR="00DF7310" w:rsidRPr="00DF7310" w:rsidTr="00DF7310">
        <w:trPr>
          <w:trHeight w:val="465"/>
        </w:trPr>
        <w:tc>
          <w:tcPr>
            <w:tcW w:w="2160" w:type="dxa"/>
            <w:gridSpan w:val="2"/>
            <w:tcBorders>
              <w:top w:val="single" w:sz="8" w:space="0" w:color="auto"/>
              <w:left w:val="single" w:sz="8" w:space="0" w:color="auto"/>
              <w:bottom w:val="single" w:sz="8" w:space="0" w:color="auto"/>
              <w:right w:val="single" w:sz="8" w:space="0" w:color="auto"/>
            </w:tcBorders>
            <w:shd w:val="clear" w:color="auto" w:fill="auto"/>
            <w:noWrap/>
            <w:vAlign w:val="center"/>
            <w:hideMark/>
          </w:tcPr>
          <w:p w:rsidR="00DF7310" w:rsidRPr="00DF7310" w:rsidRDefault="00DF7310" w:rsidP="00DF7310">
            <w:pPr>
              <w:widowControl/>
              <w:jc w:val="center"/>
              <w:rPr>
                <w:rFonts w:ascii="宋体" w:hAnsi="宋体" w:cs="宋体"/>
                <w:color w:val="000000"/>
                <w:kern w:val="0"/>
                <w:sz w:val="22"/>
                <w:szCs w:val="22"/>
              </w:rPr>
            </w:pPr>
            <w:r w:rsidRPr="00DF7310">
              <w:rPr>
                <w:rFonts w:ascii="宋体" w:hAnsi="宋体" w:cs="宋体" w:hint="eastAsia"/>
                <w:color w:val="000000"/>
                <w:kern w:val="0"/>
                <w:sz w:val="22"/>
                <w:szCs w:val="22"/>
              </w:rPr>
              <w:t>2015年第二季度</w:t>
            </w:r>
          </w:p>
        </w:tc>
        <w:tc>
          <w:tcPr>
            <w:tcW w:w="2160" w:type="dxa"/>
            <w:gridSpan w:val="2"/>
            <w:tcBorders>
              <w:top w:val="single" w:sz="8" w:space="0" w:color="auto"/>
              <w:left w:val="nil"/>
              <w:bottom w:val="single" w:sz="8" w:space="0" w:color="auto"/>
              <w:right w:val="single" w:sz="8" w:space="0" w:color="auto"/>
            </w:tcBorders>
            <w:shd w:val="clear" w:color="auto" w:fill="auto"/>
            <w:noWrap/>
            <w:vAlign w:val="center"/>
            <w:hideMark/>
          </w:tcPr>
          <w:p w:rsidR="00DF7310" w:rsidRPr="00DF7310" w:rsidRDefault="00DF7310" w:rsidP="00DF7310">
            <w:pPr>
              <w:widowControl/>
              <w:jc w:val="center"/>
              <w:rPr>
                <w:rFonts w:ascii="宋体" w:hAnsi="宋体" w:cs="宋体"/>
                <w:color w:val="000000"/>
                <w:kern w:val="0"/>
                <w:sz w:val="22"/>
                <w:szCs w:val="22"/>
              </w:rPr>
            </w:pPr>
            <w:r w:rsidRPr="00DF7310">
              <w:rPr>
                <w:rFonts w:ascii="宋体" w:hAnsi="宋体" w:cs="宋体" w:hint="eastAsia"/>
                <w:color w:val="000000"/>
                <w:kern w:val="0"/>
                <w:sz w:val="22"/>
                <w:szCs w:val="22"/>
              </w:rPr>
              <w:t>2015年第一季度</w:t>
            </w:r>
          </w:p>
        </w:tc>
        <w:tc>
          <w:tcPr>
            <w:tcW w:w="2160" w:type="dxa"/>
            <w:gridSpan w:val="2"/>
            <w:tcBorders>
              <w:top w:val="single" w:sz="8" w:space="0" w:color="auto"/>
              <w:left w:val="nil"/>
              <w:bottom w:val="single" w:sz="8" w:space="0" w:color="auto"/>
              <w:right w:val="single" w:sz="8" w:space="0" w:color="auto"/>
            </w:tcBorders>
            <w:shd w:val="clear" w:color="auto" w:fill="auto"/>
            <w:noWrap/>
            <w:vAlign w:val="center"/>
            <w:hideMark/>
          </w:tcPr>
          <w:p w:rsidR="00DF7310" w:rsidRPr="00DF7310" w:rsidRDefault="00DF7310" w:rsidP="00DF7310">
            <w:pPr>
              <w:widowControl/>
              <w:jc w:val="center"/>
              <w:rPr>
                <w:rFonts w:ascii="宋体" w:hAnsi="宋体" w:cs="宋体"/>
                <w:color w:val="000000"/>
                <w:kern w:val="0"/>
                <w:sz w:val="22"/>
                <w:szCs w:val="22"/>
              </w:rPr>
            </w:pPr>
            <w:r w:rsidRPr="00DF7310">
              <w:rPr>
                <w:rFonts w:ascii="宋体" w:hAnsi="宋体" w:cs="宋体" w:hint="eastAsia"/>
                <w:color w:val="000000"/>
                <w:kern w:val="0"/>
                <w:sz w:val="22"/>
                <w:szCs w:val="22"/>
              </w:rPr>
              <w:t>2014年第四季度</w:t>
            </w:r>
          </w:p>
        </w:tc>
        <w:tc>
          <w:tcPr>
            <w:tcW w:w="2160" w:type="dxa"/>
            <w:gridSpan w:val="2"/>
            <w:tcBorders>
              <w:top w:val="single" w:sz="8" w:space="0" w:color="auto"/>
              <w:left w:val="nil"/>
              <w:bottom w:val="single" w:sz="8" w:space="0" w:color="auto"/>
              <w:right w:val="single" w:sz="8" w:space="0" w:color="auto"/>
            </w:tcBorders>
            <w:shd w:val="clear" w:color="auto" w:fill="auto"/>
            <w:noWrap/>
            <w:vAlign w:val="center"/>
            <w:hideMark/>
          </w:tcPr>
          <w:p w:rsidR="00DF7310" w:rsidRPr="00DF7310" w:rsidRDefault="00DF7310" w:rsidP="00DF7310">
            <w:pPr>
              <w:widowControl/>
              <w:jc w:val="center"/>
              <w:rPr>
                <w:rFonts w:ascii="宋体" w:hAnsi="宋体" w:cs="宋体"/>
                <w:color w:val="000000"/>
                <w:kern w:val="0"/>
                <w:sz w:val="22"/>
                <w:szCs w:val="22"/>
              </w:rPr>
            </w:pPr>
            <w:r w:rsidRPr="00DF7310">
              <w:rPr>
                <w:rFonts w:ascii="宋体" w:hAnsi="宋体" w:cs="宋体" w:hint="eastAsia"/>
                <w:color w:val="000000"/>
                <w:kern w:val="0"/>
                <w:sz w:val="22"/>
                <w:szCs w:val="22"/>
              </w:rPr>
              <w:t>2014年第三季度</w:t>
            </w:r>
          </w:p>
        </w:tc>
      </w:tr>
      <w:tr w:rsidR="00DF7310" w:rsidRPr="00DF7310" w:rsidTr="00DF7310">
        <w:trPr>
          <w:trHeight w:val="285"/>
        </w:trPr>
        <w:tc>
          <w:tcPr>
            <w:tcW w:w="1080" w:type="dxa"/>
            <w:vMerge w:val="restart"/>
            <w:tcBorders>
              <w:top w:val="nil"/>
              <w:left w:val="single" w:sz="8" w:space="0" w:color="auto"/>
              <w:bottom w:val="single" w:sz="8" w:space="0" w:color="D3D3D3"/>
              <w:right w:val="single" w:sz="8" w:space="0" w:color="EEEEEE"/>
            </w:tcBorders>
            <w:shd w:val="clear" w:color="000000" w:fill="FFFFFF"/>
            <w:vAlign w:val="center"/>
            <w:hideMark/>
          </w:tcPr>
          <w:p w:rsidR="00DF7310" w:rsidRPr="00DF7310" w:rsidRDefault="00DF7310" w:rsidP="00DF7310">
            <w:pPr>
              <w:widowControl/>
              <w:jc w:val="center"/>
              <w:rPr>
                <w:rFonts w:ascii="Arial" w:hAnsi="Arial" w:cs="Arial"/>
                <w:color w:val="555555"/>
                <w:kern w:val="0"/>
                <w:sz w:val="22"/>
                <w:szCs w:val="22"/>
              </w:rPr>
            </w:pPr>
            <w:r w:rsidRPr="00DF7310">
              <w:rPr>
                <w:rFonts w:ascii="Arial" w:hAnsi="Arial" w:cs="Arial"/>
                <w:color w:val="555555"/>
                <w:kern w:val="0"/>
                <w:sz w:val="22"/>
                <w:szCs w:val="22"/>
              </w:rPr>
              <w:t>股票名称</w:t>
            </w:r>
          </w:p>
        </w:tc>
        <w:tc>
          <w:tcPr>
            <w:tcW w:w="1080" w:type="dxa"/>
            <w:tcBorders>
              <w:top w:val="nil"/>
              <w:left w:val="nil"/>
              <w:bottom w:val="nil"/>
              <w:right w:val="single" w:sz="8" w:space="0" w:color="EEEEEE"/>
            </w:tcBorders>
            <w:shd w:val="clear" w:color="000000" w:fill="FFFFFF"/>
            <w:vAlign w:val="center"/>
            <w:hideMark/>
          </w:tcPr>
          <w:p w:rsidR="00DF7310" w:rsidRPr="00DF7310" w:rsidRDefault="00DF7310" w:rsidP="00DF7310">
            <w:pPr>
              <w:widowControl/>
              <w:jc w:val="center"/>
              <w:rPr>
                <w:rFonts w:ascii="Arial" w:hAnsi="Arial" w:cs="Arial"/>
                <w:color w:val="555555"/>
                <w:kern w:val="0"/>
                <w:sz w:val="22"/>
                <w:szCs w:val="22"/>
              </w:rPr>
            </w:pPr>
            <w:r w:rsidRPr="00DF7310">
              <w:rPr>
                <w:rFonts w:ascii="Arial" w:hAnsi="Arial" w:cs="Arial"/>
                <w:color w:val="555555"/>
                <w:kern w:val="0"/>
                <w:sz w:val="22"/>
                <w:szCs w:val="22"/>
              </w:rPr>
              <w:t>占净值</w:t>
            </w:r>
          </w:p>
        </w:tc>
        <w:tc>
          <w:tcPr>
            <w:tcW w:w="1080" w:type="dxa"/>
            <w:vMerge w:val="restart"/>
            <w:tcBorders>
              <w:top w:val="nil"/>
              <w:left w:val="single" w:sz="8" w:space="0" w:color="EEEEEE"/>
              <w:bottom w:val="single" w:sz="8" w:space="0" w:color="D3D3D3"/>
              <w:right w:val="single" w:sz="8" w:space="0" w:color="EEEEEE"/>
            </w:tcBorders>
            <w:shd w:val="clear" w:color="000000" w:fill="FFFFFF"/>
            <w:vAlign w:val="center"/>
            <w:hideMark/>
          </w:tcPr>
          <w:p w:rsidR="00DF7310" w:rsidRPr="00DF7310" w:rsidRDefault="00DF7310" w:rsidP="00DF7310">
            <w:pPr>
              <w:widowControl/>
              <w:jc w:val="center"/>
              <w:rPr>
                <w:rFonts w:ascii="Arial" w:hAnsi="Arial" w:cs="Arial"/>
                <w:color w:val="555555"/>
                <w:kern w:val="0"/>
                <w:sz w:val="22"/>
                <w:szCs w:val="22"/>
              </w:rPr>
            </w:pPr>
            <w:r w:rsidRPr="00DF7310">
              <w:rPr>
                <w:rFonts w:ascii="Arial" w:hAnsi="Arial" w:cs="Arial"/>
                <w:color w:val="555555"/>
                <w:kern w:val="0"/>
                <w:sz w:val="22"/>
                <w:szCs w:val="22"/>
              </w:rPr>
              <w:t>股票名称</w:t>
            </w:r>
          </w:p>
        </w:tc>
        <w:tc>
          <w:tcPr>
            <w:tcW w:w="1080" w:type="dxa"/>
            <w:tcBorders>
              <w:top w:val="nil"/>
              <w:left w:val="nil"/>
              <w:bottom w:val="nil"/>
              <w:right w:val="single" w:sz="8" w:space="0" w:color="EEEEEE"/>
            </w:tcBorders>
            <w:shd w:val="clear" w:color="000000" w:fill="FFFFFF"/>
            <w:vAlign w:val="center"/>
            <w:hideMark/>
          </w:tcPr>
          <w:p w:rsidR="00DF7310" w:rsidRPr="00DF7310" w:rsidRDefault="00DF7310" w:rsidP="00DF7310">
            <w:pPr>
              <w:widowControl/>
              <w:jc w:val="center"/>
              <w:rPr>
                <w:rFonts w:ascii="Arial" w:hAnsi="Arial" w:cs="Arial"/>
                <w:color w:val="555555"/>
                <w:kern w:val="0"/>
                <w:sz w:val="22"/>
                <w:szCs w:val="22"/>
              </w:rPr>
            </w:pPr>
            <w:r w:rsidRPr="00DF7310">
              <w:rPr>
                <w:rFonts w:ascii="Arial" w:hAnsi="Arial" w:cs="Arial"/>
                <w:color w:val="555555"/>
                <w:kern w:val="0"/>
                <w:sz w:val="22"/>
                <w:szCs w:val="22"/>
              </w:rPr>
              <w:t>占净值</w:t>
            </w:r>
          </w:p>
        </w:tc>
        <w:tc>
          <w:tcPr>
            <w:tcW w:w="1080" w:type="dxa"/>
            <w:vMerge w:val="restart"/>
            <w:tcBorders>
              <w:top w:val="nil"/>
              <w:left w:val="single" w:sz="8" w:space="0" w:color="EEEEEE"/>
              <w:bottom w:val="single" w:sz="8" w:space="0" w:color="D3D3D3"/>
              <w:right w:val="single" w:sz="8" w:space="0" w:color="EEEEEE"/>
            </w:tcBorders>
            <w:shd w:val="clear" w:color="000000" w:fill="FFFFFF"/>
            <w:vAlign w:val="center"/>
            <w:hideMark/>
          </w:tcPr>
          <w:p w:rsidR="00DF7310" w:rsidRPr="00DF7310" w:rsidRDefault="00DF7310" w:rsidP="00DF7310">
            <w:pPr>
              <w:widowControl/>
              <w:jc w:val="center"/>
              <w:rPr>
                <w:rFonts w:ascii="Arial" w:hAnsi="Arial" w:cs="Arial"/>
                <w:color w:val="555555"/>
                <w:kern w:val="0"/>
                <w:sz w:val="22"/>
                <w:szCs w:val="22"/>
              </w:rPr>
            </w:pPr>
            <w:r w:rsidRPr="00DF7310">
              <w:rPr>
                <w:rFonts w:ascii="Arial" w:hAnsi="Arial" w:cs="Arial"/>
                <w:color w:val="555555"/>
                <w:kern w:val="0"/>
                <w:sz w:val="22"/>
                <w:szCs w:val="22"/>
              </w:rPr>
              <w:t>股票名称</w:t>
            </w:r>
          </w:p>
        </w:tc>
        <w:tc>
          <w:tcPr>
            <w:tcW w:w="1080" w:type="dxa"/>
            <w:tcBorders>
              <w:top w:val="nil"/>
              <w:left w:val="nil"/>
              <w:bottom w:val="nil"/>
              <w:right w:val="single" w:sz="8" w:space="0" w:color="EEEEEE"/>
            </w:tcBorders>
            <w:shd w:val="clear" w:color="000000" w:fill="FFFFFF"/>
            <w:vAlign w:val="center"/>
            <w:hideMark/>
          </w:tcPr>
          <w:p w:rsidR="00DF7310" w:rsidRPr="00DF7310" w:rsidRDefault="00DF7310" w:rsidP="00DF7310">
            <w:pPr>
              <w:widowControl/>
              <w:jc w:val="center"/>
              <w:rPr>
                <w:rFonts w:ascii="Arial" w:hAnsi="Arial" w:cs="Arial"/>
                <w:color w:val="555555"/>
                <w:kern w:val="0"/>
                <w:sz w:val="22"/>
                <w:szCs w:val="22"/>
              </w:rPr>
            </w:pPr>
            <w:r w:rsidRPr="00DF7310">
              <w:rPr>
                <w:rFonts w:ascii="Arial" w:hAnsi="Arial" w:cs="Arial"/>
                <w:color w:val="555555"/>
                <w:kern w:val="0"/>
                <w:sz w:val="22"/>
                <w:szCs w:val="22"/>
              </w:rPr>
              <w:t>占净值</w:t>
            </w:r>
          </w:p>
        </w:tc>
        <w:tc>
          <w:tcPr>
            <w:tcW w:w="1080" w:type="dxa"/>
            <w:vMerge w:val="restart"/>
            <w:tcBorders>
              <w:top w:val="nil"/>
              <w:left w:val="single" w:sz="8" w:space="0" w:color="EEEEEE"/>
              <w:bottom w:val="single" w:sz="8" w:space="0" w:color="D3D3D3"/>
              <w:right w:val="single" w:sz="8" w:space="0" w:color="EEEEEE"/>
            </w:tcBorders>
            <w:shd w:val="clear" w:color="000000" w:fill="FFFFFF"/>
            <w:vAlign w:val="center"/>
            <w:hideMark/>
          </w:tcPr>
          <w:p w:rsidR="00DF7310" w:rsidRPr="00DF7310" w:rsidRDefault="00DF7310" w:rsidP="00DF7310">
            <w:pPr>
              <w:widowControl/>
              <w:jc w:val="center"/>
              <w:rPr>
                <w:rFonts w:ascii="Arial" w:hAnsi="Arial" w:cs="Arial"/>
                <w:color w:val="555555"/>
                <w:kern w:val="0"/>
                <w:sz w:val="22"/>
                <w:szCs w:val="22"/>
              </w:rPr>
            </w:pPr>
            <w:r w:rsidRPr="00DF7310">
              <w:rPr>
                <w:rFonts w:ascii="Arial" w:hAnsi="Arial" w:cs="Arial"/>
                <w:color w:val="555555"/>
                <w:kern w:val="0"/>
                <w:sz w:val="22"/>
                <w:szCs w:val="22"/>
              </w:rPr>
              <w:t>股票名称</w:t>
            </w:r>
          </w:p>
        </w:tc>
        <w:tc>
          <w:tcPr>
            <w:tcW w:w="1080" w:type="dxa"/>
            <w:tcBorders>
              <w:top w:val="nil"/>
              <w:left w:val="nil"/>
              <w:bottom w:val="nil"/>
              <w:right w:val="single" w:sz="8" w:space="0" w:color="auto"/>
            </w:tcBorders>
            <w:shd w:val="clear" w:color="000000" w:fill="FFFFFF"/>
            <w:vAlign w:val="center"/>
            <w:hideMark/>
          </w:tcPr>
          <w:p w:rsidR="00DF7310" w:rsidRPr="00DF7310" w:rsidRDefault="00DF7310" w:rsidP="00DF7310">
            <w:pPr>
              <w:widowControl/>
              <w:jc w:val="center"/>
              <w:rPr>
                <w:rFonts w:ascii="Arial" w:hAnsi="Arial" w:cs="Arial"/>
                <w:color w:val="555555"/>
                <w:kern w:val="0"/>
                <w:sz w:val="22"/>
                <w:szCs w:val="22"/>
              </w:rPr>
            </w:pPr>
            <w:r w:rsidRPr="00DF7310">
              <w:rPr>
                <w:rFonts w:ascii="Arial" w:hAnsi="Arial" w:cs="Arial"/>
                <w:color w:val="555555"/>
                <w:kern w:val="0"/>
                <w:sz w:val="22"/>
                <w:szCs w:val="22"/>
              </w:rPr>
              <w:t>占净值</w:t>
            </w:r>
          </w:p>
        </w:tc>
      </w:tr>
      <w:tr w:rsidR="00DF7310" w:rsidRPr="00DF7310" w:rsidTr="00DF7310">
        <w:trPr>
          <w:trHeight w:val="300"/>
        </w:trPr>
        <w:tc>
          <w:tcPr>
            <w:tcW w:w="1080" w:type="dxa"/>
            <w:vMerge/>
            <w:tcBorders>
              <w:top w:val="nil"/>
              <w:left w:val="single" w:sz="8" w:space="0" w:color="auto"/>
              <w:bottom w:val="single" w:sz="8" w:space="0" w:color="D3D3D3"/>
              <w:right w:val="single" w:sz="8" w:space="0" w:color="EEEEEE"/>
            </w:tcBorders>
            <w:vAlign w:val="center"/>
            <w:hideMark/>
          </w:tcPr>
          <w:p w:rsidR="00DF7310" w:rsidRPr="00DF7310" w:rsidRDefault="00DF7310" w:rsidP="00DF7310">
            <w:pPr>
              <w:widowControl/>
              <w:jc w:val="left"/>
              <w:rPr>
                <w:rFonts w:ascii="Arial" w:hAnsi="Arial" w:cs="Arial"/>
                <w:color w:val="555555"/>
                <w:kern w:val="0"/>
                <w:sz w:val="22"/>
                <w:szCs w:val="22"/>
              </w:rPr>
            </w:pPr>
          </w:p>
        </w:tc>
        <w:tc>
          <w:tcPr>
            <w:tcW w:w="1080" w:type="dxa"/>
            <w:tcBorders>
              <w:top w:val="nil"/>
              <w:left w:val="nil"/>
              <w:bottom w:val="single" w:sz="8" w:space="0" w:color="EEEEEE"/>
              <w:right w:val="single" w:sz="8" w:space="0" w:color="EEEEEE"/>
            </w:tcBorders>
            <w:shd w:val="clear" w:color="000000" w:fill="FFFFFF"/>
            <w:vAlign w:val="center"/>
            <w:hideMark/>
          </w:tcPr>
          <w:p w:rsidR="00DF7310" w:rsidRPr="00DF7310" w:rsidRDefault="00DF7310" w:rsidP="00DF7310">
            <w:pPr>
              <w:widowControl/>
              <w:jc w:val="center"/>
              <w:rPr>
                <w:rFonts w:ascii="Arial" w:hAnsi="Arial" w:cs="Arial"/>
                <w:color w:val="555555"/>
                <w:kern w:val="0"/>
                <w:sz w:val="22"/>
                <w:szCs w:val="22"/>
              </w:rPr>
            </w:pPr>
            <w:r w:rsidRPr="00DF7310">
              <w:rPr>
                <w:rFonts w:ascii="Arial" w:hAnsi="Arial" w:cs="Arial"/>
                <w:color w:val="555555"/>
                <w:kern w:val="0"/>
                <w:sz w:val="22"/>
                <w:szCs w:val="22"/>
              </w:rPr>
              <w:t>比例</w:t>
            </w:r>
          </w:p>
        </w:tc>
        <w:tc>
          <w:tcPr>
            <w:tcW w:w="1080" w:type="dxa"/>
            <w:vMerge/>
            <w:tcBorders>
              <w:top w:val="nil"/>
              <w:left w:val="single" w:sz="8" w:space="0" w:color="EEEEEE"/>
              <w:bottom w:val="single" w:sz="8" w:space="0" w:color="D3D3D3"/>
              <w:right w:val="single" w:sz="8" w:space="0" w:color="EEEEEE"/>
            </w:tcBorders>
            <w:vAlign w:val="center"/>
            <w:hideMark/>
          </w:tcPr>
          <w:p w:rsidR="00DF7310" w:rsidRPr="00DF7310" w:rsidRDefault="00DF7310" w:rsidP="00DF7310">
            <w:pPr>
              <w:widowControl/>
              <w:jc w:val="left"/>
              <w:rPr>
                <w:rFonts w:ascii="Arial" w:hAnsi="Arial" w:cs="Arial"/>
                <w:color w:val="555555"/>
                <w:kern w:val="0"/>
                <w:sz w:val="22"/>
                <w:szCs w:val="22"/>
              </w:rPr>
            </w:pPr>
          </w:p>
        </w:tc>
        <w:tc>
          <w:tcPr>
            <w:tcW w:w="1080" w:type="dxa"/>
            <w:tcBorders>
              <w:top w:val="nil"/>
              <w:left w:val="nil"/>
              <w:bottom w:val="single" w:sz="8" w:space="0" w:color="EEEEEE"/>
              <w:right w:val="single" w:sz="8" w:space="0" w:color="EEEEEE"/>
            </w:tcBorders>
            <w:shd w:val="clear" w:color="000000" w:fill="FFFFFF"/>
            <w:vAlign w:val="center"/>
            <w:hideMark/>
          </w:tcPr>
          <w:p w:rsidR="00DF7310" w:rsidRPr="00DF7310" w:rsidRDefault="00DF7310" w:rsidP="00DF7310">
            <w:pPr>
              <w:widowControl/>
              <w:jc w:val="center"/>
              <w:rPr>
                <w:rFonts w:ascii="Arial" w:hAnsi="Arial" w:cs="Arial"/>
                <w:color w:val="555555"/>
                <w:kern w:val="0"/>
                <w:sz w:val="22"/>
                <w:szCs w:val="22"/>
              </w:rPr>
            </w:pPr>
            <w:r w:rsidRPr="00DF7310">
              <w:rPr>
                <w:rFonts w:ascii="Arial" w:hAnsi="Arial" w:cs="Arial"/>
                <w:color w:val="555555"/>
                <w:kern w:val="0"/>
                <w:sz w:val="22"/>
                <w:szCs w:val="22"/>
              </w:rPr>
              <w:t>比例</w:t>
            </w:r>
          </w:p>
        </w:tc>
        <w:tc>
          <w:tcPr>
            <w:tcW w:w="1080" w:type="dxa"/>
            <w:vMerge/>
            <w:tcBorders>
              <w:top w:val="nil"/>
              <w:left w:val="single" w:sz="8" w:space="0" w:color="EEEEEE"/>
              <w:bottom w:val="single" w:sz="8" w:space="0" w:color="D3D3D3"/>
              <w:right w:val="single" w:sz="8" w:space="0" w:color="EEEEEE"/>
            </w:tcBorders>
            <w:vAlign w:val="center"/>
            <w:hideMark/>
          </w:tcPr>
          <w:p w:rsidR="00DF7310" w:rsidRPr="00DF7310" w:rsidRDefault="00DF7310" w:rsidP="00DF7310">
            <w:pPr>
              <w:widowControl/>
              <w:jc w:val="left"/>
              <w:rPr>
                <w:rFonts w:ascii="Arial" w:hAnsi="Arial" w:cs="Arial"/>
                <w:color w:val="555555"/>
                <w:kern w:val="0"/>
                <w:sz w:val="22"/>
                <w:szCs w:val="22"/>
              </w:rPr>
            </w:pPr>
          </w:p>
        </w:tc>
        <w:tc>
          <w:tcPr>
            <w:tcW w:w="1080" w:type="dxa"/>
            <w:tcBorders>
              <w:top w:val="nil"/>
              <w:left w:val="nil"/>
              <w:bottom w:val="single" w:sz="8" w:space="0" w:color="EEEEEE"/>
              <w:right w:val="single" w:sz="8" w:space="0" w:color="EEEEEE"/>
            </w:tcBorders>
            <w:shd w:val="clear" w:color="000000" w:fill="FFFFFF"/>
            <w:vAlign w:val="center"/>
            <w:hideMark/>
          </w:tcPr>
          <w:p w:rsidR="00DF7310" w:rsidRPr="00DF7310" w:rsidRDefault="00DF7310" w:rsidP="00DF7310">
            <w:pPr>
              <w:widowControl/>
              <w:jc w:val="center"/>
              <w:rPr>
                <w:rFonts w:ascii="Arial" w:hAnsi="Arial" w:cs="Arial"/>
                <w:color w:val="555555"/>
                <w:kern w:val="0"/>
                <w:sz w:val="22"/>
                <w:szCs w:val="22"/>
              </w:rPr>
            </w:pPr>
            <w:r w:rsidRPr="00DF7310">
              <w:rPr>
                <w:rFonts w:ascii="Arial" w:hAnsi="Arial" w:cs="Arial"/>
                <w:color w:val="555555"/>
                <w:kern w:val="0"/>
                <w:sz w:val="22"/>
                <w:szCs w:val="22"/>
              </w:rPr>
              <w:t>比例</w:t>
            </w:r>
          </w:p>
        </w:tc>
        <w:tc>
          <w:tcPr>
            <w:tcW w:w="1080" w:type="dxa"/>
            <w:vMerge/>
            <w:tcBorders>
              <w:top w:val="nil"/>
              <w:left w:val="single" w:sz="8" w:space="0" w:color="EEEEEE"/>
              <w:bottom w:val="single" w:sz="8" w:space="0" w:color="D3D3D3"/>
              <w:right w:val="single" w:sz="8" w:space="0" w:color="EEEEEE"/>
            </w:tcBorders>
            <w:vAlign w:val="center"/>
            <w:hideMark/>
          </w:tcPr>
          <w:p w:rsidR="00DF7310" w:rsidRPr="00DF7310" w:rsidRDefault="00DF7310" w:rsidP="00DF7310">
            <w:pPr>
              <w:widowControl/>
              <w:jc w:val="left"/>
              <w:rPr>
                <w:rFonts w:ascii="Arial" w:hAnsi="Arial" w:cs="Arial"/>
                <w:color w:val="555555"/>
                <w:kern w:val="0"/>
                <w:sz w:val="22"/>
                <w:szCs w:val="22"/>
              </w:rPr>
            </w:pPr>
          </w:p>
        </w:tc>
        <w:tc>
          <w:tcPr>
            <w:tcW w:w="1080" w:type="dxa"/>
            <w:tcBorders>
              <w:top w:val="nil"/>
              <w:left w:val="nil"/>
              <w:bottom w:val="single" w:sz="8" w:space="0" w:color="EEEEEE"/>
              <w:right w:val="single" w:sz="8" w:space="0" w:color="auto"/>
            </w:tcBorders>
            <w:shd w:val="clear" w:color="000000" w:fill="FFFFFF"/>
            <w:vAlign w:val="center"/>
            <w:hideMark/>
          </w:tcPr>
          <w:p w:rsidR="00DF7310" w:rsidRPr="00DF7310" w:rsidRDefault="00DF7310" w:rsidP="00DF7310">
            <w:pPr>
              <w:widowControl/>
              <w:jc w:val="center"/>
              <w:rPr>
                <w:rFonts w:ascii="Arial" w:hAnsi="Arial" w:cs="Arial"/>
                <w:color w:val="555555"/>
                <w:kern w:val="0"/>
                <w:sz w:val="22"/>
                <w:szCs w:val="22"/>
              </w:rPr>
            </w:pPr>
            <w:r w:rsidRPr="00DF7310">
              <w:rPr>
                <w:rFonts w:ascii="Arial" w:hAnsi="Arial" w:cs="Arial"/>
                <w:color w:val="555555"/>
                <w:kern w:val="0"/>
                <w:sz w:val="22"/>
                <w:szCs w:val="22"/>
              </w:rPr>
              <w:t>比例</w:t>
            </w:r>
          </w:p>
        </w:tc>
      </w:tr>
      <w:tr w:rsidR="00DF7310" w:rsidRPr="00DF7310" w:rsidTr="00DF7310">
        <w:trPr>
          <w:trHeight w:val="300"/>
        </w:trPr>
        <w:tc>
          <w:tcPr>
            <w:tcW w:w="1080" w:type="dxa"/>
            <w:tcBorders>
              <w:top w:val="nil"/>
              <w:left w:val="single" w:sz="8" w:space="0" w:color="auto"/>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21" w:history="1">
              <w:r w:rsidRPr="00DF7310">
                <w:rPr>
                  <w:rFonts w:ascii="宋体" w:hAnsi="宋体" w:cs="宋体" w:hint="eastAsia"/>
                  <w:color w:val="0000FF"/>
                  <w:kern w:val="0"/>
                  <w:sz w:val="22"/>
                  <w:u w:val="single"/>
                </w:rPr>
                <w:t>达安基因</w:t>
              </w:r>
            </w:hyperlink>
          </w:p>
        </w:tc>
        <w:tc>
          <w:tcPr>
            <w:tcW w:w="1080" w:type="dxa"/>
            <w:tcBorders>
              <w:top w:val="single" w:sz="8" w:space="0" w:color="D3D3D3"/>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9.97%</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22" w:history="1">
              <w:r w:rsidRPr="00DF7310">
                <w:rPr>
                  <w:rFonts w:ascii="宋体" w:hAnsi="宋体" w:cs="宋体" w:hint="eastAsia"/>
                  <w:color w:val="0000FF"/>
                  <w:kern w:val="0"/>
                  <w:sz w:val="22"/>
                  <w:u w:val="single"/>
                </w:rPr>
                <w:t>石基信息</w:t>
              </w:r>
            </w:hyperlink>
          </w:p>
        </w:tc>
        <w:tc>
          <w:tcPr>
            <w:tcW w:w="1080" w:type="dxa"/>
            <w:tcBorders>
              <w:top w:val="single" w:sz="8" w:space="0" w:color="D3D3D3"/>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9.05%</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23" w:history="1">
              <w:r w:rsidRPr="00DF7310">
                <w:rPr>
                  <w:rFonts w:ascii="宋体" w:hAnsi="宋体" w:cs="宋体" w:hint="eastAsia"/>
                  <w:color w:val="0000FF"/>
                  <w:kern w:val="0"/>
                  <w:sz w:val="22"/>
                  <w:u w:val="single"/>
                </w:rPr>
                <w:t>掌趣科技</w:t>
              </w:r>
            </w:hyperlink>
          </w:p>
        </w:tc>
        <w:tc>
          <w:tcPr>
            <w:tcW w:w="1080" w:type="dxa"/>
            <w:tcBorders>
              <w:top w:val="single" w:sz="8" w:space="0" w:color="D3D3D3"/>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12.58%</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24" w:history="1">
              <w:r w:rsidRPr="00DF7310">
                <w:rPr>
                  <w:rFonts w:ascii="宋体" w:hAnsi="宋体" w:cs="宋体" w:hint="eastAsia"/>
                  <w:color w:val="0000FF"/>
                  <w:kern w:val="0"/>
                  <w:sz w:val="22"/>
                  <w:u w:val="single"/>
                </w:rPr>
                <w:t>省广股份</w:t>
              </w:r>
            </w:hyperlink>
          </w:p>
        </w:tc>
        <w:tc>
          <w:tcPr>
            <w:tcW w:w="1080" w:type="dxa"/>
            <w:tcBorders>
              <w:top w:val="single" w:sz="8" w:space="0" w:color="D3D3D3"/>
              <w:left w:val="nil"/>
              <w:bottom w:val="single" w:sz="8" w:space="0" w:color="D3D3D3"/>
              <w:right w:val="single" w:sz="8" w:space="0" w:color="auto"/>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8.82%</w:t>
            </w:r>
          </w:p>
        </w:tc>
      </w:tr>
      <w:tr w:rsidR="00DF7310" w:rsidRPr="00DF7310" w:rsidTr="00DF7310">
        <w:trPr>
          <w:trHeight w:val="300"/>
        </w:trPr>
        <w:tc>
          <w:tcPr>
            <w:tcW w:w="1080" w:type="dxa"/>
            <w:tcBorders>
              <w:top w:val="nil"/>
              <w:left w:val="single" w:sz="8" w:space="0" w:color="auto"/>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25" w:history="1">
              <w:r w:rsidRPr="00DF7310">
                <w:rPr>
                  <w:rFonts w:ascii="宋体" w:hAnsi="宋体" w:cs="宋体" w:hint="eastAsia"/>
                  <w:color w:val="0000FF"/>
                  <w:kern w:val="0"/>
                  <w:sz w:val="22"/>
                  <w:u w:val="single"/>
                </w:rPr>
                <w:t>得润电子</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9.64%</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26" w:history="1">
              <w:r w:rsidRPr="00DF7310">
                <w:rPr>
                  <w:rFonts w:ascii="宋体" w:hAnsi="宋体" w:cs="宋体" w:hint="eastAsia"/>
                  <w:color w:val="0000FF"/>
                  <w:kern w:val="0"/>
                  <w:sz w:val="22"/>
                  <w:u w:val="single"/>
                </w:rPr>
                <w:t>全通教育</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8.49%</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27" w:history="1">
              <w:r w:rsidRPr="00DF7310">
                <w:rPr>
                  <w:rFonts w:ascii="宋体" w:hAnsi="宋体" w:cs="宋体" w:hint="eastAsia"/>
                  <w:color w:val="0000FF"/>
                  <w:kern w:val="0"/>
                  <w:sz w:val="22"/>
                  <w:u w:val="single"/>
                </w:rPr>
                <w:t>中源协和</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10.00%</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28" w:history="1">
              <w:r w:rsidRPr="00DF7310">
                <w:rPr>
                  <w:rFonts w:ascii="宋体" w:hAnsi="宋体" w:cs="宋体" w:hint="eastAsia"/>
                  <w:color w:val="0000FF"/>
                  <w:kern w:val="0"/>
                  <w:sz w:val="22"/>
                  <w:u w:val="single"/>
                </w:rPr>
                <w:t>掌趣科技</w:t>
              </w:r>
            </w:hyperlink>
          </w:p>
        </w:tc>
        <w:tc>
          <w:tcPr>
            <w:tcW w:w="1080" w:type="dxa"/>
            <w:tcBorders>
              <w:top w:val="nil"/>
              <w:left w:val="nil"/>
              <w:bottom w:val="single" w:sz="8" w:space="0" w:color="D3D3D3"/>
              <w:right w:val="single" w:sz="8" w:space="0" w:color="auto"/>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6.60%</w:t>
            </w:r>
          </w:p>
        </w:tc>
      </w:tr>
      <w:tr w:rsidR="00DF7310" w:rsidRPr="00DF7310" w:rsidTr="00DF7310">
        <w:trPr>
          <w:trHeight w:val="300"/>
        </w:trPr>
        <w:tc>
          <w:tcPr>
            <w:tcW w:w="1080" w:type="dxa"/>
            <w:tcBorders>
              <w:top w:val="nil"/>
              <w:left w:val="single" w:sz="8" w:space="0" w:color="auto"/>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29" w:history="1">
              <w:r w:rsidRPr="00DF7310">
                <w:rPr>
                  <w:rFonts w:ascii="宋体" w:hAnsi="宋体" w:cs="宋体" w:hint="eastAsia"/>
                  <w:color w:val="0000FF"/>
                  <w:kern w:val="0"/>
                  <w:sz w:val="22"/>
                  <w:u w:val="single"/>
                </w:rPr>
                <w:t>石基信息</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8.78%</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30" w:history="1">
              <w:r w:rsidRPr="00DF7310">
                <w:rPr>
                  <w:rFonts w:ascii="宋体" w:hAnsi="宋体" w:cs="宋体" w:hint="eastAsia"/>
                  <w:color w:val="0000FF"/>
                  <w:kern w:val="0"/>
                  <w:sz w:val="22"/>
                  <w:u w:val="single"/>
                </w:rPr>
                <w:t>中科金财</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7.93%</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31" w:history="1">
              <w:r w:rsidRPr="00DF7310">
                <w:rPr>
                  <w:rFonts w:ascii="宋体" w:hAnsi="宋体" w:cs="宋体" w:hint="eastAsia"/>
                  <w:color w:val="0000FF"/>
                  <w:kern w:val="0"/>
                  <w:sz w:val="22"/>
                  <w:u w:val="single"/>
                </w:rPr>
                <w:t>东方财富</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9.81%</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32" w:history="1">
              <w:r w:rsidRPr="00DF7310">
                <w:rPr>
                  <w:rFonts w:ascii="宋体" w:hAnsi="宋体" w:cs="宋体" w:hint="eastAsia"/>
                  <w:color w:val="0000FF"/>
                  <w:kern w:val="0"/>
                  <w:sz w:val="22"/>
                  <w:u w:val="single"/>
                </w:rPr>
                <w:t>中源协和</w:t>
              </w:r>
            </w:hyperlink>
          </w:p>
        </w:tc>
        <w:tc>
          <w:tcPr>
            <w:tcW w:w="1080" w:type="dxa"/>
            <w:tcBorders>
              <w:top w:val="nil"/>
              <w:left w:val="nil"/>
              <w:bottom w:val="single" w:sz="8" w:space="0" w:color="D3D3D3"/>
              <w:right w:val="single" w:sz="8" w:space="0" w:color="auto"/>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5.38%</w:t>
            </w:r>
          </w:p>
        </w:tc>
      </w:tr>
      <w:tr w:rsidR="00DF7310" w:rsidRPr="00DF7310" w:rsidTr="00DF7310">
        <w:trPr>
          <w:trHeight w:val="300"/>
        </w:trPr>
        <w:tc>
          <w:tcPr>
            <w:tcW w:w="1080" w:type="dxa"/>
            <w:tcBorders>
              <w:top w:val="nil"/>
              <w:left w:val="single" w:sz="8" w:space="0" w:color="auto"/>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33" w:history="1">
              <w:r w:rsidRPr="00DF7310">
                <w:rPr>
                  <w:rFonts w:ascii="宋体" w:hAnsi="宋体" w:cs="宋体" w:hint="eastAsia"/>
                  <w:color w:val="0000FF"/>
                  <w:kern w:val="0"/>
                  <w:sz w:val="22"/>
                  <w:u w:val="single"/>
                </w:rPr>
                <w:t>中源协和</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6.68%</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34" w:history="1">
              <w:r w:rsidRPr="00DF7310">
                <w:rPr>
                  <w:rFonts w:ascii="宋体" w:hAnsi="宋体" w:cs="宋体" w:hint="eastAsia"/>
                  <w:color w:val="0000FF"/>
                  <w:kern w:val="0"/>
                  <w:sz w:val="22"/>
                  <w:u w:val="single"/>
                </w:rPr>
                <w:t>同花顺</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7.42%</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35" w:history="1">
              <w:r w:rsidRPr="00DF7310">
                <w:rPr>
                  <w:rFonts w:ascii="宋体" w:hAnsi="宋体" w:cs="宋体" w:hint="eastAsia"/>
                  <w:color w:val="0000FF"/>
                  <w:kern w:val="0"/>
                  <w:sz w:val="22"/>
                  <w:u w:val="single"/>
                </w:rPr>
                <w:t>通策医疗</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9.19%</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36" w:history="1">
              <w:r w:rsidRPr="00DF7310">
                <w:rPr>
                  <w:rFonts w:ascii="宋体" w:hAnsi="宋体" w:cs="宋体" w:hint="eastAsia"/>
                  <w:color w:val="0000FF"/>
                  <w:kern w:val="0"/>
                  <w:sz w:val="22"/>
                  <w:u w:val="single"/>
                </w:rPr>
                <w:t>通策医疗</w:t>
              </w:r>
            </w:hyperlink>
          </w:p>
        </w:tc>
        <w:tc>
          <w:tcPr>
            <w:tcW w:w="1080" w:type="dxa"/>
            <w:tcBorders>
              <w:top w:val="nil"/>
              <w:left w:val="nil"/>
              <w:bottom w:val="single" w:sz="8" w:space="0" w:color="D3D3D3"/>
              <w:right w:val="single" w:sz="8" w:space="0" w:color="auto"/>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5.34%</w:t>
            </w:r>
          </w:p>
        </w:tc>
      </w:tr>
      <w:tr w:rsidR="00DF7310" w:rsidRPr="00DF7310" w:rsidTr="00DF7310">
        <w:trPr>
          <w:trHeight w:val="300"/>
        </w:trPr>
        <w:tc>
          <w:tcPr>
            <w:tcW w:w="1080" w:type="dxa"/>
            <w:tcBorders>
              <w:top w:val="nil"/>
              <w:left w:val="single" w:sz="8" w:space="0" w:color="auto"/>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37" w:history="1">
              <w:r w:rsidRPr="00DF7310">
                <w:rPr>
                  <w:rFonts w:ascii="宋体" w:hAnsi="宋体" w:cs="宋体" w:hint="eastAsia"/>
                  <w:color w:val="0000FF"/>
                  <w:kern w:val="0"/>
                  <w:sz w:val="22"/>
                  <w:u w:val="single"/>
                </w:rPr>
                <w:t>通策医疗</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6.05%</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38" w:history="1">
              <w:r w:rsidRPr="00DF7310">
                <w:rPr>
                  <w:rFonts w:ascii="宋体" w:hAnsi="宋体" w:cs="宋体" w:hint="eastAsia"/>
                  <w:color w:val="0000FF"/>
                  <w:kern w:val="0"/>
                  <w:sz w:val="22"/>
                  <w:u w:val="single"/>
                </w:rPr>
                <w:t>东方财富</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6.14%</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39" w:history="1">
              <w:r w:rsidRPr="00DF7310">
                <w:rPr>
                  <w:rFonts w:ascii="宋体" w:hAnsi="宋体" w:cs="宋体" w:hint="eastAsia"/>
                  <w:color w:val="0000FF"/>
                  <w:kern w:val="0"/>
                  <w:sz w:val="22"/>
                  <w:u w:val="single"/>
                </w:rPr>
                <w:t>全通教育</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7.05%</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40" w:history="1">
              <w:r w:rsidRPr="00DF7310">
                <w:rPr>
                  <w:rFonts w:ascii="宋体" w:hAnsi="宋体" w:cs="宋体" w:hint="eastAsia"/>
                  <w:color w:val="0000FF"/>
                  <w:kern w:val="0"/>
                  <w:sz w:val="22"/>
                  <w:u w:val="single"/>
                </w:rPr>
                <w:t>东华软件</w:t>
              </w:r>
            </w:hyperlink>
          </w:p>
        </w:tc>
        <w:tc>
          <w:tcPr>
            <w:tcW w:w="1080" w:type="dxa"/>
            <w:tcBorders>
              <w:top w:val="nil"/>
              <w:left w:val="nil"/>
              <w:bottom w:val="single" w:sz="8" w:space="0" w:color="D3D3D3"/>
              <w:right w:val="single" w:sz="8" w:space="0" w:color="auto"/>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4.00%</w:t>
            </w:r>
          </w:p>
        </w:tc>
      </w:tr>
      <w:tr w:rsidR="00DF7310" w:rsidRPr="00DF7310" w:rsidTr="00DF7310">
        <w:trPr>
          <w:trHeight w:val="300"/>
        </w:trPr>
        <w:tc>
          <w:tcPr>
            <w:tcW w:w="1080" w:type="dxa"/>
            <w:tcBorders>
              <w:top w:val="nil"/>
              <w:left w:val="single" w:sz="8" w:space="0" w:color="auto"/>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41" w:history="1">
              <w:r w:rsidRPr="00DF7310">
                <w:rPr>
                  <w:rFonts w:ascii="宋体" w:hAnsi="宋体" w:cs="宋体" w:hint="eastAsia"/>
                  <w:color w:val="0000FF"/>
                  <w:kern w:val="0"/>
                  <w:sz w:val="22"/>
                  <w:u w:val="single"/>
                </w:rPr>
                <w:t>汉威电子</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5.59%</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42" w:history="1">
              <w:r w:rsidRPr="00DF7310">
                <w:rPr>
                  <w:rFonts w:ascii="宋体" w:hAnsi="宋体" w:cs="宋体" w:hint="eastAsia"/>
                  <w:color w:val="0000FF"/>
                  <w:kern w:val="0"/>
                  <w:sz w:val="22"/>
                  <w:u w:val="single"/>
                </w:rPr>
                <w:t>万达信息</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5.16%</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43" w:history="1">
              <w:r w:rsidRPr="00DF7310">
                <w:rPr>
                  <w:rFonts w:ascii="宋体" w:hAnsi="宋体" w:cs="宋体" w:hint="eastAsia"/>
                  <w:color w:val="0000FF"/>
                  <w:kern w:val="0"/>
                  <w:sz w:val="22"/>
                  <w:u w:val="single"/>
                </w:rPr>
                <w:t>网宿科技</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6.45%</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44" w:history="1">
              <w:r w:rsidRPr="00DF7310">
                <w:rPr>
                  <w:rFonts w:ascii="宋体" w:hAnsi="宋体" w:cs="宋体" w:hint="eastAsia"/>
                  <w:color w:val="0000FF"/>
                  <w:kern w:val="0"/>
                  <w:sz w:val="22"/>
                  <w:u w:val="single"/>
                </w:rPr>
                <w:t>全通教育</w:t>
              </w:r>
            </w:hyperlink>
          </w:p>
        </w:tc>
        <w:tc>
          <w:tcPr>
            <w:tcW w:w="1080" w:type="dxa"/>
            <w:tcBorders>
              <w:top w:val="nil"/>
              <w:left w:val="nil"/>
              <w:bottom w:val="single" w:sz="8" w:space="0" w:color="D3D3D3"/>
              <w:right w:val="single" w:sz="8" w:space="0" w:color="auto"/>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3.82%</w:t>
            </w:r>
          </w:p>
        </w:tc>
      </w:tr>
      <w:tr w:rsidR="00DF7310" w:rsidRPr="00DF7310" w:rsidTr="00DF7310">
        <w:trPr>
          <w:trHeight w:val="300"/>
        </w:trPr>
        <w:tc>
          <w:tcPr>
            <w:tcW w:w="1080" w:type="dxa"/>
            <w:tcBorders>
              <w:top w:val="nil"/>
              <w:left w:val="single" w:sz="8" w:space="0" w:color="auto"/>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45" w:history="1">
              <w:r w:rsidRPr="00DF7310">
                <w:rPr>
                  <w:rFonts w:ascii="宋体" w:hAnsi="宋体" w:cs="宋体" w:hint="eastAsia"/>
                  <w:color w:val="0000FF"/>
                  <w:kern w:val="0"/>
                  <w:sz w:val="22"/>
                  <w:u w:val="single"/>
                </w:rPr>
                <w:t>机器人</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4.57%</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46" w:history="1">
              <w:r w:rsidRPr="00DF7310">
                <w:rPr>
                  <w:rFonts w:ascii="宋体" w:hAnsi="宋体" w:cs="宋体" w:hint="eastAsia"/>
                  <w:color w:val="0000FF"/>
                  <w:kern w:val="0"/>
                  <w:sz w:val="22"/>
                  <w:u w:val="single"/>
                </w:rPr>
                <w:t>达安基因</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4.82%</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47" w:history="1">
              <w:r w:rsidRPr="00DF7310">
                <w:rPr>
                  <w:rFonts w:ascii="宋体" w:hAnsi="宋体" w:cs="宋体" w:hint="eastAsia"/>
                  <w:color w:val="0000FF"/>
                  <w:kern w:val="0"/>
                  <w:sz w:val="22"/>
                  <w:u w:val="single"/>
                </w:rPr>
                <w:t>省广股份</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5.80%</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48" w:history="1">
              <w:r w:rsidRPr="00DF7310">
                <w:rPr>
                  <w:rFonts w:ascii="宋体" w:hAnsi="宋体" w:cs="宋体" w:hint="eastAsia"/>
                  <w:color w:val="0000FF"/>
                  <w:kern w:val="0"/>
                  <w:sz w:val="22"/>
                  <w:u w:val="single"/>
                </w:rPr>
                <w:t>鑫富药业</w:t>
              </w:r>
            </w:hyperlink>
          </w:p>
        </w:tc>
        <w:tc>
          <w:tcPr>
            <w:tcW w:w="1080" w:type="dxa"/>
            <w:tcBorders>
              <w:top w:val="nil"/>
              <w:left w:val="nil"/>
              <w:bottom w:val="single" w:sz="8" w:space="0" w:color="D3D3D3"/>
              <w:right w:val="single" w:sz="8" w:space="0" w:color="auto"/>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3.15%</w:t>
            </w:r>
          </w:p>
        </w:tc>
      </w:tr>
      <w:tr w:rsidR="00DF7310" w:rsidRPr="00DF7310" w:rsidTr="00DF7310">
        <w:trPr>
          <w:trHeight w:val="300"/>
        </w:trPr>
        <w:tc>
          <w:tcPr>
            <w:tcW w:w="1080" w:type="dxa"/>
            <w:tcBorders>
              <w:top w:val="nil"/>
              <w:left w:val="single" w:sz="8" w:space="0" w:color="auto"/>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49" w:history="1">
              <w:r w:rsidRPr="00DF7310">
                <w:rPr>
                  <w:rFonts w:ascii="宋体" w:hAnsi="宋体" w:cs="宋体" w:hint="eastAsia"/>
                  <w:color w:val="0000FF"/>
                  <w:kern w:val="0"/>
                  <w:sz w:val="22"/>
                  <w:u w:val="single"/>
                </w:rPr>
                <w:t>北陆药业</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4.35%</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50" w:history="1">
              <w:r w:rsidRPr="00DF7310">
                <w:rPr>
                  <w:rFonts w:ascii="宋体" w:hAnsi="宋体" w:cs="宋体" w:hint="eastAsia"/>
                  <w:color w:val="0000FF"/>
                  <w:kern w:val="0"/>
                  <w:sz w:val="22"/>
                  <w:u w:val="single"/>
                </w:rPr>
                <w:t>用友网络</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4.41%</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51" w:history="1">
              <w:r w:rsidRPr="00DF7310">
                <w:rPr>
                  <w:rFonts w:ascii="宋体" w:hAnsi="宋体" w:cs="宋体" w:hint="eastAsia"/>
                  <w:color w:val="0000FF"/>
                  <w:kern w:val="0"/>
                  <w:sz w:val="22"/>
                  <w:u w:val="single"/>
                </w:rPr>
                <w:t>迪安诊断</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5.63%</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52" w:history="1">
              <w:r w:rsidRPr="00DF7310">
                <w:rPr>
                  <w:rFonts w:ascii="宋体" w:hAnsi="宋体" w:cs="宋体" w:hint="eastAsia"/>
                  <w:color w:val="0000FF"/>
                  <w:kern w:val="0"/>
                  <w:sz w:val="22"/>
                  <w:u w:val="single"/>
                </w:rPr>
                <w:t>迪安诊断</w:t>
              </w:r>
            </w:hyperlink>
          </w:p>
        </w:tc>
        <w:tc>
          <w:tcPr>
            <w:tcW w:w="1080" w:type="dxa"/>
            <w:tcBorders>
              <w:top w:val="nil"/>
              <w:left w:val="nil"/>
              <w:bottom w:val="single" w:sz="8" w:space="0" w:color="D3D3D3"/>
              <w:right w:val="single" w:sz="8" w:space="0" w:color="auto"/>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3.12%</w:t>
            </w:r>
          </w:p>
        </w:tc>
      </w:tr>
      <w:tr w:rsidR="00DF7310" w:rsidRPr="00DF7310" w:rsidTr="00DF7310">
        <w:trPr>
          <w:trHeight w:val="300"/>
        </w:trPr>
        <w:tc>
          <w:tcPr>
            <w:tcW w:w="1080" w:type="dxa"/>
            <w:tcBorders>
              <w:top w:val="nil"/>
              <w:left w:val="single" w:sz="8" w:space="0" w:color="auto"/>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53" w:history="1">
              <w:r w:rsidRPr="00DF7310">
                <w:rPr>
                  <w:rFonts w:ascii="宋体" w:hAnsi="宋体" w:cs="宋体" w:hint="eastAsia"/>
                  <w:color w:val="0000FF"/>
                  <w:kern w:val="0"/>
                  <w:sz w:val="22"/>
                  <w:u w:val="single"/>
                </w:rPr>
                <w:t>迪安诊断</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3.21%</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54" w:history="1">
              <w:r w:rsidRPr="00DF7310">
                <w:rPr>
                  <w:rFonts w:ascii="宋体" w:hAnsi="宋体" w:cs="宋体" w:hint="eastAsia"/>
                  <w:color w:val="0000FF"/>
                  <w:kern w:val="0"/>
                  <w:sz w:val="22"/>
                  <w:u w:val="single"/>
                </w:rPr>
                <w:t>汉威电子</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4.31%</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55" w:history="1">
              <w:r w:rsidRPr="00DF7310">
                <w:rPr>
                  <w:rFonts w:ascii="宋体" w:hAnsi="宋体" w:cs="宋体" w:hint="eastAsia"/>
                  <w:color w:val="0000FF"/>
                  <w:kern w:val="0"/>
                  <w:sz w:val="22"/>
                  <w:u w:val="single"/>
                </w:rPr>
                <w:t>万达信息</w:t>
              </w:r>
            </w:hyperlink>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5.49%</w:t>
            </w:r>
          </w:p>
        </w:tc>
        <w:tc>
          <w:tcPr>
            <w:tcW w:w="1080" w:type="dxa"/>
            <w:tcBorders>
              <w:top w:val="nil"/>
              <w:left w:val="nil"/>
              <w:bottom w:val="single" w:sz="8" w:space="0" w:color="D3D3D3"/>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56" w:history="1">
              <w:r w:rsidRPr="00DF7310">
                <w:rPr>
                  <w:rFonts w:ascii="宋体" w:hAnsi="宋体" w:cs="宋体" w:hint="eastAsia"/>
                  <w:color w:val="0000FF"/>
                  <w:kern w:val="0"/>
                  <w:sz w:val="22"/>
                  <w:u w:val="single"/>
                </w:rPr>
                <w:t>三六五网</w:t>
              </w:r>
            </w:hyperlink>
          </w:p>
        </w:tc>
        <w:tc>
          <w:tcPr>
            <w:tcW w:w="1080" w:type="dxa"/>
            <w:tcBorders>
              <w:top w:val="nil"/>
              <w:left w:val="nil"/>
              <w:bottom w:val="single" w:sz="8" w:space="0" w:color="D3D3D3"/>
              <w:right w:val="single" w:sz="8" w:space="0" w:color="auto"/>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2.98%</w:t>
            </w:r>
          </w:p>
        </w:tc>
      </w:tr>
      <w:tr w:rsidR="00DF7310" w:rsidRPr="00DF7310" w:rsidTr="00DF7310">
        <w:trPr>
          <w:trHeight w:val="300"/>
        </w:trPr>
        <w:tc>
          <w:tcPr>
            <w:tcW w:w="1080" w:type="dxa"/>
            <w:tcBorders>
              <w:top w:val="nil"/>
              <w:left w:val="single" w:sz="8" w:space="0" w:color="auto"/>
              <w:bottom w:val="single" w:sz="8" w:space="0" w:color="auto"/>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57" w:history="1">
              <w:r w:rsidRPr="00DF7310">
                <w:rPr>
                  <w:rFonts w:ascii="宋体" w:hAnsi="宋体" w:cs="宋体" w:hint="eastAsia"/>
                  <w:color w:val="0000FF"/>
                  <w:kern w:val="0"/>
                  <w:sz w:val="22"/>
                  <w:u w:val="single"/>
                </w:rPr>
                <w:t>迪威视讯</w:t>
              </w:r>
            </w:hyperlink>
          </w:p>
        </w:tc>
        <w:tc>
          <w:tcPr>
            <w:tcW w:w="1080" w:type="dxa"/>
            <w:tcBorders>
              <w:top w:val="nil"/>
              <w:left w:val="nil"/>
              <w:bottom w:val="single" w:sz="8" w:space="0" w:color="auto"/>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3.18%</w:t>
            </w:r>
          </w:p>
        </w:tc>
        <w:tc>
          <w:tcPr>
            <w:tcW w:w="1080" w:type="dxa"/>
            <w:tcBorders>
              <w:top w:val="nil"/>
              <w:left w:val="nil"/>
              <w:bottom w:val="single" w:sz="8" w:space="0" w:color="auto"/>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58" w:history="1">
              <w:r w:rsidRPr="00DF7310">
                <w:rPr>
                  <w:rFonts w:ascii="宋体" w:hAnsi="宋体" w:cs="宋体" w:hint="eastAsia"/>
                  <w:color w:val="0000FF"/>
                  <w:kern w:val="0"/>
                  <w:sz w:val="22"/>
                  <w:u w:val="single"/>
                </w:rPr>
                <w:t>中源协和</w:t>
              </w:r>
            </w:hyperlink>
          </w:p>
        </w:tc>
        <w:tc>
          <w:tcPr>
            <w:tcW w:w="1080" w:type="dxa"/>
            <w:tcBorders>
              <w:top w:val="nil"/>
              <w:left w:val="nil"/>
              <w:bottom w:val="single" w:sz="8" w:space="0" w:color="auto"/>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4.26%</w:t>
            </w:r>
          </w:p>
        </w:tc>
        <w:tc>
          <w:tcPr>
            <w:tcW w:w="1080" w:type="dxa"/>
            <w:tcBorders>
              <w:top w:val="nil"/>
              <w:left w:val="nil"/>
              <w:bottom w:val="single" w:sz="8" w:space="0" w:color="auto"/>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59" w:history="1">
              <w:r w:rsidRPr="00DF7310">
                <w:rPr>
                  <w:rFonts w:ascii="宋体" w:hAnsi="宋体" w:cs="宋体" w:hint="eastAsia"/>
                  <w:color w:val="0000FF"/>
                  <w:kern w:val="0"/>
                  <w:sz w:val="22"/>
                  <w:u w:val="single"/>
                </w:rPr>
                <w:t>新研股份</w:t>
              </w:r>
            </w:hyperlink>
          </w:p>
        </w:tc>
        <w:tc>
          <w:tcPr>
            <w:tcW w:w="1080" w:type="dxa"/>
            <w:tcBorders>
              <w:top w:val="nil"/>
              <w:left w:val="nil"/>
              <w:bottom w:val="single" w:sz="8" w:space="0" w:color="auto"/>
              <w:right w:val="single" w:sz="8" w:space="0" w:color="D3D3D3"/>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4.17%</w:t>
            </w:r>
          </w:p>
        </w:tc>
        <w:tc>
          <w:tcPr>
            <w:tcW w:w="1080" w:type="dxa"/>
            <w:tcBorders>
              <w:top w:val="nil"/>
              <w:left w:val="nil"/>
              <w:bottom w:val="single" w:sz="8" w:space="0" w:color="auto"/>
              <w:right w:val="single" w:sz="8" w:space="0" w:color="D3D3D3"/>
            </w:tcBorders>
            <w:shd w:val="clear" w:color="000000" w:fill="FFFFFF"/>
            <w:vAlign w:val="center"/>
            <w:hideMark/>
          </w:tcPr>
          <w:p w:rsidR="00DF7310" w:rsidRPr="00DF7310" w:rsidRDefault="00DF7310" w:rsidP="00DF7310">
            <w:pPr>
              <w:widowControl/>
              <w:jc w:val="left"/>
              <w:rPr>
                <w:rFonts w:ascii="宋体" w:hAnsi="宋体" w:cs="宋体"/>
                <w:color w:val="0000FF"/>
                <w:kern w:val="0"/>
                <w:sz w:val="22"/>
                <w:szCs w:val="22"/>
                <w:u w:val="single"/>
              </w:rPr>
            </w:pPr>
            <w:hyperlink r:id="rId60" w:history="1">
              <w:r w:rsidRPr="00DF7310">
                <w:rPr>
                  <w:rFonts w:ascii="宋体" w:hAnsi="宋体" w:cs="宋体" w:hint="eastAsia"/>
                  <w:color w:val="0000FF"/>
                  <w:kern w:val="0"/>
                  <w:sz w:val="22"/>
                  <w:u w:val="single"/>
                </w:rPr>
                <w:t>信邦制药</w:t>
              </w:r>
            </w:hyperlink>
          </w:p>
        </w:tc>
        <w:tc>
          <w:tcPr>
            <w:tcW w:w="1080" w:type="dxa"/>
            <w:tcBorders>
              <w:top w:val="nil"/>
              <w:left w:val="nil"/>
              <w:bottom w:val="single" w:sz="8" w:space="0" w:color="auto"/>
              <w:right w:val="single" w:sz="8" w:space="0" w:color="auto"/>
            </w:tcBorders>
            <w:shd w:val="clear" w:color="000000" w:fill="FFFFFF"/>
            <w:vAlign w:val="center"/>
            <w:hideMark/>
          </w:tcPr>
          <w:p w:rsidR="00DF7310" w:rsidRPr="00DF7310" w:rsidRDefault="00DF7310" w:rsidP="00DF7310">
            <w:pPr>
              <w:widowControl/>
              <w:jc w:val="right"/>
              <w:rPr>
                <w:rFonts w:ascii="Arial" w:hAnsi="Arial" w:cs="Arial"/>
                <w:color w:val="555555"/>
                <w:kern w:val="0"/>
                <w:sz w:val="22"/>
                <w:szCs w:val="22"/>
              </w:rPr>
            </w:pPr>
            <w:r w:rsidRPr="00DF7310">
              <w:rPr>
                <w:rFonts w:ascii="Arial" w:hAnsi="Arial" w:cs="Arial"/>
                <w:color w:val="555555"/>
                <w:kern w:val="0"/>
                <w:sz w:val="22"/>
                <w:szCs w:val="22"/>
              </w:rPr>
              <w:t>2.94%</w:t>
            </w:r>
          </w:p>
        </w:tc>
      </w:tr>
    </w:tbl>
    <w:p w:rsidR="00C15633" w:rsidRDefault="00C3777C">
      <w:pPr>
        <w:spacing w:line="360" w:lineRule="auto"/>
        <w:rPr>
          <w:rFonts w:ascii="Arial" w:eastAsia="楷体_GB2312" w:hAnsi="Arial" w:cs="楷体_GB2312"/>
          <w:i/>
          <w:iCs/>
          <w:sz w:val="20"/>
          <w:szCs w:val="20"/>
        </w:rPr>
      </w:pPr>
      <w:r>
        <w:rPr>
          <w:rFonts w:ascii="Arial" w:eastAsia="楷体_GB2312" w:hAnsi="Arial" w:cs="楷体_GB2312" w:hint="eastAsia"/>
          <w:i/>
          <w:iCs/>
          <w:sz w:val="20"/>
          <w:szCs w:val="20"/>
        </w:rPr>
        <w:t>数据来源：东方财富</w:t>
      </w:r>
      <w:r>
        <w:rPr>
          <w:rFonts w:ascii="Arial" w:eastAsia="楷体_GB2312" w:hAnsi="Arial" w:cs="楷体_GB2312" w:hint="eastAsia"/>
          <w:i/>
          <w:iCs/>
          <w:sz w:val="20"/>
          <w:szCs w:val="20"/>
        </w:rPr>
        <w:t>Choice</w:t>
      </w:r>
      <w:r>
        <w:rPr>
          <w:rFonts w:ascii="Arial" w:eastAsia="楷体_GB2312" w:hAnsi="Arial" w:cs="楷体_GB2312" w:hint="eastAsia"/>
          <w:i/>
          <w:iCs/>
          <w:sz w:val="20"/>
          <w:szCs w:val="20"/>
        </w:rPr>
        <w:t>终端、天天基金研究中心</w:t>
      </w:r>
    </w:p>
    <w:p w:rsidR="00C15633" w:rsidRDefault="00C3777C" w:rsidP="008546AE">
      <w:pPr>
        <w:numPr>
          <w:ilvl w:val="0"/>
          <w:numId w:val="2"/>
        </w:numPr>
        <w:spacing w:line="360" w:lineRule="auto"/>
      </w:pPr>
      <w:r>
        <w:rPr>
          <w:rFonts w:cs="宋体" w:hint="eastAsia"/>
          <w:b/>
          <w:bCs/>
          <w:sz w:val="24"/>
          <w:szCs w:val="24"/>
        </w:rPr>
        <w:t>基金经理分析</w:t>
      </w:r>
    </w:p>
    <w:p w:rsidR="00C15633" w:rsidRDefault="00DF7310">
      <w:pPr>
        <w:spacing w:line="360" w:lineRule="auto"/>
      </w:pPr>
      <w:r>
        <w:pict>
          <v:shape id="_x0000_i1032" type="#_x0000_t75" style="width:486.45pt;height:87.05pt">
            <v:imagedata r:id="rId61" o:title="07"/>
          </v:shape>
        </w:pict>
      </w:r>
    </w:p>
    <w:p w:rsidR="00C15633" w:rsidRDefault="00C3777C">
      <w:pPr>
        <w:spacing w:line="360" w:lineRule="auto"/>
        <w:rPr>
          <w:rFonts w:ascii="楷体" w:eastAsia="楷体" w:hAnsi="楷体" w:cs="宋体"/>
          <w:b/>
          <w:color w:val="000000"/>
          <w:kern w:val="0"/>
        </w:rPr>
      </w:pPr>
      <w:r>
        <w:rPr>
          <w:rFonts w:ascii="楷体" w:eastAsia="楷体" w:hAnsi="楷体" w:cs="宋体" w:hint="eastAsia"/>
          <w:b/>
          <w:color w:val="000000"/>
          <w:kern w:val="0"/>
        </w:rPr>
        <w:t>图8：</w:t>
      </w:r>
      <w:r w:rsidR="008546AE">
        <w:rPr>
          <w:rFonts w:ascii="楷体" w:eastAsia="楷体" w:hAnsi="楷体" w:cs="宋体" w:hint="eastAsia"/>
          <w:b/>
          <w:color w:val="000000"/>
          <w:kern w:val="0"/>
        </w:rPr>
        <w:t>现任基金业绩与排名详情</w:t>
      </w:r>
    </w:p>
    <w:p w:rsidR="00C15633" w:rsidRDefault="00DF7310">
      <w:pPr>
        <w:pBdr>
          <w:top w:val="single" w:sz="6" w:space="1" w:color="auto"/>
          <w:bottom w:val="single" w:sz="6" w:space="1" w:color="auto"/>
        </w:pBdr>
        <w:spacing w:line="360" w:lineRule="auto"/>
        <w:jc w:val="center"/>
        <w:rPr>
          <w:rFonts w:cs="宋体"/>
          <w:b/>
          <w:bCs/>
          <w:sz w:val="24"/>
          <w:szCs w:val="24"/>
        </w:rPr>
      </w:pPr>
      <w:r>
        <w:rPr>
          <w:rFonts w:cs="宋体"/>
          <w:b/>
          <w:bCs/>
          <w:sz w:val="24"/>
          <w:szCs w:val="24"/>
        </w:rPr>
        <w:pict>
          <v:shape id="_x0000_i1033" type="#_x0000_t75" style="width:487.1pt;height:75.15pt">
            <v:imagedata r:id="rId62" o:title="08"/>
          </v:shape>
        </w:pict>
      </w:r>
    </w:p>
    <w:p w:rsidR="00C15633" w:rsidRDefault="00C3777C">
      <w:pPr>
        <w:spacing w:line="360" w:lineRule="auto"/>
        <w:rPr>
          <w:rFonts w:ascii="宋体" w:cs="Times New Roman"/>
          <w:b/>
          <w:bCs/>
          <w:color w:val="F13E00"/>
          <w:u w:val="single"/>
        </w:rPr>
      </w:pPr>
      <w:r>
        <w:rPr>
          <w:rFonts w:ascii="Arial" w:eastAsia="楷体_GB2312" w:hAnsi="Arial" w:cs="楷体_GB2312" w:hint="eastAsia"/>
          <w:i/>
          <w:iCs/>
          <w:sz w:val="20"/>
          <w:szCs w:val="20"/>
        </w:rPr>
        <w:t>数据来源：东方财富</w:t>
      </w:r>
      <w:r>
        <w:rPr>
          <w:rFonts w:ascii="Arial" w:eastAsia="楷体_GB2312" w:hAnsi="Arial" w:cs="楷体_GB2312" w:hint="eastAsia"/>
          <w:i/>
          <w:iCs/>
          <w:sz w:val="20"/>
          <w:szCs w:val="20"/>
        </w:rPr>
        <w:t>Choice</w:t>
      </w:r>
      <w:r>
        <w:rPr>
          <w:rFonts w:ascii="Arial" w:eastAsia="楷体_GB2312" w:hAnsi="Arial" w:cs="楷体_GB2312" w:hint="eastAsia"/>
          <w:i/>
          <w:iCs/>
          <w:sz w:val="20"/>
          <w:szCs w:val="20"/>
        </w:rPr>
        <w:t>终端、天天基金研究中心</w:t>
      </w:r>
      <w:r>
        <w:rPr>
          <w:rFonts w:ascii="Arial" w:eastAsia="楷体_GB2312" w:hAnsi="Arial" w:cs="楷体_GB2312" w:hint="eastAsia"/>
          <w:i/>
          <w:iCs/>
          <w:sz w:val="20"/>
          <w:szCs w:val="20"/>
        </w:rPr>
        <w:t xml:space="preserve">  </w:t>
      </w:r>
      <w:r>
        <w:rPr>
          <w:rFonts w:ascii="Arial" w:eastAsia="楷体_GB2312" w:hAnsi="Arial" w:cs="楷体_GB2312" w:hint="eastAsia"/>
          <w:i/>
          <w:iCs/>
          <w:sz w:val="20"/>
          <w:szCs w:val="20"/>
        </w:rPr>
        <w:t>截止日期</w:t>
      </w:r>
      <w:r>
        <w:rPr>
          <w:rFonts w:ascii="Arial" w:eastAsia="楷体_GB2312" w:hAnsi="Arial" w:cs="楷体_GB2312" w:hint="eastAsia"/>
          <w:i/>
          <w:iCs/>
          <w:sz w:val="20"/>
          <w:szCs w:val="20"/>
        </w:rPr>
        <w:t>2015</w:t>
      </w:r>
      <w:r>
        <w:rPr>
          <w:rFonts w:ascii="Arial" w:eastAsia="楷体_GB2312" w:hAnsi="Arial" w:cs="楷体_GB2312" w:hint="eastAsia"/>
          <w:i/>
          <w:iCs/>
          <w:sz w:val="20"/>
          <w:szCs w:val="20"/>
        </w:rPr>
        <w:t>年</w:t>
      </w:r>
      <w:r>
        <w:rPr>
          <w:rFonts w:ascii="Arial" w:eastAsia="楷体_GB2312" w:hAnsi="Arial" w:cs="楷体_GB2312" w:hint="eastAsia"/>
          <w:i/>
          <w:iCs/>
          <w:sz w:val="20"/>
          <w:szCs w:val="20"/>
        </w:rPr>
        <w:t>7</w:t>
      </w:r>
      <w:r>
        <w:rPr>
          <w:rFonts w:ascii="Arial" w:eastAsia="楷体_GB2312" w:hAnsi="Arial" w:cs="楷体_GB2312" w:hint="eastAsia"/>
          <w:i/>
          <w:iCs/>
          <w:sz w:val="20"/>
          <w:szCs w:val="20"/>
        </w:rPr>
        <w:t>月</w:t>
      </w:r>
      <w:r w:rsidR="00DF7310">
        <w:rPr>
          <w:rFonts w:ascii="Arial" w:eastAsia="楷体_GB2312" w:hAnsi="Arial" w:cs="楷体_GB2312" w:hint="eastAsia"/>
          <w:i/>
          <w:iCs/>
          <w:sz w:val="20"/>
          <w:szCs w:val="20"/>
        </w:rPr>
        <w:t>30</w:t>
      </w:r>
      <w:r>
        <w:rPr>
          <w:rFonts w:ascii="Arial" w:eastAsia="楷体_GB2312" w:hAnsi="Arial" w:cs="楷体_GB2312" w:hint="eastAsia"/>
          <w:i/>
          <w:iCs/>
          <w:sz w:val="20"/>
          <w:szCs w:val="20"/>
        </w:rPr>
        <w:t>日</w:t>
      </w:r>
    </w:p>
    <w:p w:rsidR="00C15633" w:rsidRDefault="00C3777C">
      <w:pPr>
        <w:spacing w:line="360" w:lineRule="auto"/>
        <w:ind w:rightChars="-13" w:right="-27"/>
        <w:rPr>
          <w:rFonts w:ascii="宋体" w:cs="Times New Roman"/>
          <w:color w:val="F13E00"/>
        </w:rPr>
      </w:pPr>
      <w:r>
        <w:rPr>
          <w:rFonts w:ascii="宋体" w:hAnsi="宋体" w:cs="宋体" w:hint="eastAsia"/>
          <w:b/>
          <w:bCs/>
          <w:color w:val="F13E00"/>
        </w:rPr>
        <w:t>免责声明：</w:t>
      </w:r>
    </w:p>
    <w:p w:rsidR="00C15633" w:rsidRDefault="00C3777C">
      <w:pPr>
        <w:spacing w:line="360" w:lineRule="auto"/>
        <w:ind w:rightChars="-13" w:right="-27" w:firstLineChars="200" w:firstLine="420"/>
        <w:rPr>
          <w:rFonts w:ascii="宋体" w:cs="Times New Roman"/>
          <w:color w:val="000000"/>
          <w:kern w:val="0"/>
        </w:rPr>
      </w:pPr>
      <w:r>
        <w:rPr>
          <w:rFonts w:ascii="宋体" w:hAnsi="宋体" w:cs="宋体" w:hint="eastAsia"/>
          <w:color w:val="000000"/>
          <w:kern w:val="0"/>
        </w:rPr>
        <w:t>本报告是天天基金网基于公开信息研究发布，不构成投资建议。投资者据此操作，风险自担。市场有风险，投资需谨慎。</w:t>
      </w:r>
    </w:p>
    <w:sectPr w:rsidR="00C15633" w:rsidSect="00C15633">
      <w:type w:val="continuous"/>
      <w:pgSz w:w="11906" w:h="16838"/>
      <w:pgMar w:top="1440" w:right="1080" w:bottom="1440" w:left="108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119EF" w:rsidRDefault="004119EF" w:rsidP="00C15633">
      <w:r>
        <w:separator/>
      </w:r>
    </w:p>
  </w:endnote>
  <w:endnote w:type="continuationSeparator" w:id="0">
    <w:p w:rsidR="004119EF" w:rsidRDefault="004119EF" w:rsidP="00C1563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5633" w:rsidRDefault="00C15633">
    <w:pPr>
      <w:pStyle w:val="a5"/>
      <w:pBdr>
        <w:bottom w:val="single" w:sz="6" w:space="1" w:color="auto"/>
      </w:pBdr>
      <w:jc w:val="right"/>
      <w:rPr>
        <w:rFonts w:ascii="微软雅黑" w:eastAsia="微软雅黑" w:hAnsi="微软雅黑" w:cs="Times New Roman"/>
        <w:b/>
        <w:bCs/>
        <w:color w:val="7F7F7F"/>
      </w:rPr>
    </w:pPr>
  </w:p>
  <w:p w:rsidR="00C15633" w:rsidRDefault="00C3777C">
    <w:pPr>
      <w:pStyle w:val="a5"/>
      <w:rPr>
        <w:rFonts w:cs="Times New Roman"/>
      </w:rPr>
    </w:pPr>
    <w:r>
      <w:rPr>
        <w:rFonts w:ascii="微软雅黑" w:eastAsia="微软雅黑" w:hAnsi="微软雅黑" w:cs="微软雅黑" w:hint="eastAsia"/>
        <w:b/>
        <w:bCs/>
        <w:color w:val="7F7F7F"/>
      </w:rPr>
      <w:t>请务必阅读正文最后的天天基金网免责声明</w:t>
    </w:r>
    <w:r w:rsidR="00F146E6" w:rsidRPr="00F146E6">
      <w:fldChar w:fldCharType="begin"/>
    </w:r>
    <w:r>
      <w:instrText xml:space="preserve"> PAGE   \* MERGEFORMAT </w:instrText>
    </w:r>
    <w:r w:rsidR="00F146E6" w:rsidRPr="00F146E6">
      <w:fldChar w:fldCharType="separate"/>
    </w:r>
    <w:r w:rsidR="00DF7310" w:rsidRPr="00DF7310">
      <w:rPr>
        <w:noProof/>
        <w:lang w:val="zh-CN"/>
      </w:rPr>
      <w:t>1</w:t>
    </w:r>
    <w:r w:rsidR="00F146E6">
      <w:rPr>
        <w:lang w:val="zh-CN"/>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119EF" w:rsidRDefault="004119EF" w:rsidP="00C15633">
      <w:r>
        <w:separator/>
      </w:r>
    </w:p>
  </w:footnote>
  <w:footnote w:type="continuationSeparator" w:id="0">
    <w:p w:rsidR="004119EF" w:rsidRDefault="004119EF" w:rsidP="00C1563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5633" w:rsidRDefault="00C3777C">
    <w:pPr>
      <w:pStyle w:val="a6"/>
      <w:wordWrap w:val="0"/>
      <w:ind w:right="320"/>
      <w:jc w:val="both"/>
      <w:rPr>
        <w:rFonts w:cs="Times New Roman"/>
      </w:rPr>
    </w:pPr>
    <w:r>
      <w:rPr>
        <w:rFonts w:ascii="楷体" w:eastAsia="楷体" w:hAnsi="楷体" w:cs="楷体" w:hint="eastAsia"/>
        <w:sz w:val="28"/>
        <w:szCs w:val="28"/>
      </w:rPr>
      <w:t>新基金点评报告</w:t>
    </w:r>
    <w:r w:rsidR="00C15633" w:rsidRPr="00C15633">
      <w:rPr>
        <w:rFonts w:ascii="宋体" w:cs="Times New Roman"/>
        <w:sz w:val="16"/>
        <w:szCs w:val="16"/>
        <w:lang w:val="zh-CN"/>
      </w:rPr>
      <w:object w:dxaOrig="3450" w:dyaOrig="99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34" type="#_x0000_t75" style="width:72.65pt;height:20.65pt" o:ole="">
          <v:imagedata r:id="rId1" o:title=""/>
        </v:shape>
        <o:OLEObject Type="Embed" ProgID="Picture.PicObj.1" ShapeID="Picture 1" DrawAspect="Content" ObjectID="_1499772338" r:id="rId2"/>
      </w:obje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67C230"/>
    <w:multiLevelType w:val="singleLevel"/>
    <w:tmpl w:val="5567C230"/>
    <w:lvl w:ilvl="0">
      <w:start w:val="2"/>
      <w:numFmt w:val="decimal"/>
      <w:suff w:val="nothing"/>
      <w:lvlText w:val="%1、"/>
      <w:lvlJc w:val="left"/>
    </w:lvl>
  </w:abstractNum>
  <w:abstractNum w:abstractNumId="1">
    <w:nsid w:val="6B5E3E02"/>
    <w:multiLevelType w:val="multilevel"/>
    <w:tmpl w:val="6B5E3E02"/>
    <w:lvl w:ilvl="0">
      <w:start w:val="1"/>
      <w:numFmt w:val="bullet"/>
      <w:lvlText w:val=""/>
      <w:lvlJc w:val="left"/>
      <w:pPr>
        <w:ind w:left="420" w:hanging="420"/>
      </w:pPr>
      <w:rPr>
        <w:rFonts w:ascii="Wingdings" w:hAnsi="Wingdings" w:cs="Wingdings" w:hint="default"/>
      </w:rPr>
    </w:lvl>
    <w:lvl w:ilvl="1" w:tentative="1">
      <w:start w:val="1"/>
      <w:numFmt w:val="bullet"/>
      <w:lvlText w:val=""/>
      <w:lvlJc w:val="left"/>
      <w:pPr>
        <w:ind w:left="840" w:hanging="420"/>
      </w:pPr>
      <w:rPr>
        <w:rFonts w:ascii="Wingdings" w:hAnsi="Wingdings" w:cs="Wingdings" w:hint="default"/>
      </w:rPr>
    </w:lvl>
    <w:lvl w:ilvl="2" w:tentative="1">
      <w:start w:val="1"/>
      <w:numFmt w:val="bullet"/>
      <w:lvlText w:val=""/>
      <w:lvlJc w:val="left"/>
      <w:pPr>
        <w:ind w:left="1260" w:hanging="420"/>
      </w:pPr>
      <w:rPr>
        <w:rFonts w:ascii="Wingdings" w:hAnsi="Wingdings" w:cs="Wingdings" w:hint="default"/>
      </w:rPr>
    </w:lvl>
    <w:lvl w:ilvl="3" w:tentative="1">
      <w:start w:val="1"/>
      <w:numFmt w:val="bullet"/>
      <w:lvlText w:val=""/>
      <w:lvlJc w:val="left"/>
      <w:pPr>
        <w:ind w:left="1680" w:hanging="420"/>
      </w:pPr>
      <w:rPr>
        <w:rFonts w:ascii="Wingdings" w:hAnsi="Wingdings" w:cs="Wingdings" w:hint="default"/>
      </w:rPr>
    </w:lvl>
    <w:lvl w:ilvl="4" w:tentative="1">
      <w:start w:val="1"/>
      <w:numFmt w:val="bullet"/>
      <w:lvlText w:val=""/>
      <w:lvlJc w:val="left"/>
      <w:pPr>
        <w:ind w:left="2100" w:hanging="420"/>
      </w:pPr>
      <w:rPr>
        <w:rFonts w:ascii="Wingdings" w:hAnsi="Wingdings" w:cs="Wingdings" w:hint="default"/>
      </w:rPr>
    </w:lvl>
    <w:lvl w:ilvl="5" w:tentative="1">
      <w:start w:val="1"/>
      <w:numFmt w:val="bullet"/>
      <w:lvlText w:val=""/>
      <w:lvlJc w:val="left"/>
      <w:pPr>
        <w:ind w:left="2520" w:hanging="420"/>
      </w:pPr>
      <w:rPr>
        <w:rFonts w:ascii="Wingdings" w:hAnsi="Wingdings" w:cs="Wingdings" w:hint="default"/>
      </w:rPr>
    </w:lvl>
    <w:lvl w:ilvl="6" w:tentative="1">
      <w:start w:val="1"/>
      <w:numFmt w:val="bullet"/>
      <w:lvlText w:val=""/>
      <w:lvlJc w:val="left"/>
      <w:pPr>
        <w:ind w:left="2940" w:hanging="420"/>
      </w:pPr>
      <w:rPr>
        <w:rFonts w:ascii="Wingdings" w:hAnsi="Wingdings" w:cs="Wingdings" w:hint="default"/>
      </w:rPr>
    </w:lvl>
    <w:lvl w:ilvl="7" w:tentative="1">
      <w:start w:val="1"/>
      <w:numFmt w:val="bullet"/>
      <w:lvlText w:val=""/>
      <w:lvlJc w:val="left"/>
      <w:pPr>
        <w:ind w:left="3360" w:hanging="420"/>
      </w:pPr>
      <w:rPr>
        <w:rFonts w:ascii="Wingdings" w:hAnsi="Wingdings" w:cs="Wingdings" w:hint="default"/>
      </w:rPr>
    </w:lvl>
    <w:lvl w:ilvl="8" w:tentative="1">
      <w:start w:val="1"/>
      <w:numFmt w:val="bullet"/>
      <w:lvlText w:val=""/>
      <w:lvlJc w:val="left"/>
      <w:pPr>
        <w:ind w:left="3780" w:hanging="420"/>
      </w:pPr>
      <w:rPr>
        <w:rFonts w:ascii="Wingdings" w:hAnsi="Wingdings" w:cs="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oNotTrackMoves/>
  <w:defaultTabStop w:val="420"/>
  <w:drawingGridHorizontalSpacing w:val="105"/>
  <w:drawingGridVerticalSpacing w:val="156"/>
  <w:noPunctuationKerning/>
  <w:characterSpacingControl w:val="compressPunctuation"/>
  <w:noLineBreaksAfter w:lang="zh-CN" w:val="$([{£¥·‘“〈《「『【〔〖〝﹙﹛﹝＄（．［｛￡￥"/>
  <w:noLineBreaksBefore w:lang="zh-CN" w:val="!%),.:;&gt;?]}¢¨°·ˇˉ―‖’”…‰′″›℃∶、。〃〉》」』】〕〗〞︶︺︾﹀﹄﹚﹜﹞！＂％＇），．：；？］｀｜｝～￠"/>
  <w:hdrShapeDefaults>
    <o:shapedefaults v:ext="edit" spidmax="9218"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093C0E"/>
    <w:rsid w:val="00001AF8"/>
    <w:rsid w:val="0001389E"/>
    <w:rsid w:val="000146C9"/>
    <w:rsid w:val="000155D2"/>
    <w:rsid w:val="000159A0"/>
    <w:rsid w:val="00016297"/>
    <w:rsid w:val="0002087E"/>
    <w:rsid w:val="000237D8"/>
    <w:rsid w:val="00030BA8"/>
    <w:rsid w:val="0003177F"/>
    <w:rsid w:val="00032069"/>
    <w:rsid w:val="000323CC"/>
    <w:rsid w:val="00033095"/>
    <w:rsid w:val="00035544"/>
    <w:rsid w:val="00040FE8"/>
    <w:rsid w:val="00041BDC"/>
    <w:rsid w:val="000427B2"/>
    <w:rsid w:val="00045132"/>
    <w:rsid w:val="000468CF"/>
    <w:rsid w:val="000514F4"/>
    <w:rsid w:val="00051F57"/>
    <w:rsid w:val="0005460F"/>
    <w:rsid w:val="0005469A"/>
    <w:rsid w:val="00056FBE"/>
    <w:rsid w:val="00061160"/>
    <w:rsid w:val="00064C90"/>
    <w:rsid w:val="00064E2B"/>
    <w:rsid w:val="00065CBB"/>
    <w:rsid w:val="0006614F"/>
    <w:rsid w:val="00067FC2"/>
    <w:rsid w:val="00072549"/>
    <w:rsid w:val="00076926"/>
    <w:rsid w:val="00083A31"/>
    <w:rsid w:val="00083D73"/>
    <w:rsid w:val="00090508"/>
    <w:rsid w:val="000907D5"/>
    <w:rsid w:val="00091EC3"/>
    <w:rsid w:val="00092534"/>
    <w:rsid w:val="00093C0E"/>
    <w:rsid w:val="000A136E"/>
    <w:rsid w:val="000A36F7"/>
    <w:rsid w:val="000B2BBA"/>
    <w:rsid w:val="000B5298"/>
    <w:rsid w:val="000B620C"/>
    <w:rsid w:val="000B64B0"/>
    <w:rsid w:val="000B79EF"/>
    <w:rsid w:val="000B7AE3"/>
    <w:rsid w:val="000C3016"/>
    <w:rsid w:val="000C64C2"/>
    <w:rsid w:val="000D40B3"/>
    <w:rsid w:val="000D4A17"/>
    <w:rsid w:val="000D6CEA"/>
    <w:rsid w:val="000E251B"/>
    <w:rsid w:val="000E3713"/>
    <w:rsid w:val="000F12A9"/>
    <w:rsid w:val="000F3F1C"/>
    <w:rsid w:val="000F6E18"/>
    <w:rsid w:val="00100414"/>
    <w:rsid w:val="00102FBB"/>
    <w:rsid w:val="0010626B"/>
    <w:rsid w:val="001065CC"/>
    <w:rsid w:val="0010740A"/>
    <w:rsid w:val="00107C5B"/>
    <w:rsid w:val="0011086E"/>
    <w:rsid w:val="00110E1D"/>
    <w:rsid w:val="0011439A"/>
    <w:rsid w:val="0011595F"/>
    <w:rsid w:val="00120B14"/>
    <w:rsid w:val="00121484"/>
    <w:rsid w:val="00121FF1"/>
    <w:rsid w:val="0012203E"/>
    <w:rsid w:val="001243D1"/>
    <w:rsid w:val="0013301D"/>
    <w:rsid w:val="00134FBB"/>
    <w:rsid w:val="0013637D"/>
    <w:rsid w:val="00136806"/>
    <w:rsid w:val="00140EDC"/>
    <w:rsid w:val="001428E9"/>
    <w:rsid w:val="00142F73"/>
    <w:rsid w:val="001473BA"/>
    <w:rsid w:val="00151313"/>
    <w:rsid w:val="00152998"/>
    <w:rsid w:val="001600ED"/>
    <w:rsid w:val="00160DF7"/>
    <w:rsid w:val="00161B2E"/>
    <w:rsid w:val="001638C2"/>
    <w:rsid w:val="00171BE8"/>
    <w:rsid w:val="001738D3"/>
    <w:rsid w:val="001819E9"/>
    <w:rsid w:val="00184B5B"/>
    <w:rsid w:val="001858B5"/>
    <w:rsid w:val="00185EC3"/>
    <w:rsid w:val="001879F0"/>
    <w:rsid w:val="00191688"/>
    <w:rsid w:val="00192CDC"/>
    <w:rsid w:val="00193367"/>
    <w:rsid w:val="001935B2"/>
    <w:rsid w:val="001943E6"/>
    <w:rsid w:val="001975A5"/>
    <w:rsid w:val="00197BCF"/>
    <w:rsid w:val="001A00A0"/>
    <w:rsid w:val="001A4B38"/>
    <w:rsid w:val="001A79A6"/>
    <w:rsid w:val="001B0D55"/>
    <w:rsid w:val="001B3079"/>
    <w:rsid w:val="001B3931"/>
    <w:rsid w:val="001B600F"/>
    <w:rsid w:val="001C3E67"/>
    <w:rsid w:val="001C63DE"/>
    <w:rsid w:val="001C6A4E"/>
    <w:rsid w:val="001D5336"/>
    <w:rsid w:val="001D5441"/>
    <w:rsid w:val="001E3C2E"/>
    <w:rsid w:val="001E4D69"/>
    <w:rsid w:val="001E583A"/>
    <w:rsid w:val="001E6BEE"/>
    <w:rsid w:val="001F6453"/>
    <w:rsid w:val="001F688A"/>
    <w:rsid w:val="001F6928"/>
    <w:rsid w:val="001F6E66"/>
    <w:rsid w:val="00200D0F"/>
    <w:rsid w:val="00206883"/>
    <w:rsid w:val="00216815"/>
    <w:rsid w:val="0021750C"/>
    <w:rsid w:val="002219C4"/>
    <w:rsid w:val="002222CE"/>
    <w:rsid w:val="002238BE"/>
    <w:rsid w:val="002256F6"/>
    <w:rsid w:val="002352DC"/>
    <w:rsid w:val="002354D0"/>
    <w:rsid w:val="00245E3A"/>
    <w:rsid w:val="002527C2"/>
    <w:rsid w:val="00252C83"/>
    <w:rsid w:val="00252F7A"/>
    <w:rsid w:val="002533B1"/>
    <w:rsid w:val="00254291"/>
    <w:rsid w:val="002546C0"/>
    <w:rsid w:val="0026002F"/>
    <w:rsid w:val="00260414"/>
    <w:rsid w:val="00264A9E"/>
    <w:rsid w:val="00264ED5"/>
    <w:rsid w:val="00265A1D"/>
    <w:rsid w:val="0026788C"/>
    <w:rsid w:val="00271AF0"/>
    <w:rsid w:val="00271C91"/>
    <w:rsid w:val="002728D9"/>
    <w:rsid w:val="00273DFA"/>
    <w:rsid w:val="002764CA"/>
    <w:rsid w:val="0028106C"/>
    <w:rsid w:val="002814BB"/>
    <w:rsid w:val="002827C2"/>
    <w:rsid w:val="00285815"/>
    <w:rsid w:val="00287283"/>
    <w:rsid w:val="00290343"/>
    <w:rsid w:val="00291BE3"/>
    <w:rsid w:val="00292CE3"/>
    <w:rsid w:val="00297586"/>
    <w:rsid w:val="002A0F4B"/>
    <w:rsid w:val="002A106F"/>
    <w:rsid w:val="002A18E7"/>
    <w:rsid w:val="002A1CB2"/>
    <w:rsid w:val="002A2F88"/>
    <w:rsid w:val="002A46DF"/>
    <w:rsid w:val="002A5BEE"/>
    <w:rsid w:val="002A5C33"/>
    <w:rsid w:val="002A5E2A"/>
    <w:rsid w:val="002B5DFF"/>
    <w:rsid w:val="002B61BE"/>
    <w:rsid w:val="002B7A29"/>
    <w:rsid w:val="002B7C88"/>
    <w:rsid w:val="002C0DC1"/>
    <w:rsid w:val="002C1DCF"/>
    <w:rsid w:val="002C4675"/>
    <w:rsid w:val="002C57E4"/>
    <w:rsid w:val="002C5B51"/>
    <w:rsid w:val="002C6747"/>
    <w:rsid w:val="002C678E"/>
    <w:rsid w:val="002D3467"/>
    <w:rsid w:val="002D39EA"/>
    <w:rsid w:val="002D41F9"/>
    <w:rsid w:val="002D4616"/>
    <w:rsid w:val="002D4ADE"/>
    <w:rsid w:val="002E1279"/>
    <w:rsid w:val="002E18C9"/>
    <w:rsid w:val="002E5278"/>
    <w:rsid w:val="002E5D81"/>
    <w:rsid w:val="002E7694"/>
    <w:rsid w:val="002F1CA5"/>
    <w:rsid w:val="002F1D08"/>
    <w:rsid w:val="002F3778"/>
    <w:rsid w:val="002F4DE0"/>
    <w:rsid w:val="00300A9C"/>
    <w:rsid w:val="0030340D"/>
    <w:rsid w:val="003038B4"/>
    <w:rsid w:val="003047E9"/>
    <w:rsid w:val="0030497A"/>
    <w:rsid w:val="00305847"/>
    <w:rsid w:val="00306D95"/>
    <w:rsid w:val="003071E8"/>
    <w:rsid w:val="00307955"/>
    <w:rsid w:val="00313C23"/>
    <w:rsid w:val="0031603F"/>
    <w:rsid w:val="00316217"/>
    <w:rsid w:val="00317E7F"/>
    <w:rsid w:val="003252E3"/>
    <w:rsid w:val="0032581A"/>
    <w:rsid w:val="00325BED"/>
    <w:rsid w:val="00333B34"/>
    <w:rsid w:val="0033435E"/>
    <w:rsid w:val="00336CA5"/>
    <w:rsid w:val="003406A8"/>
    <w:rsid w:val="00340EFE"/>
    <w:rsid w:val="003464A0"/>
    <w:rsid w:val="00351BC9"/>
    <w:rsid w:val="003526C3"/>
    <w:rsid w:val="0035352D"/>
    <w:rsid w:val="003537B6"/>
    <w:rsid w:val="00354D03"/>
    <w:rsid w:val="00356F89"/>
    <w:rsid w:val="0036177D"/>
    <w:rsid w:val="003624D3"/>
    <w:rsid w:val="003633A9"/>
    <w:rsid w:val="00366184"/>
    <w:rsid w:val="0036746A"/>
    <w:rsid w:val="00374B14"/>
    <w:rsid w:val="003923DF"/>
    <w:rsid w:val="003926F3"/>
    <w:rsid w:val="00392985"/>
    <w:rsid w:val="003931CB"/>
    <w:rsid w:val="00393C01"/>
    <w:rsid w:val="0039566B"/>
    <w:rsid w:val="00395B31"/>
    <w:rsid w:val="00396E7E"/>
    <w:rsid w:val="003A332F"/>
    <w:rsid w:val="003A33AB"/>
    <w:rsid w:val="003A4668"/>
    <w:rsid w:val="003B0D0C"/>
    <w:rsid w:val="003C198F"/>
    <w:rsid w:val="003C6FD2"/>
    <w:rsid w:val="003C738C"/>
    <w:rsid w:val="003D12F4"/>
    <w:rsid w:val="003D398F"/>
    <w:rsid w:val="003D4A35"/>
    <w:rsid w:val="003D70F8"/>
    <w:rsid w:val="003D7E27"/>
    <w:rsid w:val="003E1C06"/>
    <w:rsid w:val="003E48A4"/>
    <w:rsid w:val="003E55DA"/>
    <w:rsid w:val="003E5C59"/>
    <w:rsid w:val="003F12F3"/>
    <w:rsid w:val="003F50C9"/>
    <w:rsid w:val="003F5935"/>
    <w:rsid w:val="00406B58"/>
    <w:rsid w:val="0041085F"/>
    <w:rsid w:val="004119EF"/>
    <w:rsid w:val="0041258F"/>
    <w:rsid w:val="00415D31"/>
    <w:rsid w:val="004173AA"/>
    <w:rsid w:val="00422CED"/>
    <w:rsid w:val="0042303A"/>
    <w:rsid w:val="004252C0"/>
    <w:rsid w:val="004311D4"/>
    <w:rsid w:val="0043221A"/>
    <w:rsid w:val="00433548"/>
    <w:rsid w:val="004341AB"/>
    <w:rsid w:val="00434635"/>
    <w:rsid w:val="00435829"/>
    <w:rsid w:val="00436C81"/>
    <w:rsid w:val="00437923"/>
    <w:rsid w:val="00446DA2"/>
    <w:rsid w:val="00450888"/>
    <w:rsid w:val="00453F7F"/>
    <w:rsid w:val="0045525A"/>
    <w:rsid w:val="00456899"/>
    <w:rsid w:val="00460C61"/>
    <w:rsid w:val="004626B1"/>
    <w:rsid w:val="0046585C"/>
    <w:rsid w:val="00466AEC"/>
    <w:rsid w:val="00467F38"/>
    <w:rsid w:val="004701E1"/>
    <w:rsid w:val="00470292"/>
    <w:rsid w:val="004711BA"/>
    <w:rsid w:val="00471374"/>
    <w:rsid w:val="004713DA"/>
    <w:rsid w:val="00474183"/>
    <w:rsid w:val="00475C9F"/>
    <w:rsid w:val="00476217"/>
    <w:rsid w:val="0047643B"/>
    <w:rsid w:val="004840D2"/>
    <w:rsid w:val="00484E54"/>
    <w:rsid w:val="004868E0"/>
    <w:rsid w:val="00487AB4"/>
    <w:rsid w:val="00490C6C"/>
    <w:rsid w:val="004952DD"/>
    <w:rsid w:val="004956DD"/>
    <w:rsid w:val="00496E1B"/>
    <w:rsid w:val="004972ED"/>
    <w:rsid w:val="00497559"/>
    <w:rsid w:val="004A122E"/>
    <w:rsid w:val="004A1BBB"/>
    <w:rsid w:val="004A1E19"/>
    <w:rsid w:val="004A3D06"/>
    <w:rsid w:val="004A5149"/>
    <w:rsid w:val="004A5C66"/>
    <w:rsid w:val="004B0CB0"/>
    <w:rsid w:val="004B16A2"/>
    <w:rsid w:val="004B307F"/>
    <w:rsid w:val="004B68F6"/>
    <w:rsid w:val="004B76CE"/>
    <w:rsid w:val="004C3A59"/>
    <w:rsid w:val="004C4918"/>
    <w:rsid w:val="004C748E"/>
    <w:rsid w:val="004D0241"/>
    <w:rsid w:val="004D1BD8"/>
    <w:rsid w:val="004D4972"/>
    <w:rsid w:val="004D71AB"/>
    <w:rsid w:val="004E5C66"/>
    <w:rsid w:val="004F191E"/>
    <w:rsid w:val="004F327B"/>
    <w:rsid w:val="004F4904"/>
    <w:rsid w:val="004F4D4C"/>
    <w:rsid w:val="004F6F72"/>
    <w:rsid w:val="00500608"/>
    <w:rsid w:val="005006D6"/>
    <w:rsid w:val="00500F70"/>
    <w:rsid w:val="00503A6C"/>
    <w:rsid w:val="00504424"/>
    <w:rsid w:val="00506EC5"/>
    <w:rsid w:val="00513A3E"/>
    <w:rsid w:val="00513F73"/>
    <w:rsid w:val="0051626E"/>
    <w:rsid w:val="005169CA"/>
    <w:rsid w:val="005213C2"/>
    <w:rsid w:val="00521F33"/>
    <w:rsid w:val="00522059"/>
    <w:rsid w:val="00522E33"/>
    <w:rsid w:val="005232D9"/>
    <w:rsid w:val="005254D4"/>
    <w:rsid w:val="00532BCB"/>
    <w:rsid w:val="00535801"/>
    <w:rsid w:val="00536264"/>
    <w:rsid w:val="00540F9E"/>
    <w:rsid w:val="00542114"/>
    <w:rsid w:val="005448E7"/>
    <w:rsid w:val="00547CBB"/>
    <w:rsid w:val="00550611"/>
    <w:rsid w:val="0055098A"/>
    <w:rsid w:val="00560934"/>
    <w:rsid w:val="00560B51"/>
    <w:rsid w:val="00563848"/>
    <w:rsid w:val="00563A3D"/>
    <w:rsid w:val="00565C45"/>
    <w:rsid w:val="0056735A"/>
    <w:rsid w:val="00570AEB"/>
    <w:rsid w:val="00572B22"/>
    <w:rsid w:val="00573CD2"/>
    <w:rsid w:val="005763ED"/>
    <w:rsid w:val="0057654E"/>
    <w:rsid w:val="0057698B"/>
    <w:rsid w:val="00576BE1"/>
    <w:rsid w:val="0057724A"/>
    <w:rsid w:val="00577A12"/>
    <w:rsid w:val="005805AB"/>
    <w:rsid w:val="00580EEF"/>
    <w:rsid w:val="005826A5"/>
    <w:rsid w:val="005845C3"/>
    <w:rsid w:val="00587148"/>
    <w:rsid w:val="00590CEC"/>
    <w:rsid w:val="00590E92"/>
    <w:rsid w:val="005911F7"/>
    <w:rsid w:val="0059197F"/>
    <w:rsid w:val="00592ED4"/>
    <w:rsid w:val="00595097"/>
    <w:rsid w:val="00597892"/>
    <w:rsid w:val="005A03DE"/>
    <w:rsid w:val="005A13E5"/>
    <w:rsid w:val="005A2744"/>
    <w:rsid w:val="005A65DA"/>
    <w:rsid w:val="005A66DD"/>
    <w:rsid w:val="005A68F8"/>
    <w:rsid w:val="005B381C"/>
    <w:rsid w:val="005B39C8"/>
    <w:rsid w:val="005B3DEA"/>
    <w:rsid w:val="005B4E85"/>
    <w:rsid w:val="005B4EE4"/>
    <w:rsid w:val="005B7EB3"/>
    <w:rsid w:val="005C3540"/>
    <w:rsid w:val="005C645A"/>
    <w:rsid w:val="005C6A48"/>
    <w:rsid w:val="005C7B83"/>
    <w:rsid w:val="005D0263"/>
    <w:rsid w:val="005D2D74"/>
    <w:rsid w:val="005D36DF"/>
    <w:rsid w:val="005E076D"/>
    <w:rsid w:val="005E444D"/>
    <w:rsid w:val="005E6F62"/>
    <w:rsid w:val="005E7BBE"/>
    <w:rsid w:val="005F0D59"/>
    <w:rsid w:val="005F11B1"/>
    <w:rsid w:val="005F29E8"/>
    <w:rsid w:val="005F3D0D"/>
    <w:rsid w:val="005F6462"/>
    <w:rsid w:val="005F682C"/>
    <w:rsid w:val="006012F2"/>
    <w:rsid w:val="00607BC0"/>
    <w:rsid w:val="006112D1"/>
    <w:rsid w:val="006118EE"/>
    <w:rsid w:val="006128CB"/>
    <w:rsid w:val="00614A0F"/>
    <w:rsid w:val="006178E9"/>
    <w:rsid w:val="0062032A"/>
    <w:rsid w:val="00621A29"/>
    <w:rsid w:val="00622090"/>
    <w:rsid w:val="006238CF"/>
    <w:rsid w:val="006240DB"/>
    <w:rsid w:val="0062501B"/>
    <w:rsid w:val="00626616"/>
    <w:rsid w:val="00626F2F"/>
    <w:rsid w:val="00627F0A"/>
    <w:rsid w:val="0063247E"/>
    <w:rsid w:val="00635EAA"/>
    <w:rsid w:val="00636B18"/>
    <w:rsid w:val="0064029A"/>
    <w:rsid w:val="00641DD1"/>
    <w:rsid w:val="00644301"/>
    <w:rsid w:val="006443B4"/>
    <w:rsid w:val="0064446A"/>
    <w:rsid w:val="00647EB5"/>
    <w:rsid w:val="006516E7"/>
    <w:rsid w:val="00655E09"/>
    <w:rsid w:val="00660D11"/>
    <w:rsid w:val="00661CC2"/>
    <w:rsid w:val="00665803"/>
    <w:rsid w:val="00665BEC"/>
    <w:rsid w:val="006660EE"/>
    <w:rsid w:val="00667F93"/>
    <w:rsid w:val="0067031B"/>
    <w:rsid w:val="0067228F"/>
    <w:rsid w:val="00672291"/>
    <w:rsid w:val="006726FA"/>
    <w:rsid w:val="00673D67"/>
    <w:rsid w:val="006757C2"/>
    <w:rsid w:val="00682AA7"/>
    <w:rsid w:val="006835F7"/>
    <w:rsid w:val="00683EC7"/>
    <w:rsid w:val="00686762"/>
    <w:rsid w:val="006901F4"/>
    <w:rsid w:val="006930EC"/>
    <w:rsid w:val="006944C1"/>
    <w:rsid w:val="00695473"/>
    <w:rsid w:val="0069733C"/>
    <w:rsid w:val="006A16A1"/>
    <w:rsid w:val="006A2A0C"/>
    <w:rsid w:val="006A2D25"/>
    <w:rsid w:val="006A36A3"/>
    <w:rsid w:val="006B1225"/>
    <w:rsid w:val="006B1EE0"/>
    <w:rsid w:val="006B3438"/>
    <w:rsid w:val="006B6063"/>
    <w:rsid w:val="006B70CB"/>
    <w:rsid w:val="006C67D0"/>
    <w:rsid w:val="006E0B93"/>
    <w:rsid w:val="006E15A2"/>
    <w:rsid w:val="006E2F24"/>
    <w:rsid w:val="006E5F93"/>
    <w:rsid w:val="006E63CE"/>
    <w:rsid w:val="006E707E"/>
    <w:rsid w:val="006E7CB6"/>
    <w:rsid w:val="006E7FA0"/>
    <w:rsid w:val="006F1255"/>
    <w:rsid w:val="006F1F55"/>
    <w:rsid w:val="006F3536"/>
    <w:rsid w:val="006F35A5"/>
    <w:rsid w:val="00703546"/>
    <w:rsid w:val="0070687C"/>
    <w:rsid w:val="00711206"/>
    <w:rsid w:val="007167D3"/>
    <w:rsid w:val="00717D79"/>
    <w:rsid w:val="00722BCD"/>
    <w:rsid w:val="0072308B"/>
    <w:rsid w:val="00723E1C"/>
    <w:rsid w:val="00724E84"/>
    <w:rsid w:val="007262A4"/>
    <w:rsid w:val="00727423"/>
    <w:rsid w:val="00731C55"/>
    <w:rsid w:val="007322AD"/>
    <w:rsid w:val="0073263F"/>
    <w:rsid w:val="007348EE"/>
    <w:rsid w:val="00734D51"/>
    <w:rsid w:val="00735F44"/>
    <w:rsid w:val="0073704C"/>
    <w:rsid w:val="007372BF"/>
    <w:rsid w:val="007374A3"/>
    <w:rsid w:val="00744192"/>
    <w:rsid w:val="00744861"/>
    <w:rsid w:val="007450BA"/>
    <w:rsid w:val="00751E06"/>
    <w:rsid w:val="007527F6"/>
    <w:rsid w:val="00753A8D"/>
    <w:rsid w:val="00761AAF"/>
    <w:rsid w:val="00763A0F"/>
    <w:rsid w:val="007674BC"/>
    <w:rsid w:val="0076769A"/>
    <w:rsid w:val="00772126"/>
    <w:rsid w:val="007810D8"/>
    <w:rsid w:val="00783ABB"/>
    <w:rsid w:val="00785C96"/>
    <w:rsid w:val="007900C6"/>
    <w:rsid w:val="007959D9"/>
    <w:rsid w:val="00795E4E"/>
    <w:rsid w:val="007969A2"/>
    <w:rsid w:val="007A1B20"/>
    <w:rsid w:val="007A1ECF"/>
    <w:rsid w:val="007A3F41"/>
    <w:rsid w:val="007A54B6"/>
    <w:rsid w:val="007A6828"/>
    <w:rsid w:val="007A746F"/>
    <w:rsid w:val="007B4EE6"/>
    <w:rsid w:val="007C1BBA"/>
    <w:rsid w:val="007C1C4E"/>
    <w:rsid w:val="007C2150"/>
    <w:rsid w:val="007C2F18"/>
    <w:rsid w:val="007C46D8"/>
    <w:rsid w:val="007D04C5"/>
    <w:rsid w:val="007D2187"/>
    <w:rsid w:val="007D221A"/>
    <w:rsid w:val="007D22D1"/>
    <w:rsid w:val="007D4886"/>
    <w:rsid w:val="007D4ED7"/>
    <w:rsid w:val="007D73E2"/>
    <w:rsid w:val="007E1E4E"/>
    <w:rsid w:val="007E3BA0"/>
    <w:rsid w:val="007E43F0"/>
    <w:rsid w:val="007E44F5"/>
    <w:rsid w:val="007E4A59"/>
    <w:rsid w:val="007E4F66"/>
    <w:rsid w:val="007E6440"/>
    <w:rsid w:val="007E6A66"/>
    <w:rsid w:val="007F19A4"/>
    <w:rsid w:val="007F21C1"/>
    <w:rsid w:val="007F26BB"/>
    <w:rsid w:val="007F3D8E"/>
    <w:rsid w:val="007F482F"/>
    <w:rsid w:val="0080621C"/>
    <w:rsid w:val="0080627A"/>
    <w:rsid w:val="00806E73"/>
    <w:rsid w:val="00807E03"/>
    <w:rsid w:val="0081496B"/>
    <w:rsid w:val="00814A0D"/>
    <w:rsid w:val="00815E00"/>
    <w:rsid w:val="008209B2"/>
    <w:rsid w:val="00821390"/>
    <w:rsid w:val="0082142B"/>
    <w:rsid w:val="00822007"/>
    <w:rsid w:val="00824ECB"/>
    <w:rsid w:val="0083453A"/>
    <w:rsid w:val="00835211"/>
    <w:rsid w:val="00836848"/>
    <w:rsid w:val="008415FF"/>
    <w:rsid w:val="00843F42"/>
    <w:rsid w:val="00850A30"/>
    <w:rsid w:val="00852DDE"/>
    <w:rsid w:val="008546AE"/>
    <w:rsid w:val="00860867"/>
    <w:rsid w:val="00863D84"/>
    <w:rsid w:val="00865F8B"/>
    <w:rsid w:val="008717E2"/>
    <w:rsid w:val="00872C6E"/>
    <w:rsid w:val="0087391E"/>
    <w:rsid w:val="00875DB3"/>
    <w:rsid w:val="00880456"/>
    <w:rsid w:val="00882617"/>
    <w:rsid w:val="008867D4"/>
    <w:rsid w:val="008901C5"/>
    <w:rsid w:val="00893FDC"/>
    <w:rsid w:val="008A4F67"/>
    <w:rsid w:val="008A5B5F"/>
    <w:rsid w:val="008A636A"/>
    <w:rsid w:val="008B1A1F"/>
    <w:rsid w:val="008B24E2"/>
    <w:rsid w:val="008B39A7"/>
    <w:rsid w:val="008C0F5C"/>
    <w:rsid w:val="008C17DF"/>
    <w:rsid w:val="008C1835"/>
    <w:rsid w:val="008C2F56"/>
    <w:rsid w:val="008C3836"/>
    <w:rsid w:val="008C59AB"/>
    <w:rsid w:val="008D2CB4"/>
    <w:rsid w:val="008D4536"/>
    <w:rsid w:val="008E25F8"/>
    <w:rsid w:val="008F07E9"/>
    <w:rsid w:val="008F0AFF"/>
    <w:rsid w:val="008F58EA"/>
    <w:rsid w:val="008F5C2D"/>
    <w:rsid w:val="008F5E8D"/>
    <w:rsid w:val="008F7042"/>
    <w:rsid w:val="009153DA"/>
    <w:rsid w:val="00922F04"/>
    <w:rsid w:val="00923855"/>
    <w:rsid w:val="00924F7F"/>
    <w:rsid w:val="00925944"/>
    <w:rsid w:val="00925FD4"/>
    <w:rsid w:val="009316DF"/>
    <w:rsid w:val="00936A59"/>
    <w:rsid w:val="00937F70"/>
    <w:rsid w:val="009408D7"/>
    <w:rsid w:val="009408EC"/>
    <w:rsid w:val="00941142"/>
    <w:rsid w:val="00946654"/>
    <w:rsid w:val="00947191"/>
    <w:rsid w:val="00947203"/>
    <w:rsid w:val="00947D87"/>
    <w:rsid w:val="0095135A"/>
    <w:rsid w:val="00954D17"/>
    <w:rsid w:val="00956348"/>
    <w:rsid w:val="00956CE8"/>
    <w:rsid w:val="009645A3"/>
    <w:rsid w:val="00965D56"/>
    <w:rsid w:val="009716EF"/>
    <w:rsid w:val="009723C3"/>
    <w:rsid w:val="0098232F"/>
    <w:rsid w:val="00983427"/>
    <w:rsid w:val="00990215"/>
    <w:rsid w:val="00991C5E"/>
    <w:rsid w:val="009A0F26"/>
    <w:rsid w:val="009A2671"/>
    <w:rsid w:val="009A3455"/>
    <w:rsid w:val="009A5D22"/>
    <w:rsid w:val="009B215A"/>
    <w:rsid w:val="009B23B5"/>
    <w:rsid w:val="009B4A8F"/>
    <w:rsid w:val="009B5974"/>
    <w:rsid w:val="009B77AA"/>
    <w:rsid w:val="009C31ED"/>
    <w:rsid w:val="009C41C5"/>
    <w:rsid w:val="009C705F"/>
    <w:rsid w:val="009D277E"/>
    <w:rsid w:val="009D3078"/>
    <w:rsid w:val="009E02F6"/>
    <w:rsid w:val="009E47C3"/>
    <w:rsid w:val="009E68F6"/>
    <w:rsid w:val="009E7623"/>
    <w:rsid w:val="009F0694"/>
    <w:rsid w:val="009F2DA2"/>
    <w:rsid w:val="009F347F"/>
    <w:rsid w:val="009F3983"/>
    <w:rsid w:val="009F5CB2"/>
    <w:rsid w:val="00A03053"/>
    <w:rsid w:val="00A034CB"/>
    <w:rsid w:val="00A037AC"/>
    <w:rsid w:val="00A04C4F"/>
    <w:rsid w:val="00A04D7C"/>
    <w:rsid w:val="00A0516A"/>
    <w:rsid w:val="00A10BB5"/>
    <w:rsid w:val="00A139DC"/>
    <w:rsid w:val="00A14DC4"/>
    <w:rsid w:val="00A21BA2"/>
    <w:rsid w:val="00A21D83"/>
    <w:rsid w:val="00A2677B"/>
    <w:rsid w:val="00A32BF1"/>
    <w:rsid w:val="00A36D42"/>
    <w:rsid w:val="00A4099E"/>
    <w:rsid w:val="00A427E3"/>
    <w:rsid w:val="00A4547A"/>
    <w:rsid w:val="00A45ECA"/>
    <w:rsid w:val="00A50285"/>
    <w:rsid w:val="00A508F1"/>
    <w:rsid w:val="00A5187D"/>
    <w:rsid w:val="00A518AE"/>
    <w:rsid w:val="00A55FFB"/>
    <w:rsid w:val="00A5797E"/>
    <w:rsid w:val="00A57D34"/>
    <w:rsid w:val="00A6320D"/>
    <w:rsid w:val="00A656F2"/>
    <w:rsid w:val="00A66D64"/>
    <w:rsid w:val="00A72A13"/>
    <w:rsid w:val="00A76A42"/>
    <w:rsid w:val="00A90532"/>
    <w:rsid w:val="00A91254"/>
    <w:rsid w:val="00AA2D8D"/>
    <w:rsid w:val="00AA2DE7"/>
    <w:rsid w:val="00AA4920"/>
    <w:rsid w:val="00AA67A4"/>
    <w:rsid w:val="00AA769B"/>
    <w:rsid w:val="00AB1516"/>
    <w:rsid w:val="00AB2CA1"/>
    <w:rsid w:val="00AB382A"/>
    <w:rsid w:val="00AB50CA"/>
    <w:rsid w:val="00AC5AB4"/>
    <w:rsid w:val="00AC7410"/>
    <w:rsid w:val="00AD0D70"/>
    <w:rsid w:val="00AD2E66"/>
    <w:rsid w:val="00AD5CE7"/>
    <w:rsid w:val="00AD63B0"/>
    <w:rsid w:val="00AE33E1"/>
    <w:rsid w:val="00AE4E0F"/>
    <w:rsid w:val="00AE65C0"/>
    <w:rsid w:val="00AE694F"/>
    <w:rsid w:val="00AF0B01"/>
    <w:rsid w:val="00AF0DC3"/>
    <w:rsid w:val="00AF1257"/>
    <w:rsid w:val="00AF4450"/>
    <w:rsid w:val="00B008ED"/>
    <w:rsid w:val="00B0124F"/>
    <w:rsid w:val="00B0195F"/>
    <w:rsid w:val="00B02725"/>
    <w:rsid w:val="00B03277"/>
    <w:rsid w:val="00B03F6F"/>
    <w:rsid w:val="00B0617E"/>
    <w:rsid w:val="00B0692A"/>
    <w:rsid w:val="00B13573"/>
    <w:rsid w:val="00B1370F"/>
    <w:rsid w:val="00B13B9E"/>
    <w:rsid w:val="00B14920"/>
    <w:rsid w:val="00B14B78"/>
    <w:rsid w:val="00B15624"/>
    <w:rsid w:val="00B17983"/>
    <w:rsid w:val="00B262EF"/>
    <w:rsid w:val="00B31EAA"/>
    <w:rsid w:val="00B357A0"/>
    <w:rsid w:val="00B367B1"/>
    <w:rsid w:val="00B40E85"/>
    <w:rsid w:val="00B4346F"/>
    <w:rsid w:val="00B43DD4"/>
    <w:rsid w:val="00B448EE"/>
    <w:rsid w:val="00B46E87"/>
    <w:rsid w:val="00B5081D"/>
    <w:rsid w:val="00B51158"/>
    <w:rsid w:val="00B53AD6"/>
    <w:rsid w:val="00B5691D"/>
    <w:rsid w:val="00B654B9"/>
    <w:rsid w:val="00B67D59"/>
    <w:rsid w:val="00B702AE"/>
    <w:rsid w:val="00B71086"/>
    <w:rsid w:val="00B72CFA"/>
    <w:rsid w:val="00B73426"/>
    <w:rsid w:val="00B73AC8"/>
    <w:rsid w:val="00B74C0E"/>
    <w:rsid w:val="00B76A43"/>
    <w:rsid w:val="00B774BB"/>
    <w:rsid w:val="00B80188"/>
    <w:rsid w:val="00B808A0"/>
    <w:rsid w:val="00B808C9"/>
    <w:rsid w:val="00B80E32"/>
    <w:rsid w:val="00B81BC3"/>
    <w:rsid w:val="00B81D3E"/>
    <w:rsid w:val="00B87DE1"/>
    <w:rsid w:val="00B904D8"/>
    <w:rsid w:val="00BA07E7"/>
    <w:rsid w:val="00BA1251"/>
    <w:rsid w:val="00BA12EC"/>
    <w:rsid w:val="00BA31BD"/>
    <w:rsid w:val="00BA6D71"/>
    <w:rsid w:val="00BB124A"/>
    <w:rsid w:val="00BB2F45"/>
    <w:rsid w:val="00BB304B"/>
    <w:rsid w:val="00BB67A8"/>
    <w:rsid w:val="00BB7534"/>
    <w:rsid w:val="00BB7A6A"/>
    <w:rsid w:val="00BC0A50"/>
    <w:rsid w:val="00BC2145"/>
    <w:rsid w:val="00BD050B"/>
    <w:rsid w:val="00BD4442"/>
    <w:rsid w:val="00BE62C4"/>
    <w:rsid w:val="00BE68D3"/>
    <w:rsid w:val="00BF176C"/>
    <w:rsid w:val="00BF38AB"/>
    <w:rsid w:val="00BF7A35"/>
    <w:rsid w:val="00BF7A94"/>
    <w:rsid w:val="00C01852"/>
    <w:rsid w:val="00C0438C"/>
    <w:rsid w:val="00C063F2"/>
    <w:rsid w:val="00C106C8"/>
    <w:rsid w:val="00C15633"/>
    <w:rsid w:val="00C1611E"/>
    <w:rsid w:val="00C16E9C"/>
    <w:rsid w:val="00C17ED7"/>
    <w:rsid w:val="00C21621"/>
    <w:rsid w:val="00C23FA7"/>
    <w:rsid w:val="00C305AD"/>
    <w:rsid w:val="00C30E51"/>
    <w:rsid w:val="00C353DC"/>
    <w:rsid w:val="00C354C5"/>
    <w:rsid w:val="00C3589F"/>
    <w:rsid w:val="00C3777C"/>
    <w:rsid w:val="00C415B1"/>
    <w:rsid w:val="00C43F09"/>
    <w:rsid w:val="00C4449D"/>
    <w:rsid w:val="00C51B80"/>
    <w:rsid w:val="00C6089F"/>
    <w:rsid w:val="00C64B7D"/>
    <w:rsid w:val="00C659A4"/>
    <w:rsid w:val="00C666BF"/>
    <w:rsid w:val="00C67A4B"/>
    <w:rsid w:val="00C723C1"/>
    <w:rsid w:val="00C72EA3"/>
    <w:rsid w:val="00C7326D"/>
    <w:rsid w:val="00C734D0"/>
    <w:rsid w:val="00C85F23"/>
    <w:rsid w:val="00C90BAF"/>
    <w:rsid w:val="00C93CB7"/>
    <w:rsid w:val="00CA07DA"/>
    <w:rsid w:val="00CA0809"/>
    <w:rsid w:val="00CA1FF3"/>
    <w:rsid w:val="00CA2D06"/>
    <w:rsid w:val="00CA4476"/>
    <w:rsid w:val="00CA466C"/>
    <w:rsid w:val="00CB0B06"/>
    <w:rsid w:val="00CB12B5"/>
    <w:rsid w:val="00CB645C"/>
    <w:rsid w:val="00CC0607"/>
    <w:rsid w:val="00CC311A"/>
    <w:rsid w:val="00CC7274"/>
    <w:rsid w:val="00CD67E4"/>
    <w:rsid w:val="00CE1829"/>
    <w:rsid w:val="00CE2A9A"/>
    <w:rsid w:val="00CE2E14"/>
    <w:rsid w:val="00CE34D2"/>
    <w:rsid w:val="00CE4FCA"/>
    <w:rsid w:val="00CF752C"/>
    <w:rsid w:val="00D01095"/>
    <w:rsid w:val="00D038BD"/>
    <w:rsid w:val="00D03F2C"/>
    <w:rsid w:val="00D04A12"/>
    <w:rsid w:val="00D11A5B"/>
    <w:rsid w:val="00D13311"/>
    <w:rsid w:val="00D1350B"/>
    <w:rsid w:val="00D13ACA"/>
    <w:rsid w:val="00D165FF"/>
    <w:rsid w:val="00D20A5E"/>
    <w:rsid w:val="00D254E4"/>
    <w:rsid w:val="00D2554B"/>
    <w:rsid w:val="00D31FA7"/>
    <w:rsid w:val="00D32DCC"/>
    <w:rsid w:val="00D35713"/>
    <w:rsid w:val="00D37985"/>
    <w:rsid w:val="00D37CF0"/>
    <w:rsid w:val="00D42557"/>
    <w:rsid w:val="00D42E97"/>
    <w:rsid w:val="00D439B8"/>
    <w:rsid w:val="00D470D0"/>
    <w:rsid w:val="00D54419"/>
    <w:rsid w:val="00D545B0"/>
    <w:rsid w:val="00D563E5"/>
    <w:rsid w:val="00D5648D"/>
    <w:rsid w:val="00D57044"/>
    <w:rsid w:val="00D60D8F"/>
    <w:rsid w:val="00D62619"/>
    <w:rsid w:val="00D660B1"/>
    <w:rsid w:val="00D6635F"/>
    <w:rsid w:val="00D668CD"/>
    <w:rsid w:val="00D670F7"/>
    <w:rsid w:val="00D6716B"/>
    <w:rsid w:val="00D7059A"/>
    <w:rsid w:val="00D74F8D"/>
    <w:rsid w:val="00D769B7"/>
    <w:rsid w:val="00D80AEF"/>
    <w:rsid w:val="00D83F3B"/>
    <w:rsid w:val="00D8490E"/>
    <w:rsid w:val="00D862E7"/>
    <w:rsid w:val="00D8630E"/>
    <w:rsid w:val="00D9135C"/>
    <w:rsid w:val="00D930CA"/>
    <w:rsid w:val="00D9472B"/>
    <w:rsid w:val="00DA01C6"/>
    <w:rsid w:val="00DA0F73"/>
    <w:rsid w:val="00DA144F"/>
    <w:rsid w:val="00DA305E"/>
    <w:rsid w:val="00DA7DDD"/>
    <w:rsid w:val="00DB0AF9"/>
    <w:rsid w:val="00DB6547"/>
    <w:rsid w:val="00DB7891"/>
    <w:rsid w:val="00DC10C8"/>
    <w:rsid w:val="00DC665E"/>
    <w:rsid w:val="00DC72F2"/>
    <w:rsid w:val="00DD1796"/>
    <w:rsid w:val="00DD1D7F"/>
    <w:rsid w:val="00DD33A8"/>
    <w:rsid w:val="00DD4508"/>
    <w:rsid w:val="00DD5F14"/>
    <w:rsid w:val="00DD6343"/>
    <w:rsid w:val="00DD659B"/>
    <w:rsid w:val="00DD70B0"/>
    <w:rsid w:val="00DE33A7"/>
    <w:rsid w:val="00DE485C"/>
    <w:rsid w:val="00DE5B79"/>
    <w:rsid w:val="00DF0878"/>
    <w:rsid w:val="00DF1628"/>
    <w:rsid w:val="00DF39FC"/>
    <w:rsid w:val="00DF5FE1"/>
    <w:rsid w:val="00DF6D77"/>
    <w:rsid w:val="00DF71CF"/>
    <w:rsid w:val="00DF7310"/>
    <w:rsid w:val="00E0096E"/>
    <w:rsid w:val="00E0334B"/>
    <w:rsid w:val="00E04223"/>
    <w:rsid w:val="00E054B6"/>
    <w:rsid w:val="00E10A7D"/>
    <w:rsid w:val="00E1430B"/>
    <w:rsid w:val="00E1778D"/>
    <w:rsid w:val="00E17BE0"/>
    <w:rsid w:val="00E2233E"/>
    <w:rsid w:val="00E2466F"/>
    <w:rsid w:val="00E24AC6"/>
    <w:rsid w:val="00E25E20"/>
    <w:rsid w:val="00E273C7"/>
    <w:rsid w:val="00E31064"/>
    <w:rsid w:val="00E35102"/>
    <w:rsid w:val="00E402B7"/>
    <w:rsid w:val="00E4100A"/>
    <w:rsid w:val="00E4481E"/>
    <w:rsid w:val="00E44E58"/>
    <w:rsid w:val="00E54CD0"/>
    <w:rsid w:val="00E62790"/>
    <w:rsid w:val="00E63434"/>
    <w:rsid w:val="00E64DB6"/>
    <w:rsid w:val="00E72FF9"/>
    <w:rsid w:val="00E765BF"/>
    <w:rsid w:val="00E802CE"/>
    <w:rsid w:val="00E83057"/>
    <w:rsid w:val="00E8340F"/>
    <w:rsid w:val="00E83627"/>
    <w:rsid w:val="00E931BE"/>
    <w:rsid w:val="00E962DC"/>
    <w:rsid w:val="00E96A47"/>
    <w:rsid w:val="00E974AE"/>
    <w:rsid w:val="00EA063E"/>
    <w:rsid w:val="00EA0A0D"/>
    <w:rsid w:val="00EA2B78"/>
    <w:rsid w:val="00EA3002"/>
    <w:rsid w:val="00EA3248"/>
    <w:rsid w:val="00EA36C8"/>
    <w:rsid w:val="00EA3A12"/>
    <w:rsid w:val="00EA69FB"/>
    <w:rsid w:val="00EB1E5B"/>
    <w:rsid w:val="00EB4855"/>
    <w:rsid w:val="00EB6787"/>
    <w:rsid w:val="00EB7724"/>
    <w:rsid w:val="00EC11C1"/>
    <w:rsid w:val="00EC2530"/>
    <w:rsid w:val="00EC3361"/>
    <w:rsid w:val="00EC590C"/>
    <w:rsid w:val="00EC619F"/>
    <w:rsid w:val="00ED318C"/>
    <w:rsid w:val="00ED4174"/>
    <w:rsid w:val="00EE1FA4"/>
    <w:rsid w:val="00EF21FF"/>
    <w:rsid w:val="00EF3652"/>
    <w:rsid w:val="00EF520C"/>
    <w:rsid w:val="00F00460"/>
    <w:rsid w:val="00F021F7"/>
    <w:rsid w:val="00F028C8"/>
    <w:rsid w:val="00F02C22"/>
    <w:rsid w:val="00F03607"/>
    <w:rsid w:val="00F07537"/>
    <w:rsid w:val="00F07CC1"/>
    <w:rsid w:val="00F10E29"/>
    <w:rsid w:val="00F1257D"/>
    <w:rsid w:val="00F146E6"/>
    <w:rsid w:val="00F1657A"/>
    <w:rsid w:val="00F1713E"/>
    <w:rsid w:val="00F20B3D"/>
    <w:rsid w:val="00F21500"/>
    <w:rsid w:val="00F25936"/>
    <w:rsid w:val="00F268C9"/>
    <w:rsid w:val="00F2727D"/>
    <w:rsid w:val="00F3054D"/>
    <w:rsid w:val="00F308D9"/>
    <w:rsid w:val="00F37A88"/>
    <w:rsid w:val="00F42B6B"/>
    <w:rsid w:val="00F439D0"/>
    <w:rsid w:val="00F57708"/>
    <w:rsid w:val="00F5780C"/>
    <w:rsid w:val="00F6176A"/>
    <w:rsid w:val="00F621AF"/>
    <w:rsid w:val="00F62343"/>
    <w:rsid w:val="00F63EF9"/>
    <w:rsid w:val="00F7357A"/>
    <w:rsid w:val="00F7560A"/>
    <w:rsid w:val="00F76E37"/>
    <w:rsid w:val="00F803B1"/>
    <w:rsid w:val="00F8093F"/>
    <w:rsid w:val="00F812DF"/>
    <w:rsid w:val="00F84CD9"/>
    <w:rsid w:val="00F8773D"/>
    <w:rsid w:val="00F925D3"/>
    <w:rsid w:val="00F92C47"/>
    <w:rsid w:val="00F93DE2"/>
    <w:rsid w:val="00FA0E01"/>
    <w:rsid w:val="00FA4B69"/>
    <w:rsid w:val="00FA5C36"/>
    <w:rsid w:val="00FB19BF"/>
    <w:rsid w:val="00FB1C3C"/>
    <w:rsid w:val="00FB475C"/>
    <w:rsid w:val="00FB5733"/>
    <w:rsid w:val="00FB5ACD"/>
    <w:rsid w:val="00FB7D58"/>
    <w:rsid w:val="00FC4DC3"/>
    <w:rsid w:val="00FD1F2B"/>
    <w:rsid w:val="00FD4589"/>
    <w:rsid w:val="00FD5195"/>
    <w:rsid w:val="00FD7A45"/>
    <w:rsid w:val="00FD7CC2"/>
    <w:rsid w:val="00FE0EF1"/>
    <w:rsid w:val="00FE433A"/>
    <w:rsid w:val="00FE5CD4"/>
    <w:rsid w:val="00FE6820"/>
    <w:rsid w:val="00FF0A61"/>
    <w:rsid w:val="00FF0FB2"/>
    <w:rsid w:val="00FF5855"/>
    <w:rsid w:val="00FF689A"/>
    <w:rsid w:val="01940CAE"/>
    <w:rsid w:val="02C90CDB"/>
    <w:rsid w:val="06075BE2"/>
    <w:rsid w:val="087E3543"/>
    <w:rsid w:val="0A152360"/>
    <w:rsid w:val="0C551D33"/>
    <w:rsid w:val="0C604508"/>
    <w:rsid w:val="0CD03BC9"/>
    <w:rsid w:val="0D862896"/>
    <w:rsid w:val="0DF8186B"/>
    <w:rsid w:val="105A366B"/>
    <w:rsid w:val="113546A3"/>
    <w:rsid w:val="14B41FAE"/>
    <w:rsid w:val="19FB371F"/>
    <w:rsid w:val="1E0E7EF6"/>
    <w:rsid w:val="1ED52E39"/>
    <w:rsid w:val="1F737FFE"/>
    <w:rsid w:val="218B01E8"/>
    <w:rsid w:val="240E1E14"/>
    <w:rsid w:val="245276F6"/>
    <w:rsid w:val="262E7C2D"/>
    <w:rsid w:val="28781983"/>
    <w:rsid w:val="29BC6764"/>
    <w:rsid w:val="2DBD2C83"/>
    <w:rsid w:val="2E8D154B"/>
    <w:rsid w:val="2FEF72FF"/>
    <w:rsid w:val="30B0031C"/>
    <w:rsid w:val="314033D9"/>
    <w:rsid w:val="3340729B"/>
    <w:rsid w:val="355869C1"/>
    <w:rsid w:val="391C0EFF"/>
    <w:rsid w:val="3B2771F9"/>
    <w:rsid w:val="3C625C34"/>
    <w:rsid w:val="3D3D427E"/>
    <w:rsid w:val="3DD61AF2"/>
    <w:rsid w:val="3F4D1EE4"/>
    <w:rsid w:val="3F58333B"/>
    <w:rsid w:val="405622E2"/>
    <w:rsid w:val="40AD68DF"/>
    <w:rsid w:val="41F40AEE"/>
    <w:rsid w:val="440A6B54"/>
    <w:rsid w:val="4A826F7F"/>
    <w:rsid w:val="4D0F1EE7"/>
    <w:rsid w:val="504C1EC8"/>
    <w:rsid w:val="5397659D"/>
    <w:rsid w:val="53C761C0"/>
    <w:rsid w:val="56152204"/>
    <w:rsid w:val="5B2E48B6"/>
    <w:rsid w:val="5C254E31"/>
    <w:rsid w:val="5D422328"/>
    <w:rsid w:val="600066BC"/>
    <w:rsid w:val="603F74A5"/>
    <w:rsid w:val="60760590"/>
    <w:rsid w:val="61DE55A9"/>
    <w:rsid w:val="628A56C2"/>
    <w:rsid w:val="630A7989"/>
    <w:rsid w:val="63972EA5"/>
    <w:rsid w:val="646C0191"/>
    <w:rsid w:val="656716E0"/>
    <w:rsid w:val="65884C75"/>
    <w:rsid w:val="6A444E11"/>
    <w:rsid w:val="6A55055F"/>
    <w:rsid w:val="6A6B00CF"/>
    <w:rsid w:val="6AE040CF"/>
    <w:rsid w:val="6BC54059"/>
    <w:rsid w:val="6EAA4508"/>
    <w:rsid w:val="6ECF6D16"/>
    <w:rsid w:val="6F9F60E9"/>
    <w:rsid w:val="6FC05B45"/>
    <w:rsid w:val="70A93FB8"/>
    <w:rsid w:val="73B14E2A"/>
    <w:rsid w:val="77B331DB"/>
    <w:rsid w:val="788D5F6F"/>
    <w:rsid w:val="7AE259B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9218"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locked="1" w:semiHidden="0" w:unhideWhenUsed="0" w:qFormat="1"/>
    <w:lsdException w:name="heading 2" w:locked="1" w:qFormat="1"/>
    <w:lsdException w:name="heading 3" w:locked="1" w:qFormat="1"/>
    <w:lsdException w:name="heading 4" w:locked="1" w:semiHidden="0" w:qFormat="1"/>
    <w:lsdException w:name="heading 5" w:locked="1" w:qFormat="1"/>
    <w:lsdException w:name="heading 6" w:locked="1" w:qFormat="1"/>
    <w:lsdException w:name="heading 7" w:locked="1" w:qFormat="1"/>
    <w:lsdException w:name="heading 8" w:locked="1" w:qFormat="1"/>
    <w:lsdException w:name="heading 9" w:locked="1" w:qFormat="1"/>
    <w:lsdException w:name="toc 1" w:locked="1" w:semiHidden="0" w:unhideWhenUsed="0"/>
    <w:lsdException w:name="toc 2" w:locked="1" w:semiHidden="0" w:unhideWhenUsed="0"/>
    <w:lsdException w:name="toc 3" w:locked="1" w:semiHidden="0" w:unhideWhenUsed="0"/>
    <w:lsdException w:name="toc 4" w:locked="1" w:semiHidden="0" w:unhideWhenUsed="0"/>
    <w:lsdException w:name="toc 5" w:locked="1" w:semiHidden="0" w:unhideWhenUsed="0"/>
    <w:lsdException w:name="toc 6" w:locked="1" w:semiHidden="0" w:unhideWhenUsed="0"/>
    <w:lsdException w:name="toc 7" w:locked="1" w:semiHidden="0" w:unhideWhenUsed="0"/>
    <w:lsdException w:name="toc 8" w:locked="1" w:semiHidden="0" w:unhideWhenUsed="0"/>
    <w:lsdException w:name="toc 9" w:locked="1" w:semiHidden="0" w:unhideWhenUsed="0"/>
    <w:lsdException w:name="footnote text" w:semiHidden="0" w:uiPriority="99"/>
    <w:lsdException w:name="header" w:semiHidden="0" w:uiPriority="99" w:unhideWhenUsed="0"/>
    <w:lsdException w:name="footer" w:semiHidden="0" w:uiPriority="99" w:unhideWhenUsed="0"/>
    <w:lsdException w:name="caption" w:locked="1" w:semiHidden="0" w:qFormat="1"/>
    <w:lsdException w:name="Title" w:locked="1" w:semiHidden="0" w:unhideWhenUsed="0" w:qFormat="1"/>
    <w:lsdException w:name="Default Paragraph Font" w:semiHidden="0" w:uiPriority="1"/>
    <w:lsdException w:name="Subtitle" w:locked="1" w:semiHidden="0" w:unhideWhenUsed="0" w:qFormat="1"/>
    <w:lsdException w:name="Hyperlink" w:uiPriority="99" w:unhideWhenUsed="0"/>
    <w:lsdException w:name="Strong" w:locked="1" w:semiHidden="0" w:unhideWhenUsed="0" w:qFormat="1"/>
    <w:lsdException w:name="Emphasis" w:locked="1" w:semiHidden="0" w:unhideWhenUsed="0" w:qFormat="1"/>
    <w:lsdException w:name="HTML Top of Form" w:uiPriority="99"/>
    <w:lsdException w:name="HTML Bottom of Form" w:uiPriority="99"/>
    <w:lsdException w:name="Normal (Web)" w:semiHidden="0"/>
    <w:lsdException w:name="HTML Preformatted" w:semiHidden="0" w:uiPriority="99" w:unhideWhenUsed="0"/>
    <w:lsdException w:name="Normal Table" w:semiHidden="0" w:uiPriority="99"/>
    <w:lsdException w:name="No List" w:uiPriority="99"/>
    <w:lsdException w:name="Outline List 1" w:uiPriority="99"/>
    <w:lsdException w:name="Outline List 2" w:uiPriority="99"/>
    <w:lsdException w:name="Outline List 3" w:uiPriority="99"/>
    <w:lsdException w:name="Balloon Text" w:uiPriority="99" w:unhideWhenUsed="0"/>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5633"/>
    <w:pPr>
      <w:widowControl w:val="0"/>
      <w:jc w:val="both"/>
    </w:pPr>
    <w:rPr>
      <w:rFonts w:ascii="Calibri" w:hAnsi="Calibri" w:cs="Calibri"/>
      <w:kern w:val="2"/>
      <w:sz w:val="21"/>
      <w:szCs w:val="21"/>
    </w:rPr>
  </w:style>
  <w:style w:type="paragraph" w:styleId="4">
    <w:name w:val="heading 4"/>
    <w:basedOn w:val="a"/>
    <w:next w:val="a"/>
    <w:unhideWhenUsed/>
    <w:qFormat/>
    <w:locked/>
    <w:rsid w:val="00C15633"/>
    <w:pPr>
      <w:spacing w:beforeAutospacing="1" w:afterAutospacing="1"/>
      <w:jc w:val="left"/>
      <w:outlineLvl w:val="3"/>
    </w:pPr>
    <w:rPr>
      <w:rFonts w:ascii="宋体" w:hAnsi="宋体" w:cs="宋体" w:hint="eastAsia"/>
      <w:b/>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nhideWhenUsed/>
    <w:qFormat/>
    <w:locked/>
    <w:rsid w:val="00C15633"/>
    <w:rPr>
      <w:rFonts w:ascii="Cambria" w:eastAsia="黑体" w:hAnsi="Cambria" w:cs="Times New Roman"/>
      <w:sz w:val="20"/>
      <w:szCs w:val="20"/>
    </w:rPr>
  </w:style>
  <w:style w:type="paragraph" w:styleId="a4">
    <w:name w:val="Balloon Text"/>
    <w:basedOn w:val="a"/>
    <w:link w:val="Char"/>
    <w:uiPriority w:val="99"/>
    <w:semiHidden/>
    <w:rsid w:val="00C15633"/>
    <w:rPr>
      <w:kern w:val="0"/>
      <w:sz w:val="18"/>
      <w:szCs w:val="18"/>
    </w:rPr>
  </w:style>
  <w:style w:type="paragraph" w:styleId="a5">
    <w:name w:val="footer"/>
    <w:basedOn w:val="a"/>
    <w:link w:val="Char0"/>
    <w:uiPriority w:val="99"/>
    <w:rsid w:val="00C15633"/>
    <w:pPr>
      <w:tabs>
        <w:tab w:val="center" w:pos="4153"/>
        <w:tab w:val="right" w:pos="8306"/>
      </w:tabs>
      <w:snapToGrid w:val="0"/>
      <w:jc w:val="left"/>
    </w:pPr>
    <w:rPr>
      <w:kern w:val="0"/>
      <w:sz w:val="18"/>
      <w:szCs w:val="18"/>
    </w:rPr>
  </w:style>
  <w:style w:type="paragraph" w:styleId="a6">
    <w:name w:val="header"/>
    <w:basedOn w:val="a"/>
    <w:link w:val="Char1"/>
    <w:uiPriority w:val="99"/>
    <w:rsid w:val="00C15633"/>
    <w:pPr>
      <w:pBdr>
        <w:bottom w:val="single" w:sz="6" w:space="1" w:color="auto"/>
      </w:pBdr>
      <w:tabs>
        <w:tab w:val="center" w:pos="4153"/>
        <w:tab w:val="right" w:pos="8306"/>
      </w:tabs>
      <w:snapToGrid w:val="0"/>
      <w:jc w:val="center"/>
    </w:pPr>
    <w:rPr>
      <w:kern w:val="0"/>
      <w:sz w:val="18"/>
      <w:szCs w:val="18"/>
    </w:rPr>
  </w:style>
  <w:style w:type="paragraph" w:styleId="a7">
    <w:name w:val="footnote text"/>
    <w:basedOn w:val="a"/>
    <w:link w:val="Char2"/>
    <w:uiPriority w:val="99"/>
    <w:unhideWhenUsed/>
    <w:rsid w:val="00C15633"/>
    <w:pPr>
      <w:widowControl/>
      <w:jc w:val="left"/>
    </w:pPr>
    <w:rPr>
      <w:rFonts w:cs="Times New Roman"/>
      <w:kern w:val="0"/>
      <w:sz w:val="20"/>
      <w:szCs w:val="20"/>
    </w:rPr>
  </w:style>
  <w:style w:type="paragraph" w:styleId="HTML">
    <w:name w:val="HTML Preformatted"/>
    <w:basedOn w:val="a"/>
    <w:link w:val="HTMLChar"/>
    <w:uiPriority w:val="99"/>
    <w:rsid w:val="00C1563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8">
    <w:name w:val="Normal (Web)"/>
    <w:basedOn w:val="a"/>
    <w:unhideWhenUsed/>
    <w:rsid w:val="00C15633"/>
    <w:pPr>
      <w:spacing w:beforeAutospacing="1" w:afterAutospacing="1"/>
      <w:jc w:val="left"/>
    </w:pPr>
    <w:rPr>
      <w:kern w:val="0"/>
      <w:sz w:val="24"/>
    </w:rPr>
  </w:style>
  <w:style w:type="character" w:styleId="a9">
    <w:name w:val="Strong"/>
    <w:basedOn w:val="a0"/>
    <w:qFormat/>
    <w:locked/>
    <w:rsid w:val="00C15633"/>
    <w:rPr>
      <w:b/>
    </w:rPr>
  </w:style>
  <w:style w:type="character" w:styleId="aa">
    <w:name w:val="Hyperlink"/>
    <w:basedOn w:val="a0"/>
    <w:uiPriority w:val="99"/>
    <w:semiHidden/>
    <w:rsid w:val="00C15633"/>
    <w:rPr>
      <w:color w:val="0000FF"/>
      <w:u w:val="single"/>
    </w:rPr>
  </w:style>
  <w:style w:type="table" w:styleId="ab">
    <w:name w:val="Table Grid"/>
    <w:basedOn w:val="a1"/>
    <w:uiPriority w:val="59"/>
    <w:rsid w:val="00C15633"/>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列出段落1"/>
    <w:basedOn w:val="a"/>
    <w:uiPriority w:val="99"/>
    <w:qFormat/>
    <w:rsid w:val="00C15633"/>
    <w:pPr>
      <w:ind w:firstLineChars="200" w:firstLine="420"/>
    </w:pPr>
  </w:style>
  <w:style w:type="paragraph" w:customStyle="1" w:styleId="Default">
    <w:name w:val="Default"/>
    <w:rsid w:val="00C15633"/>
    <w:pPr>
      <w:widowControl w:val="0"/>
      <w:autoSpaceDE w:val="0"/>
      <w:autoSpaceDN w:val="0"/>
      <w:adjustRightInd w:val="0"/>
    </w:pPr>
    <w:rPr>
      <w:rFonts w:ascii="宋体" w:hAnsi="Calibri" w:cs="宋体"/>
      <w:color w:val="000000"/>
      <w:sz w:val="24"/>
      <w:szCs w:val="24"/>
    </w:rPr>
  </w:style>
  <w:style w:type="paragraph" w:customStyle="1" w:styleId="DecimalAligned">
    <w:name w:val="Decimal Aligned"/>
    <w:basedOn w:val="a"/>
    <w:uiPriority w:val="40"/>
    <w:qFormat/>
    <w:rsid w:val="00C15633"/>
    <w:pPr>
      <w:widowControl/>
      <w:tabs>
        <w:tab w:val="decimal" w:pos="360"/>
      </w:tabs>
      <w:spacing w:after="200" w:line="276" w:lineRule="auto"/>
      <w:jc w:val="left"/>
    </w:pPr>
    <w:rPr>
      <w:rFonts w:cs="Times New Roman"/>
      <w:kern w:val="0"/>
      <w:sz w:val="22"/>
      <w:szCs w:val="22"/>
    </w:rPr>
  </w:style>
  <w:style w:type="character" w:customStyle="1" w:styleId="Char1">
    <w:name w:val="页眉 Char"/>
    <w:basedOn w:val="a0"/>
    <w:link w:val="a6"/>
    <w:uiPriority w:val="99"/>
    <w:locked/>
    <w:rsid w:val="00C15633"/>
    <w:rPr>
      <w:sz w:val="18"/>
      <w:szCs w:val="18"/>
    </w:rPr>
  </w:style>
  <w:style w:type="character" w:customStyle="1" w:styleId="Char0">
    <w:name w:val="页脚 Char"/>
    <w:basedOn w:val="a0"/>
    <w:link w:val="a5"/>
    <w:uiPriority w:val="99"/>
    <w:locked/>
    <w:rsid w:val="00C15633"/>
    <w:rPr>
      <w:sz w:val="18"/>
      <w:szCs w:val="18"/>
    </w:rPr>
  </w:style>
  <w:style w:type="character" w:customStyle="1" w:styleId="Char">
    <w:name w:val="批注框文本 Char"/>
    <w:basedOn w:val="a0"/>
    <w:link w:val="a4"/>
    <w:uiPriority w:val="99"/>
    <w:semiHidden/>
    <w:locked/>
    <w:rsid w:val="00C15633"/>
    <w:rPr>
      <w:sz w:val="18"/>
      <w:szCs w:val="18"/>
    </w:rPr>
  </w:style>
  <w:style w:type="character" w:customStyle="1" w:styleId="HTMLChar">
    <w:name w:val="HTML 预设格式 Char"/>
    <w:basedOn w:val="a0"/>
    <w:link w:val="HTML"/>
    <w:uiPriority w:val="99"/>
    <w:locked/>
    <w:rsid w:val="00C15633"/>
    <w:rPr>
      <w:rFonts w:ascii="宋体" w:eastAsia="宋体" w:cs="宋体"/>
      <w:sz w:val="24"/>
      <w:szCs w:val="24"/>
    </w:rPr>
  </w:style>
  <w:style w:type="character" w:customStyle="1" w:styleId="gray">
    <w:name w:val="gray"/>
    <w:basedOn w:val="a0"/>
    <w:uiPriority w:val="99"/>
    <w:rsid w:val="00C15633"/>
  </w:style>
  <w:style w:type="character" w:customStyle="1" w:styleId="apple-converted-space">
    <w:name w:val="apple-converted-space"/>
    <w:basedOn w:val="a0"/>
    <w:rsid w:val="00C15633"/>
  </w:style>
  <w:style w:type="character" w:customStyle="1" w:styleId="Char2">
    <w:name w:val="脚注文本 Char"/>
    <w:basedOn w:val="a0"/>
    <w:link w:val="a7"/>
    <w:uiPriority w:val="99"/>
    <w:rsid w:val="00C15633"/>
    <w:rPr>
      <w:rFonts w:ascii="Calibri" w:eastAsia="宋体" w:hAnsi="Calibri" w:cs="Times New Roman"/>
    </w:rPr>
  </w:style>
  <w:style w:type="character" w:customStyle="1" w:styleId="10">
    <w:name w:val="不明显强调1"/>
    <w:basedOn w:val="a0"/>
    <w:uiPriority w:val="19"/>
    <w:qFormat/>
    <w:rsid w:val="00C15633"/>
    <w:rPr>
      <w:rFonts w:eastAsia="宋体" w:cs="Times New Roman"/>
      <w:i/>
      <w:iCs/>
      <w:color w:val="808080"/>
      <w:szCs w:val="22"/>
      <w:lang w:eastAsia="zh-CN"/>
    </w:rPr>
  </w:style>
  <w:style w:type="character" w:customStyle="1" w:styleId="zf">
    <w:name w:val="zf"/>
    <w:basedOn w:val="a0"/>
    <w:rsid w:val="00C15633"/>
  </w:style>
  <w:style w:type="table" w:customStyle="1" w:styleId="-11">
    <w:name w:val="浅色底纹 - 强调文字颜色 11"/>
    <w:basedOn w:val="a1"/>
    <w:uiPriority w:val="60"/>
    <w:rsid w:val="00C15633"/>
    <w:rPr>
      <w:color w:val="365F91"/>
      <w:sz w:val="22"/>
      <w:szCs w:val="22"/>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s>
</file>

<file path=word/webSettings.xml><?xml version="1.0" encoding="utf-8"?>
<w:webSettings xmlns:r="http://schemas.openxmlformats.org/officeDocument/2006/relationships" xmlns:w="http://schemas.openxmlformats.org/wordprocessingml/2006/main">
  <w:divs>
    <w:div w:id="705104035">
      <w:bodyDiv w:val="1"/>
      <w:marLeft w:val="0"/>
      <w:marRight w:val="0"/>
      <w:marTop w:val="0"/>
      <w:marBottom w:val="0"/>
      <w:divBdr>
        <w:top w:val="none" w:sz="0" w:space="0" w:color="auto"/>
        <w:left w:val="none" w:sz="0" w:space="0" w:color="auto"/>
        <w:bottom w:val="none" w:sz="0" w:space="0" w:color="auto"/>
        <w:right w:val="none" w:sz="0" w:space="0" w:color="auto"/>
      </w:divBdr>
    </w:div>
    <w:div w:id="125941058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fund.eastmoney.com/000404.html" TargetMode="External"/><Relationship Id="rId18" Type="http://schemas.openxmlformats.org/officeDocument/2006/relationships/hyperlink" Target="http://fund.eastmoney.com/000404.html" TargetMode="External"/><Relationship Id="rId26" Type="http://schemas.openxmlformats.org/officeDocument/2006/relationships/hyperlink" Target="http://quote.eastmoney.com/sz300359.html" TargetMode="External"/><Relationship Id="rId39" Type="http://schemas.openxmlformats.org/officeDocument/2006/relationships/hyperlink" Target="http://quote.eastmoney.com/sz300359.html" TargetMode="External"/><Relationship Id="rId21" Type="http://schemas.openxmlformats.org/officeDocument/2006/relationships/hyperlink" Target="http://quote.eastmoney.com/sz002030.html" TargetMode="External"/><Relationship Id="rId34" Type="http://schemas.openxmlformats.org/officeDocument/2006/relationships/hyperlink" Target="http://quote.eastmoney.com/sz300033.html" TargetMode="External"/><Relationship Id="rId42" Type="http://schemas.openxmlformats.org/officeDocument/2006/relationships/hyperlink" Target="http://quote.eastmoney.com/sz300168.html" TargetMode="External"/><Relationship Id="rId47" Type="http://schemas.openxmlformats.org/officeDocument/2006/relationships/hyperlink" Target="http://quote.eastmoney.com/sz002400.html" TargetMode="External"/><Relationship Id="rId50" Type="http://schemas.openxmlformats.org/officeDocument/2006/relationships/hyperlink" Target="http://quote.eastmoney.com/sh600588.html" TargetMode="External"/><Relationship Id="rId55" Type="http://schemas.openxmlformats.org/officeDocument/2006/relationships/hyperlink" Target="http://quote.eastmoney.com/sz300168.html"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fund.eastmoney.com/000404.html" TargetMode="External"/><Relationship Id="rId20" Type="http://schemas.openxmlformats.org/officeDocument/2006/relationships/image" Target="media/image9.png"/><Relationship Id="rId29" Type="http://schemas.openxmlformats.org/officeDocument/2006/relationships/hyperlink" Target="http://quote.eastmoney.com/sz002153.html" TargetMode="External"/><Relationship Id="rId41" Type="http://schemas.openxmlformats.org/officeDocument/2006/relationships/hyperlink" Target="http://quote.eastmoney.com/sz300007.html" TargetMode="External"/><Relationship Id="rId54" Type="http://schemas.openxmlformats.org/officeDocument/2006/relationships/hyperlink" Target="http://quote.eastmoney.com/sz300007.html" TargetMode="External"/><Relationship Id="rId62"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quote.eastmoney.com/sz002400.html" TargetMode="External"/><Relationship Id="rId32" Type="http://schemas.openxmlformats.org/officeDocument/2006/relationships/hyperlink" Target="http://quote.eastmoney.com/sh600645.html" TargetMode="External"/><Relationship Id="rId37" Type="http://schemas.openxmlformats.org/officeDocument/2006/relationships/hyperlink" Target="http://quote.eastmoney.com/sh600763.html" TargetMode="External"/><Relationship Id="rId40" Type="http://schemas.openxmlformats.org/officeDocument/2006/relationships/hyperlink" Target="http://quote.eastmoney.com/sz002065.html" TargetMode="External"/><Relationship Id="rId45" Type="http://schemas.openxmlformats.org/officeDocument/2006/relationships/hyperlink" Target="http://quote.eastmoney.com/sz300024.html" TargetMode="External"/><Relationship Id="rId53" Type="http://schemas.openxmlformats.org/officeDocument/2006/relationships/hyperlink" Target="http://quote.eastmoney.com/sz300244.html" TargetMode="External"/><Relationship Id="rId58" Type="http://schemas.openxmlformats.org/officeDocument/2006/relationships/hyperlink" Target="http://quote.eastmoney.com/sh600645.html" TargetMode="Externa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hyperlink" Target="http://quote.eastmoney.com/sz300315.html" TargetMode="External"/><Relationship Id="rId28" Type="http://schemas.openxmlformats.org/officeDocument/2006/relationships/hyperlink" Target="http://quote.eastmoney.com/sz300315.html" TargetMode="External"/><Relationship Id="rId36" Type="http://schemas.openxmlformats.org/officeDocument/2006/relationships/hyperlink" Target="http://quote.eastmoney.com/sh600763.html" TargetMode="External"/><Relationship Id="rId49" Type="http://schemas.openxmlformats.org/officeDocument/2006/relationships/hyperlink" Target="http://quote.eastmoney.com/sz300016.html" TargetMode="External"/><Relationship Id="rId57" Type="http://schemas.openxmlformats.org/officeDocument/2006/relationships/hyperlink" Target="http://quote.eastmoney.com/sz300167.html" TargetMode="External"/><Relationship Id="rId61" Type="http://schemas.openxmlformats.org/officeDocument/2006/relationships/image" Target="media/image10.png"/><Relationship Id="rId10" Type="http://schemas.openxmlformats.org/officeDocument/2006/relationships/image" Target="media/image2.jpeg"/><Relationship Id="rId19" Type="http://schemas.openxmlformats.org/officeDocument/2006/relationships/image" Target="media/image8.png"/><Relationship Id="rId31" Type="http://schemas.openxmlformats.org/officeDocument/2006/relationships/hyperlink" Target="http://quote.eastmoney.com/sz300059.html" TargetMode="External"/><Relationship Id="rId44" Type="http://schemas.openxmlformats.org/officeDocument/2006/relationships/hyperlink" Target="http://quote.eastmoney.com/sz300359.html" TargetMode="External"/><Relationship Id="rId52" Type="http://schemas.openxmlformats.org/officeDocument/2006/relationships/hyperlink" Target="http://quote.eastmoney.com/sz300244.html" TargetMode="External"/><Relationship Id="rId60" Type="http://schemas.openxmlformats.org/officeDocument/2006/relationships/hyperlink" Target="http://quote.eastmoney.com/sz002390.html"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hyperlink" Target="http://quote.eastmoney.com/sz002153.html" TargetMode="External"/><Relationship Id="rId27" Type="http://schemas.openxmlformats.org/officeDocument/2006/relationships/hyperlink" Target="http://quote.eastmoney.com/sh600645.html" TargetMode="External"/><Relationship Id="rId30" Type="http://schemas.openxmlformats.org/officeDocument/2006/relationships/hyperlink" Target="http://quote.eastmoney.com/sz002657.html" TargetMode="External"/><Relationship Id="rId35" Type="http://schemas.openxmlformats.org/officeDocument/2006/relationships/hyperlink" Target="http://quote.eastmoney.com/sh600763.html" TargetMode="External"/><Relationship Id="rId43" Type="http://schemas.openxmlformats.org/officeDocument/2006/relationships/hyperlink" Target="http://quote.eastmoney.com/sz300017.html" TargetMode="External"/><Relationship Id="rId48" Type="http://schemas.openxmlformats.org/officeDocument/2006/relationships/hyperlink" Target="http://quote.eastmoney.com/sz002019.html" TargetMode="External"/><Relationship Id="rId56" Type="http://schemas.openxmlformats.org/officeDocument/2006/relationships/hyperlink" Target="http://quote.eastmoney.com/sz300295.html" TargetMode="External"/><Relationship Id="rId64"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quote.eastmoney.com/sz300244.html" TargetMode="Externa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hyperlink" Target="http://quote.eastmoney.com/sz002055.html" TargetMode="External"/><Relationship Id="rId33" Type="http://schemas.openxmlformats.org/officeDocument/2006/relationships/hyperlink" Target="http://quote.eastmoney.com/sh600645.html" TargetMode="External"/><Relationship Id="rId38" Type="http://schemas.openxmlformats.org/officeDocument/2006/relationships/hyperlink" Target="http://quote.eastmoney.com/sz300059.html" TargetMode="External"/><Relationship Id="rId46" Type="http://schemas.openxmlformats.org/officeDocument/2006/relationships/hyperlink" Target="http://quote.eastmoney.com/sz002030.html" TargetMode="External"/><Relationship Id="rId59" Type="http://schemas.openxmlformats.org/officeDocument/2006/relationships/hyperlink" Target="http://quote.eastmoney.com/sz300159.html"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6</Pages>
  <Words>741</Words>
  <Characters>4228</Characters>
  <Application>Microsoft Office Word</Application>
  <DocSecurity>0</DocSecurity>
  <Lines>35</Lines>
  <Paragraphs>9</Paragraphs>
  <ScaleCrop>false</ScaleCrop>
  <Company/>
  <LinksUpToDate>false</LinksUpToDate>
  <CharactersWithSpaces>4960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FENG</dc:creator>
  <cp:lastModifiedBy>q</cp:lastModifiedBy>
  <cp:revision>4</cp:revision>
  <cp:lastPrinted>2014-12-04T09:21:00Z</cp:lastPrinted>
  <dcterms:created xsi:type="dcterms:W3CDTF">2015-05-28T06:05:00Z</dcterms:created>
  <dcterms:modified xsi:type="dcterms:W3CDTF">2015-07-30T06:39:00Z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2052-9.1.0.5133</vt:lpwstr>
  </property>
</Properties>
</file>