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469" w:rsidRDefault="004B637E">
      <w:pPr>
        <w:rPr>
          <w:rFonts w:ascii="楷体_GB2312" w:eastAsia="楷体_GB2312" w:cs="Times New Roman"/>
          <w:b/>
          <w:bCs/>
          <w:color w:val="3967B1"/>
          <w:sz w:val="24"/>
          <w:szCs w:val="24"/>
        </w:rPr>
        <w:sectPr w:rsidR="00285469">
          <w:headerReference w:type="default" r:id="rId7"/>
          <w:footerReference w:type="default" r:id="rId8"/>
          <w:pgSz w:w="11906" w:h="16838"/>
          <w:pgMar w:top="1440" w:right="1080" w:bottom="1440" w:left="1080" w:header="851" w:footer="992" w:gutter="0"/>
          <w:cols w:num="2" w:space="720" w:equalWidth="0">
            <w:col w:w="6115" w:space="425"/>
            <w:col w:w="3205"/>
          </w:cols>
          <w:docGrid w:type="lines" w:linePitch="312"/>
        </w:sectPr>
      </w:pPr>
      <w:r w:rsidRPr="004B637E">
        <w:rPr>
          <w:noProof/>
        </w:rPr>
        <w:pict>
          <v:rect id="Rectangle 13" o:spid="_x0000_s1026" style="position:absolute;left:0;text-align:left;margin-left:370.05pt;margin-top:8.95pt;width:171.85pt;height:696.65pt;z-index:-251660288" o:preferrelative="t" fillcolor="#eaeaea" stroked="f"/>
        </w:pict>
      </w:r>
      <w:r w:rsidRPr="004B637E">
        <w:rPr>
          <w:noProof/>
        </w:rPr>
        <w:pict>
          <v:shapetype id="_x0000_t202" coordsize="21600,21600" o:spt="202" path="m,l,21600r21600,l21600,xe">
            <v:stroke joinstyle="miter"/>
            <v:path gradientshapeok="t" o:connecttype="rect"/>
          </v:shapetype>
          <v:shape id="文本框 2" o:spid="_x0000_s1027" type="#_x0000_t202" style="position:absolute;left:0;text-align:left;margin-left:-15.25pt;margin-top:-23.05pt;width:185.3pt;height:41.2pt;z-index:251659264" o:preferrelative="t" filled="f" stroked="f">
            <v:textbox>
              <w:txbxContent>
                <w:p w:rsidR="00285469" w:rsidRDefault="00285469">
                  <w:pPr>
                    <w:ind w:right="480"/>
                    <w:jc w:val="left"/>
                    <w:rPr>
                      <w:rFonts w:ascii="黑体" w:eastAsia="黑体" w:hAnsi="黑体" w:cs="Times New Roman"/>
                      <w:color w:val="FFFFFF"/>
                      <w:sz w:val="28"/>
                      <w:szCs w:val="28"/>
                    </w:rPr>
                  </w:pPr>
                  <w:r>
                    <w:rPr>
                      <w:rFonts w:ascii="黑体" w:eastAsia="黑体" w:hAnsi="黑体" w:cs="黑体" w:hint="eastAsia"/>
                      <w:color w:val="FFFFFF"/>
                      <w:sz w:val="28"/>
                      <w:szCs w:val="28"/>
                    </w:rPr>
                    <w:t>个基点评报告</w:t>
                  </w:r>
                </w:p>
              </w:txbxContent>
            </v:textbox>
          </v:shape>
        </w:pict>
      </w:r>
      <w:r w:rsidRPr="004B637E">
        <w:rPr>
          <w:noProof/>
        </w:rPr>
        <w:pict>
          <v:shape id="Text Box 4" o:spid="_x0000_s1028" type="#_x0000_t202" style="position:absolute;left:0;text-align:left;margin-left:356.45pt;margin-top:-23.75pt;width:185.3pt;height:41.7pt;z-index:251658240" o:preferrelative="t" filled="f" stroked="f">
            <v:textbox>
              <w:txbxContent>
                <w:p w:rsidR="00285469" w:rsidRDefault="00285469">
                  <w:pPr>
                    <w:ind w:right="480"/>
                    <w:jc w:val="center"/>
                    <w:rPr>
                      <w:rFonts w:ascii="黑体" w:eastAsia="黑体" w:hAnsi="黑体" w:cs="Times New Roman"/>
                      <w:color w:val="FFFFFF"/>
                      <w:sz w:val="28"/>
                      <w:szCs w:val="28"/>
                    </w:rPr>
                  </w:pPr>
                  <w:r>
                    <w:rPr>
                      <w:rFonts w:ascii="黑体" w:eastAsia="黑体" w:hAnsi="黑体" w:cs="黑体"/>
                      <w:color w:val="FFFFFF"/>
                      <w:sz w:val="28"/>
                      <w:szCs w:val="28"/>
                    </w:rPr>
                    <w:t xml:space="preserve"> 2015</w:t>
                  </w:r>
                  <w:r>
                    <w:rPr>
                      <w:rFonts w:ascii="黑体" w:eastAsia="黑体" w:hAnsi="黑体" w:cs="黑体" w:hint="eastAsia"/>
                      <w:color w:val="FFFFFF"/>
                      <w:sz w:val="28"/>
                      <w:szCs w:val="28"/>
                    </w:rPr>
                    <w:t>年</w:t>
                  </w:r>
                  <w:r>
                    <w:rPr>
                      <w:rFonts w:ascii="黑体" w:eastAsia="黑体" w:hAnsi="黑体" w:cs="黑体"/>
                      <w:color w:val="FFFFFF"/>
                      <w:sz w:val="28"/>
                      <w:szCs w:val="28"/>
                    </w:rPr>
                    <w:t>8</w:t>
                  </w:r>
                  <w:r>
                    <w:rPr>
                      <w:rFonts w:ascii="黑体" w:eastAsia="黑体" w:hAnsi="黑体" w:cs="黑体" w:hint="eastAsia"/>
                      <w:color w:val="FFFFFF"/>
                      <w:sz w:val="28"/>
                      <w:szCs w:val="28"/>
                    </w:rPr>
                    <w:t>月</w:t>
                  </w:r>
                  <w:r w:rsidR="00E2334C">
                    <w:rPr>
                      <w:rFonts w:ascii="黑体" w:eastAsia="黑体" w:hAnsi="黑体" w:cs="黑体" w:hint="eastAsia"/>
                      <w:color w:val="FFFFFF"/>
                      <w:sz w:val="28"/>
                      <w:szCs w:val="28"/>
                    </w:rPr>
                    <w:t>2</w:t>
                  </w:r>
                  <w:r w:rsidR="004F563B">
                    <w:rPr>
                      <w:rFonts w:ascii="黑体" w:eastAsia="黑体" w:hAnsi="黑体" w:cs="黑体" w:hint="eastAsia"/>
                      <w:color w:val="FFFFFF"/>
                      <w:sz w:val="28"/>
                      <w:szCs w:val="28"/>
                    </w:rPr>
                    <w:t>8</w:t>
                  </w:r>
                  <w:r>
                    <w:rPr>
                      <w:rFonts w:ascii="黑体" w:eastAsia="黑体" w:hAnsi="黑体" w:cs="黑体" w:hint="eastAsia"/>
                      <w:color w:val="FFFFFF"/>
                      <w:sz w:val="28"/>
                      <w:szCs w:val="28"/>
                    </w:rPr>
                    <w:t>日</w:t>
                  </w:r>
                </w:p>
              </w:txbxContent>
            </v:textbox>
          </v:shape>
        </w:pict>
      </w:r>
      <w:r w:rsidR="0091770A">
        <w:rPr>
          <w:noProof/>
        </w:rPr>
        <w:drawing>
          <wp:anchor distT="0" distB="0" distL="114300" distR="114300" simplePos="0" relativeHeight="251657216" behindDoc="1" locked="0" layoutInCell="1" allowOverlap="1">
            <wp:simplePos x="0" y="0"/>
            <wp:positionH relativeFrom="column">
              <wp:posOffset>-760095</wp:posOffset>
            </wp:positionH>
            <wp:positionV relativeFrom="paragraph">
              <wp:posOffset>-912495</wp:posOffset>
            </wp:positionV>
            <wp:extent cx="7665720" cy="1010920"/>
            <wp:effectExtent l="19050" t="0" r="0" b="0"/>
            <wp:wrapNone/>
            <wp:docPr id="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9"/>
                    <a:srcRect/>
                    <a:stretch>
                      <a:fillRect/>
                    </a:stretch>
                  </pic:blipFill>
                  <pic:spPr bwMode="auto">
                    <a:xfrm>
                      <a:off x="0" y="0"/>
                      <a:ext cx="7665720" cy="1010920"/>
                    </a:xfrm>
                    <a:prstGeom prst="rect">
                      <a:avLst/>
                    </a:prstGeom>
                    <a:noFill/>
                  </pic:spPr>
                </pic:pic>
              </a:graphicData>
            </a:graphic>
          </wp:anchor>
        </w:drawing>
      </w:r>
    </w:p>
    <w:p w:rsidR="00BD7303" w:rsidRDefault="00BD7303">
      <w:pPr>
        <w:spacing w:line="360" w:lineRule="auto"/>
        <w:rPr>
          <w:rFonts w:ascii="楷体_GB2312" w:eastAsia="楷体_GB2312" w:cs="楷体_GB2312" w:hint="eastAsia"/>
          <w:b/>
          <w:bCs/>
          <w:color w:val="FC6204"/>
          <w:sz w:val="28"/>
          <w:szCs w:val="28"/>
        </w:rPr>
      </w:pPr>
      <w:r w:rsidRPr="00BD7303">
        <w:rPr>
          <w:rFonts w:ascii="楷体_GB2312" w:eastAsia="楷体_GB2312" w:cs="楷体_GB2312" w:hint="eastAsia"/>
          <w:b/>
          <w:bCs/>
          <w:color w:val="FC6204"/>
          <w:sz w:val="28"/>
          <w:szCs w:val="28"/>
        </w:rPr>
        <w:lastRenderedPageBreak/>
        <w:t>景顺长城优质成长</w:t>
      </w:r>
      <w:r>
        <w:rPr>
          <w:rFonts w:ascii="楷体_GB2312" w:eastAsia="楷体_GB2312" w:cs="楷体_GB2312" w:hint="eastAsia"/>
          <w:b/>
          <w:bCs/>
          <w:color w:val="FC6204"/>
          <w:sz w:val="28"/>
          <w:szCs w:val="28"/>
        </w:rPr>
        <w:t>（</w:t>
      </w:r>
      <w:r w:rsidRPr="00BD7303">
        <w:rPr>
          <w:rFonts w:ascii="楷体_GB2312" w:eastAsia="楷体_GB2312" w:cs="楷体_GB2312" w:hint="eastAsia"/>
          <w:b/>
          <w:bCs/>
          <w:color w:val="FC6204"/>
          <w:sz w:val="28"/>
          <w:szCs w:val="28"/>
        </w:rPr>
        <w:t>000411</w:t>
      </w:r>
      <w:r>
        <w:rPr>
          <w:rFonts w:ascii="楷体_GB2312" w:eastAsia="楷体_GB2312" w:cs="楷体_GB2312" w:hint="eastAsia"/>
          <w:b/>
          <w:bCs/>
          <w:color w:val="FC6204"/>
          <w:sz w:val="28"/>
          <w:szCs w:val="28"/>
        </w:rPr>
        <w:t>）</w:t>
      </w:r>
    </w:p>
    <w:p w:rsidR="00285469" w:rsidRDefault="00D42DBB">
      <w:pPr>
        <w:spacing w:line="360" w:lineRule="auto"/>
        <w:rPr>
          <w:rFonts w:ascii="微软雅黑" w:eastAsia="微软雅黑" w:hAnsi="微软雅黑" w:cs="微软雅黑"/>
          <w:b/>
          <w:bCs/>
          <w:sz w:val="36"/>
          <w:szCs w:val="36"/>
        </w:rPr>
      </w:pPr>
      <w:r>
        <w:rPr>
          <w:rFonts w:ascii="微软雅黑" w:eastAsia="微软雅黑" w:hAnsi="微软雅黑" w:cs="微软雅黑" w:hint="eastAsia"/>
          <w:b/>
          <w:bCs/>
          <w:sz w:val="36"/>
          <w:szCs w:val="36"/>
        </w:rPr>
        <w:t>把握行业趋势</w:t>
      </w:r>
      <w:r w:rsidR="004F563B">
        <w:rPr>
          <w:rFonts w:ascii="微软雅黑" w:eastAsia="微软雅黑" w:hAnsi="微软雅黑" w:cs="微软雅黑" w:hint="eastAsia"/>
          <w:b/>
          <w:bCs/>
          <w:sz w:val="36"/>
          <w:szCs w:val="36"/>
        </w:rPr>
        <w:t xml:space="preserve"> </w:t>
      </w:r>
      <w:r>
        <w:rPr>
          <w:rFonts w:ascii="微软雅黑" w:eastAsia="微软雅黑" w:hAnsi="微软雅黑" w:cs="微软雅黑" w:hint="eastAsia"/>
          <w:b/>
          <w:bCs/>
          <w:sz w:val="36"/>
          <w:szCs w:val="36"/>
        </w:rPr>
        <w:t>投资内在价值</w:t>
      </w:r>
    </w:p>
    <w:p w:rsidR="00285469" w:rsidRDefault="00285469">
      <w:pPr>
        <w:spacing w:line="360" w:lineRule="auto"/>
        <w:rPr>
          <w:rFonts w:ascii="楷体" w:eastAsia="楷体" w:hAnsi="楷体" w:cs="Times New Roman"/>
        </w:rPr>
      </w:pPr>
      <w:r>
        <w:rPr>
          <w:rFonts w:ascii="楷体" w:eastAsia="楷体" w:hAnsi="楷体" w:cs="楷体" w:hint="eastAsia"/>
          <w:b/>
          <w:bCs/>
        </w:rPr>
        <w:t>报告摘要：</w:t>
      </w:r>
    </w:p>
    <w:p w:rsidR="00285469" w:rsidRDefault="00D42DBB">
      <w:pPr>
        <w:numPr>
          <w:ilvl w:val="0"/>
          <w:numId w:val="1"/>
        </w:numPr>
        <w:spacing w:line="360" w:lineRule="auto"/>
        <w:rPr>
          <w:rFonts w:ascii="楷体" w:eastAsia="楷体" w:hAnsi="楷体" w:cs="Times New Roman"/>
        </w:rPr>
      </w:pPr>
      <w:r w:rsidRPr="00D42DBB">
        <w:rPr>
          <w:rFonts w:ascii="楷体" w:eastAsia="楷体" w:hAnsi="楷体" w:cs="楷体" w:hint="eastAsia"/>
          <w:b/>
          <w:bCs/>
        </w:rPr>
        <w:t>景顺长城优质成长（000411）是一只股票型基金</w:t>
      </w:r>
      <w:r w:rsidR="00285469">
        <w:rPr>
          <w:rFonts w:ascii="楷体" w:eastAsia="楷体" w:hAnsi="楷体" w:cs="楷体" w:hint="eastAsia"/>
          <w:b/>
          <w:bCs/>
        </w:rPr>
        <w:t>，</w:t>
      </w:r>
      <w:r w:rsidRPr="005B5420">
        <w:rPr>
          <w:rFonts w:ascii="宋体" w:hAnsi="宋体" w:cs="宋体"/>
          <w:kern w:val="0"/>
          <w:sz w:val="24"/>
          <w:szCs w:val="24"/>
        </w:rPr>
        <w:t>201</w:t>
      </w:r>
      <w:r>
        <w:rPr>
          <w:rFonts w:ascii="宋体" w:hAnsi="宋体" w:cs="宋体" w:hint="eastAsia"/>
          <w:kern w:val="0"/>
          <w:sz w:val="24"/>
          <w:szCs w:val="24"/>
        </w:rPr>
        <w:t>5年08月11日</w:t>
      </w:r>
      <w:r w:rsidRPr="00BD7303">
        <w:rPr>
          <w:rFonts w:ascii="宋体" w:hAnsi="宋体" w:cs="宋体" w:hint="eastAsia"/>
          <w:kern w:val="0"/>
          <w:sz w:val="24"/>
          <w:szCs w:val="24"/>
        </w:rPr>
        <w:t>刘彦春</w:t>
      </w:r>
      <w:r>
        <w:rPr>
          <w:rFonts w:ascii="宋体" w:hAnsi="宋体" w:cs="宋体" w:hint="eastAsia"/>
          <w:kern w:val="0"/>
          <w:sz w:val="24"/>
          <w:szCs w:val="24"/>
        </w:rPr>
        <w:t>、</w:t>
      </w:r>
      <w:r w:rsidRPr="00BD7303">
        <w:rPr>
          <w:rFonts w:ascii="宋体" w:hAnsi="宋体" w:cs="宋体" w:hint="eastAsia"/>
          <w:kern w:val="0"/>
          <w:sz w:val="24"/>
          <w:szCs w:val="24"/>
        </w:rPr>
        <w:t>丁丹</w:t>
      </w:r>
      <w:r>
        <w:rPr>
          <w:rFonts w:ascii="宋体" w:hAnsi="宋体" w:cs="宋体" w:hint="eastAsia"/>
          <w:kern w:val="0"/>
          <w:sz w:val="24"/>
          <w:szCs w:val="24"/>
        </w:rPr>
        <w:t>开始掌管该基金。基金今年来累计收益13.54</w:t>
      </w:r>
      <w:r w:rsidRPr="004F275F">
        <w:rPr>
          <w:rFonts w:ascii="宋体" w:hAnsi="宋体" w:cs="宋体"/>
          <w:kern w:val="0"/>
          <w:sz w:val="24"/>
          <w:szCs w:val="24"/>
        </w:rPr>
        <w:t>%</w:t>
      </w:r>
      <w:r>
        <w:rPr>
          <w:rFonts w:ascii="宋体" w:hAnsi="宋体" w:cs="宋体" w:hint="eastAsia"/>
          <w:kern w:val="0"/>
          <w:sz w:val="24"/>
          <w:szCs w:val="24"/>
        </w:rPr>
        <w:t>，同期同类平均上涨7.02</w:t>
      </w:r>
      <w:r w:rsidRPr="00E2334C">
        <w:rPr>
          <w:rFonts w:ascii="宋体" w:hAnsi="宋体" w:cs="宋体"/>
          <w:kern w:val="0"/>
          <w:sz w:val="24"/>
          <w:szCs w:val="24"/>
        </w:rPr>
        <w:t>%</w:t>
      </w:r>
      <w:r>
        <w:rPr>
          <w:rFonts w:ascii="宋体" w:hAnsi="宋体" w:cs="宋体" w:hint="eastAsia"/>
          <w:kern w:val="0"/>
          <w:sz w:val="24"/>
          <w:szCs w:val="24"/>
        </w:rPr>
        <w:t>，沪深</w:t>
      </w:r>
      <w:r>
        <w:rPr>
          <w:rFonts w:ascii="宋体" w:hAnsi="宋体" w:cs="宋体"/>
          <w:kern w:val="0"/>
          <w:sz w:val="24"/>
          <w:szCs w:val="24"/>
        </w:rPr>
        <w:t>300</w:t>
      </w:r>
      <w:r>
        <w:rPr>
          <w:rFonts w:ascii="宋体" w:hAnsi="宋体" w:cs="宋体" w:hint="eastAsia"/>
          <w:kern w:val="0"/>
          <w:sz w:val="24"/>
          <w:szCs w:val="24"/>
        </w:rPr>
        <w:t>指数上涨-9.28</w:t>
      </w:r>
      <w:r w:rsidRPr="00E2334C">
        <w:rPr>
          <w:rFonts w:ascii="宋体" w:hAnsi="宋体" w:cs="宋体"/>
          <w:kern w:val="0"/>
          <w:sz w:val="24"/>
          <w:szCs w:val="24"/>
        </w:rPr>
        <w:t>%</w:t>
      </w:r>
      <w:r w:rsidR="00856A42">
        <w:rPr>
          <w:rFonts w:ascii="宋体" w:hAnsi="宋体" w:cs="宋体" w:hint="eastAsia"/>
          <w:kern w:val="0"/>
          <w:sz w:val="24"/>
          <w:szCs w:val="24"/>
        </w:rPr>
        <w:t>。</w:t>
      </w:r>
    </w:p>
    <w:p w:rsidR="00285469" w:rsidRDefault="00D42DBB">
      <w:pPr>
        <w:numPr>
          <w:ilvl w:val="0"/>
          <w:numId w:val="1"/>
        </w:numPr>
        <w:spacing w:line="360" w:lineRule="auto"/>
        <w:rPr>
          <w:rFonts w:ascii="楷体" w:eastAsia="楷体" w:hAnsi="楷体" w:cs="Times New Roman"/>
        </w:rPr>
      </w:pPr>
      <w:r w:rsidRPr="00D42DBB">
        <w:rPr>
          <w:rFonts w:ascii="楷体" w:eastAsia="楷体" w:hAnsi="楷体" w:cs="楷体" w:hint="eastAsia"/>
          <w:b/>
          <w:bCs/>
        </w:rPr>
        <w:t>本基金基于企业内在价值进行投资</w:t>
      </w:r>
      <w:r w:rsidR="00856A42" w:rsidRPr="00856A42">
        <w:rPr>
          <w:rFonts w:ascii="楷体" w:eastAsia="楷体" w:hAnsi="楷体" w:cs="楷体" w:hint="eastAsia"/>
          <w:b/>
          <w:bCs/>
        </w:rPr>
        <w:t>,</w:t>
      </w:r>
      <w:r w:rsidR="00D84346" w:rsidRPr="00D84346">
        <w:rPr>
          <w:rFonts w:ascii="宋体" w:cs="Times New Roman" w:hint="eastAsia"/>
          <w:kern w:val="0"/>
          <w:sz w:val="24"/>
          <w:szCs w:val="24"/>
        </w:rPr>
        <w:t xml:space="preserve"> </w:t>
      </w:r>
      <w:r w:rsidRPr="00D42DBB">
        <w:rPr>
          <w:rFonts w:ascii="宋体" w:cs="Times New Roman" w:hint="eastAsia"/>
          <w:kern w:val="0"/>
          <w:sz w:val="24"/>
          <w:szCs w:val="24"/>
        </w:rPr>
        <w:t>通过对企业的基本面、经营状况和行业发展趋势进行深入研究,选择出质地优秀、未来预期成长性良好的公司进行投资,在有效控制风险的基础上实现基金资产的长期稳定增值</w:t>
      </w:r>
      <w:r w:rsidR="00A378B8" w:rsidRPr="00A00992">
        <w:rPr>
          <w:rFonts w:ascii="宋体" w:cs="Times New Roman" w:hint="eastAsia"/>
          <w:kern w:val="0"/>
          <w:sz w:val="24"/>
          <w:szCs w:val="24"/>
        </w:rPr>
        <w:t>。</w:t>
      </w:r>
    </w:p>
    <w:p w:rsidR="00D84346" w:rsidRDefault="00285469" w:rsidP="004F563B">
      <w:pPr>
        <w:numPr>
          <w:ilvl w:val="0"/>
          <w:numId w:val="1"/>
        </w:numPr>
        <w:spacing w:line="360" w:lineRule="auto"/>
        <w:rPr>
          <w:rFonts w:ascii="楷体" w:eastAsia="楷体" w:hAnsi="楷体" w:cs="Times New Roman" w:hint="eastAsia"/>
        </w:rPr>
      </w:pPr>
      <w:r>
        <w:rPr>
          <w:rFonts w:ascii="楷体" w:eastAsia="楷体" w:hAnsi="楷体" w:cs="楷体" w:hint="eastAsia"/>
          <w:b/>
          <w:bCs/>
        </w:rPr>
        <w:t>基金经理</w:t>
      </w:r>
      <w:r w:rsidR="00D42DBB" w:rsidRPr="00D42DBB">
        <w:rPr>
          <w:rFonts w:ascii="楷体" w:eastAsia="楷体" w:hAnsi="楷体" w:cs="楷体" w:hint="eastAsia"/>
        </w:rPr>
        <w:t>刘彦春先生:硕士研究生,12年证券从业年限,2002年7月至2004年6月担任汉唐证券研究员,2004年6月至2006年1月担任香港中信投资研究有限公司研究员,2006年1月至2014年6月担任博时基金研究员、基金经理助理、基金经理等职务;2015年1月加入本公司</w:t>
      </w:r>
      <w:r w:rsidR="00D84346">
        <w:rPr>
          <w:rFonts w:ascii="楷体" w:eastAsia="楷体" w:hAnsi="楷体" w:cs="Times New Roman" w:hint="eastAsia"/>
        </w:rPr>
        <w:t>。</w:t>
      </w:r>
    </w:p>
    <w:p w:rsidR="00D42DBB" w:rsidRDefault="00D42DBB" w:rsidP="00D42DBB">
      <w:pPr>
        <w:spacing w:line="360" w:lineRule="auto"/>
        <w:ind w:left="420"/>
        <w:rPr>
          <w:rFonts w:ascii="楷体" w:eastAsia="楷体" w:hAnsi="楷体" w:cs="Times New Roman"/>
        </w:rPr>
      </w:pPr>
      <w:r w:rsidRPr="00D42DBB">
        <w:rPr>
          <w:rFonts w:ascii="楷体" w:eastAsia="楷体" w:hAnsi="楷体" w:cs="Times New Roman" w:hint="eastAsia"/>
        </w:rPr>
        <w:t>丁丹先生:经济学硕士。曾担任博时基金研究部研究员、资深研究员。2015年4月加入本公司,担任研究部高级研究员;自2015年8月起担任基金经理。具有7年证券、基金行业从业经验。</w:t>
      </w: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spacing w:line="360" w:lineRule="auto"/>
        <w:rPr>
          <w:rFonts w:ascii="楷体" w:eastAsia="楷体" w:hAnsi="楷体" w:cs="Times New Roman"/>
          <w:b/>
          <w:bCs/>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cs="Times New Roman"/>
        </w:rPr>
      </w:pPr>
    </w:p>
    <w:p w:rsidR="00285469" w:rsidRDefault="00285469">
      <w:pPr>
        <w:rPr>
          <w:rFonts w:ascii="黑体" w:eastAsia="黑体" w:hAnsi="黑体" w:cs="Times New Roman"/>
          <w:color w:val="000000"/>
        </w:rPr>
      </w:pPr>
    </w:p>
    <w:p w:rsidR="00285469" w:rsidRDefault="00285469">
      <w:pPr>
        <w:rPr>
          <w:rFonts w:ascii="黑体" w:eastAsia="黑体" w:hAnsi="黑体" w:cs="Times New Roman"/>
          <w:sz w:val="18"/>
          <w:szCs w:val="18"/>
        </w:rPr>
      </w:pPr>
    </w:p>
    <w:p w:rsidR="00285469" w:rsidRDefault="00285469">
      <w:pPr>
        <w:rPr>
          <w:rFonts w:ascii="黑体" w:eastAsia="黑体" w:hAnsi="黑体" w:cs="Times New Roman"/>
          <w:sz w:val="18"/>
          <w:szCs w:val="18"/>
        </w:rPr>
      </w:pPr>
    </w:p>
    <w:p w:rsidR="00285469" w:rsidRDefault="00285469">
      <w:pPr>
        <w:rPr>
          <w:rFonts w:ascii="黑体" w:eastAsia="黑体" w:hAnsi="黑体" w:cs="Times New Roman"/>
          <w:sz w:val="18"/>
          <w:szCs w:val="18"/>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ascii="黑体" w:eastAsia="黑体" w:hAnsi="黑体" w:cs="Times New Roman"/>
        </w:rPr>
      </w:pPr>
    </w:p>
    <w:p w:rsidR="00285469" w:rsidRDefault="00285469">
      <w:pPr>
        <w:rPr>
          <w:rFonts w:cs="Times New Roman"/>
          <w:u w:val="single"/>
        </w:rPr>
        <w:sectPr w:rsidR="00285469">
          <w:type w:val="continuous"/>
          <w:pgSz w:w="11906" w:h="16838"/>
          <w:pgMar w:top="1440" w:right="737" w:bottom="1440" w:left="907" w:header="851" w:footer="992" w:gutter="0"/>
          <w:cols w:num="2" w:space="720" w:equalWidth="0">
            <w:col w:w="7272" w:space="630"/>
            <w:col w:w="2360"/>
          </w:cols>
          <w:docGrid w:type="lines" w:linePitch="312"/>
        </w:sectPr>
      </w:pPr>
    </w:p>
    <w:p w:rsidR="00285469" w:rsidRDefault="00285469">
      <w:pPr>
        <w:spacing w:line="360" w:lineRule="auto"/>
        <w:rPr>
          <w:rFonts w:cs="Times New Roman"/>
          <w:b/>
          <w:bCs/>
          <w:sz w:val="28"/>
          <w:szCs w:val="28"/>
        </w:rPr>
      </w:pPr>
    </w:p>
    <w:p w:rsidR="00285469" w:rsidRDefault="00285469">
      <w:pPr>
        <w:spacing w:line="360" w:lineRule="auto"/>
        <w:rPr>
          <w:rFonts w:cs="Times New Roman"/>
          <w:b/>
          <w:bCs/>
          <w:sz w:val="28"/>
          <w:szCs w:val="28"/>
        </w:rPr>
      </w:pPr>
      <w:r>
        <w:rPr>
          <w:rFonts w:cs="宋体" w:hint="eastAsia"/>
          <w:b/>
          <w:bCs/>
          <w:sz w:val="28"/>
          <w:szCs w:val="28"/>
        </w:rPr>
        <w:lastRenderedPageBreak/>
        <w:t>一、基金产品介绍</w:t>
      </w:r>
    </w:p>
    <w:p w:rsidR="00285469" w:rsidRDefault="00BD7303" w:rsidP="00BD7303">
      <w:pPr>
        <w:spacing w:line="360" w:lineRule="auto"/>
        <w:ind w:firstLineChars="200" w:firstLine="480"/>
        <w:rPr>
          <w:rFonts w:ascii="宋体" w:hAnsi="宋体" w:cs="宋体"/>
          <w:kern w:val="0"/>
          <w:sz w:val="24"/>
          <w:szCs w:val="24"/>
        </w:rPr>
      </w:pPr>
      <w:r w:rsidRPr="00BD7303">
        <w:rPr>
          <w:rFonts w:ascii="宋体" w:hAnsi="宋体" w:cs="宋体" w:hint="eastAsia"/>
          <w:kern w:val="0"/>
          <w:sz w:val="24"/>
          <w:szCs w:val="24"/>
        </w:rPr>
        <w:t>景顺长城优质成长（</w:t>
      </w:r>
      <w:r w:rsidRPr="00BD7303">
        <w:rPr>
          <w:rFonts w:ascii="宋体" w:hAnsi="宋体" w:cs="宋体"/>
          <w:kern w:val="0"/>
          <w:sz w:val="24"/>
          <w:szCs w:val="24"/>
        </w:rPr>
        <w:t>000411</w:t>
      </w:r>
      <w:r w:rsidRPr="00BD7303">
        <w:rPr>
          <w:rFonts w:ascii="宋体" w:hAnsi="宋体" w:cs="宋体" w:hint="eastAsia"/>
          <w:kern w:val="0"/>
          <w:sz w:val="24"/>
          <w:szCs w:val="24"/>
        </w:rPr>
        <w:t>）</w:t>
      </w:r>
      <w:r w:rsidR="005B5420" w:rsidRPr="005B5420">
        <w:rPr>
          <w:rFonts w:ascii="宋体" w:hAnsi="宋体" w:cs="宋体" w:hint="eastAsia"/>
          <w:kern w:val="0"/>
          <w:sz w:val="24"/>
          <w:szCs w:val="24"/>
        </w:rPr>
        <w:t>是一只</w:t>
      </w:r>
      <w:r w:rsidRPr="00BD7303">
        <w:rPr>
          <w:rFonts w:ascii="宋体" w:hAnsi="宋体" w:cs="宋体" w:hint="eastAsia"/>
          <w:kern w:val="0"/>
          <w:sz w:val="24"/>
          <w:szCs w:val="24"/>
        </w:rPr>
        <w:t>股票型</w:t>
      </w:r>
      <w:r w:rsidR="005B5420" w:rsidRPr="005B5420">
        <w:rPr>
          <w:rFonts w:ascii="宋体" w:hAnsi="宋体" w:cs="宋体" w:hint="eastAsia"/>
          <w:kern w:val="0"/>
          <w:sz w:val="24"/>
          <w:szCs w:val="24"/>
        </w:rPr>
        <w:t>基金</w:t>
      </w:r>
      <w:r w:rsidR="00285469">
        <w:rPr>
          <w:rFonts w:ascii="宋体" w:hAnsi="宋体" w:cs="宋体" w:hint="eastAsia"/>
          <w:kern w:val="0"/>
          <w:sz w:val="24"/>
          <w:szCs w:val="24"/>
        </w:rPr>
        <w:t>，成立于</w:t>
      </w:r>
      <w:r w:rsidRPr="00BD7303">
        <w:rPr>
          <w:rFonts w:ascii="宋体" w:hAnsi="宋体" w:cs="宋体" w:hint="eastAsia"/>
          <w:kern w:val="0"/>
          <w:sz w:val="24"/>
          <w:szCs w:val="24"/>
        </w:rPr>
        <w:t>2014年01月02日</w:t>
      </w:r>
      <w:r w:rsidR="00285469">
        <w:rPr>
          <w:rFonts w:ascii="宋体" w:hAnsi="宋体" w:cs="宋体" w:hint="eastAsia"/>
          <w:kern w:val="0"/>
          <w:sz w:val="24"/>
          <w:szCs w:val="24"/>
        </w:rPr>
        <w:t>，成立时规模</w:t>
      </w:r>
      <w:r w:rsidRPr="00BD7303">
        <w:rPr>
          <w:rFonts w:ascii="宋体" w:hAnsi="宋体" w:cs="宋体" w:hint="eastAsia"/>
          <w:kern w:val="0"/>
          <w:sz w:val="24"/>
          <w:szCs w:val="24"/>
        </w:rPr>
        <w:t>4.642亿份</w:t>
      </w:r>
      <w:r w:rsidR="00285469">
        <w:rPr>
          <w:rFonts w:ascii="宋体" w:hAnsi="宋体" w:cs="宋体" w:hint="eastAsia"/>
          <w:kern w:val="0"/>
          <w:sz w:val="24"/>
          <w:szCs w:val="24"/>
        </w:rPr>
        <w:t>，截止</w:t>
      </w:r>
      <w:r w:rsidR="00285469">
        <w:rPr>
          <w:rFonts w:ascii="宋体" w:hAnsi="宋体" w:cs="宋体"/>
          <w:kern w:val="0"/>
          <w:sz w:val="24"/>
          <w:szCs w:val="24"/>
        </w:rPr>
        <w:t>2015</w:t>
      </w:r>
      <w:r w:rsidR="00285469">
        <w:rPr>
          <w:rFonts w:ascii="宋体" w:hAnsi="宋体" w:cs="宋体" w:hint="eastAsia"/>
          <w:kern w:val="0"/>
          <w:sz w:val="24"/>
          <w:szCs w:val="24"/>
        </w:rPr>
        <w:t>年</w:t>
      </w:r>
      <w:r w:rsidR="00285469">
        <w:rPr>
          <w:rFonts w:ascii="宋体" w:hAnsi="宋体" w:cs="宋体"/>
          <w:kern w:val="0"/>
          <w:sz w:val="24"/>
          <w:szCs w:val="24"/>
        </w:rPr>
        <w:t>6</w:t>
      </w:r>
      <w:r w:rsidR="00285469">
        <w:rPr>
          <w:rFonts w:ascii="宋体" w:hAnsi="宋体" w:cs="宋体" w:hint="eastAsia"/>
          <w:kern w:val="0"/>
          <w:sz w:val="24"/>
          <w:szCs w:val="24"/>
        </w:rPr>
        <w:t>月</w:t>
      </w:r>
      <w:r w:rsidR="00285469">
        <w:rPr>
          <w:rFonts w:ascii="宋体" w:hAnsi="宋体" w:cs="宋体"/>
          <w:kern w:val="0"/>
          <w:sz w:val="24"/>
          <w:szCs w:val="24"/>
        </w:rPr>
        <w:t>30</w:t>
      </w:r>
      <w:r w:rsidR="00285469">
        <w:rPr>
          <w:rFonts w:ascii="宋体" w:hAnsi="宋体" w:cs="宋体" w:hint="eastAsia"/>
          <w:kern w:val="0"/>
          <w:sz w:val="24"/>
          <w:szCs w:val="24"/>
        </w:rPr>
        <w:t>日资产规模</w:t>
      </w:r>
      <w:r w:rsidRPr="00BD7303">
        <w:rPr>
          <w:rFonts w:ascii="宋体" w:hAnsi="宋体" w:cs="宋体" w:hint="eastAsia"/>
          <w:kern w:val="0"/>
          <w:sz w:val="24"/>
          <w:szCs w:val="24"/>
        </w:rPr>
        <w:t>1.23亿元</w:t>
      </w:r>
      <w:r w:rsidR="00285469">
        <w:rPr>
          <w:rFonts w:ascii="宋体" w:hAnsi="宋体" w:cs="宋体" w:hint="eastAsia"/>
          <w:kern w:val="0"/>
          <w:sz w:val="24"/>
          <w:szCs w:val="24"/>
        </w:rPr>
        <w:t>，份额规模</w:t>
      </w:r>
      <w:r w:rsidRPr="00BD7303">
        <w:rPr>
          <w:rFonts w:ascii="宋体" w:hAnsi="宋体" w:cs="宋体" w:hint="eastAsia"/>
          <w:kern w:val="0"/>
          <w:sz w:val="24"/>
          <w:szCs w:val="24"/>
        </w:rPr>
        <w:t>4.642亿份</w:t>
      </w:r>
      <w:r w:rsidR="00285469">
        <w:rPr>
          <w:rFonts w:ascii="宋体" w:hAnsi="宋体" w:cs="宋体" w:hint="eastAsia"/>
          <w:kern w:val="0"/>
          <w:sz w:val="24"/>
          <w:szCs w:val="24"/>
        </w:rPr>
        <w:t>，</w:t>
      </w:r>
      <w:r w:rsidR="00D84346" w:rsidRPr="005B5420">
        <w:rPr>
          <w:rFonts w:ascii="宋体" w:hAnsi="宋体" w:cs="宋体"/>
          <w:kern w:val="0"/>
          <w:sz w:val="24"/>
          <w:szCs w:val="24"/>
        </w:rPr>
        <w:t>201</w:t>
      </w:r>
      <w:r w:rsidR="00FE0239">
        <w:rPr>
          <w:rFonts w:ascii="宋体" w:hAnsi="宋体" w:cs="宋体" w:hint="eastAsia"/>
          <w:kern w:val="0"/>
          <w:sz w:val="24"/>
          <w:szCs w:val="24"/>
        </w:rPr>
        <w:t>5</w:t>
      </w:r>
      <w:r w:rsidR="00D84346">
        <w:rPr>
          <w:rFonts w:ascii="宋体" w:hAnsi="宋体" w:cs="宋体" w:hint="eastAsia"/>
          <w:kern w:val="0"/>
          <w:sz w:val="24"/>
          <w:szCs w:val="24"/>
        </w:rPr>
        <w:t>年</w:t>
      </w:r>
      <w:r>
        <w:rPr>
          <w:rFonts w:ascii="宋体" w:hAnsi="宋体" w:cs="宋体" w:hint="eastAsia"/>
          <w:kern w:val="0"/>
          <w:sz w:val="24"/>
          <w:szCs w:val="24"/>
        </w:rPr>
        <w:t>08</w:t>
      </w:r>
      <w:r w:rsidR="00D84346">
        <w:rPr>
          <w:rFonts w:ascii="宋体" w:hAnsi="宋体" w:cs="宋体" w:hint="eastAsia"/>
          <w:kern w:val="0"/>
          <w:sz w:val="24"/>
          <w:szCs w:val="24"/>
        </w:rPr>
        <w:t>月</w:t>
      </w:r>
      <w:r>
        <w:rPr>
          <w:rFonts w:ascii="宋体" w:hAnsi="宋体" w:cs="宋体" w:hint="eastAsia"/>
          <w:kern w:val="0"/>
          <w:sz w:val="24"/>
          <w:szCs w:val="24"/>
        </w:rPr>
        <w:t>11</w:t>
      </w:r>
      <w:r w:rsidR="00D84346">
        <w:rPr>
          <w:rFonts w:ascii="宋体" w:hAnsi="宋体" w:cs="宋体" w:hint="eastAsia"/>
          <w:kern w:val="0"/>
          <w:sz w:val="24"/>
          <w:szCs w:val="24"/>
        </w:rPr>
        <w:t>日</w:t>
      </w:r>
      <w:r w:rsidRPr="00BD7303">
        <w:rPr>
          <w:rFonts w:ascii="宋体" w:hAnsi="宋体" w:cs="宋体" w:hint="eastAsia"/>
          <w:kern w:val="0"/>
          <w:sz w:val="24"/>
          <w:szCs w:val="24"/>
        </w:rPr>
        <w:t>刘彦春</w:t>
      </w:r>
      <w:r>
        <w:rPr>
          <w:rFonts w:ascii="宋体" w:hAnsi="宋体" w:cs="宋体" w:hint="eastAsia"/>
          <w:kern w:val="0"/>
          <w:sz w:val="24"/>
          <w:szCs w:val="24"/>
        </w:rPr>
        <w:t>、</w:t>
      </w:r>
      <w:r w:rsidRPr="00BD7303">
        <w:rPr>
          <w:rFonts w:ascii="宋体" w:hAnsi="宋体" w:cs="宋体" w:hint="eastAsia"/>
          <w:kern w:val="0"/>
          <w:sz w:val="24"/>
          <w:szCs w:val="24"/>
        </w:rPr>
        <w:t>丁丹</w:t>
      </w:r>
      <w:r w:rsidR="00D84346">
        <w:rPr>
          <w:rFonts w:ascii="宋体" w:hAnsi="宋体" w:cs="宋体" w:hint="eastAsia"/>
          <w:kern w:val="0"/>
          <w:sz w:val="24"/>
          <w:szCs w:val="24"/>
        </w:rPr>
        <w:t>开始掌管该基金</w:t>
      </w:r>
      <w:r w:rsidR="00285469">
        <w:rPr>
          <w:rFonts w:ascii="宋体" w:hAnsi="宋体" w:cs="宋体" w:hint="eastAsia"/>
          <w:kern w:val="0"/>
          <w:sz w:val="24"/>
          <w:szCs w:val="24"/>
        </w:rPr>
        <w:t>。本基金申购费率</w:t>
      </w:r>
      <w:r w:rsidR="00FE0239" w:rsidRPr="00FE0239">
        <w:rPr>
          <w:rFonts w:ascii="宋体" w:hAnsi="宋体" w:cs="宋体" w:hint="eastAsia"/>
          <w:kern w:val="0"/>
          <w:sz w:val="24"/>
          <w:szCs w:val="24"/>
        </w:rPr>
        <w:t>1.50%（前端）</w:t>
      </w:r>
      <w:r w:rsidR="00285469">
        <w:rPr>
          <w:rFonts w:ascii="宋体" w:hAnsi="宋体" w:cs="宋体" w:hint="eastAsia"/>
          <w:kern w:val="0"/>
          <w:sz w:val="24"/>
          <w:szCs w:val="24"/>
        </w:rPr>
        <w:t>，赎回费</w:t>
      </w:r>
      <w:r>
        <w:rPr>
          <w:rFonts w:ascii="宋体" w:hAnsi="宋体" w:cs="宋体" w:hint="eastAsia"/>
          <w:kern w:val="0"/>
          <w:sz w:val="24"/>
          <w:szCs w:val="24"/>
        </w:rPr>
        <w:t>1</w:t>
      </w:r>
      <w:r w:rsidR="00FE0239" w:rsidRPr="00FE0239">
        <w:rPr>
          <w:rFonts w:ascii="宋体" w:hAnsi="宋体" w:cs="宋体" w:hint="eastAsia"/>
          <w:kern w:val="0"/>
          <w:sz w:val="24"/>
          <w:szCs w:val="24"/>
        </w:rPr>
        <w:t>.50%（前端）</w:t>
      </w:r>
      <w:r w:rsidR="00285469">
        <w:rPr>
          <w:rFonts w:ascii="宋体" w:hAnsi="宋体" w:cs="宋体" w:hint="eastAsia"/>
          <w:kern w:val="0"/>
          <w:sz w:val="24"/>
          <w:szCs w:val="24"/>
        </w:rPr>
        <w:t>。</w:t>
      </w:r>
    </w:p>
    <w:p w:rsidR="00D42DBB" w:rsidRPr="00D42DBB" w:rsidRDefault="00D84346" w:rsidP="00D42DBB">
      <w:pPr>
        <w:spacing w:line="360" w:lineRule="auto"/>
        <w:ind w:firstLineChars="200" w:firstLine="480"/>
        <w:rPr>
          <w:rFonts w:ascii="宋体" w:cs="Times New Roman" w:hint="eastAsia"/>
          <w:kern w:val="0"/>
          <w:sz w:val="24"/>
          <w:szCs w:val="24"/>
        </w:rPr>
      </w:pPr>
      <w:r w:rsidRPr="00D84346">
        <w:rPr>
          <w:rFonts w:ascii="宋体" w:cs="Times New Roman" w:hint="eastAsia"/>
          <w:kern w:val="0"/>
          <w:sz w:val="24"/>
          <w:szCs w:val="24"/>
        </w:rPr>
        <w:t>投资目标</w:t>
      </w:r>
      <w:r>
        <w:rPr>
          <w:rFonts w:ascii="宋体" w:cs="Times New Roman" w:hint="eastAsia"/>
          <w:kern w:val="0"/>
          <w:sz w:val="24"/>
          <w:szCs w:val="24"/>
        </w:rPr>
        <w:t>：</w:t>
      </w:r>
      <w:r w:rsidR="00D42DBB" w:rsidRPr="00D42DBB">
        <w:rPr>
          <w:rFonts w:ascii="宋体" w:cs="Times New Roman" w:hint="eastAsia"/>
          <w:kern w:val="0"/>
          <w:sz w:val="24"/>
          <w:szCs w:val="24"/>
        </w:rPr>
        <w:t>本基金基于企业内在价值进行投资,通过对企业的基本面、经营状况和行业发展趋势进行深入研究,选择出质地优秀、未来预期成长性良好的公司进行投资,在有效控制风险的基础上实现基金资产的长期稳定增值。</w:t>
      </w:r>
    </w:p>
    <w:p w:rsidR="00D42DBB" w:rsidRPr="00D42DBB" w:rsidRDefault="00D42DBB" w:rsidP="00D42DBB">
      <w:pPr>
        <w:spacing w:line="360" w:lineRule="auto"/>
        <w:ind w:firstLineChars="200" w:firstLine="480"/>
        <w:rPr>
          <w:rFonts w:ascii="宋体" w:cs="Times New Roman" w:hint="eastAsia"/>
          <w:kern w:val="0"/>
          <w:sz w:val="24"/>
          <w:szCs w:val="24"/>
        </w:rPr>
      </w:pPr>
      <w:r w:rsidRPr="00D42DBB">
        <w:rPr>
          <w:rFonts w:ascii="宋体" w:cs="Times New Roman" w:hint="eastAsia"/>
          <w:kern w:val="0"/>
          <w:sz w:val="24"/>
          <w:szCs w:val="24"/>
        </w:rPr>
        <w:t>投资范围</w:t>
      </w:r>
      <w:r>
        <w:rPr>
          <w:rFonts w:ascii="宋体" w:cs="Times New Roman" w:hint="eastAsia"/>
          <w:kern w:val="0"/>
          <w:sz w:val="24"/>
          <w:szCs w:val="24"/>
        </w:rPr>
        <w:t>：</w:t>
      </w:r>
      <w:r w:rsidRPr="00D42DBB">
        <w:rPr>
          <w:rFonts w:ascii="宋体" w:cs="Times New Roman" w:hint="eastAsia"/>
          <w:kern w:val="0"/>
          <w:sz w:val="24"/>
          <w:szCs w:val="24"/>
        </w:rPr>
        <w:t>本基金投资范围包括国内依法发行上市的股票(包含中小板、创业板及其他经中国证监会核准上市的股票)、债券(包括中小企业私募债券)、货币市场工具、权证、资产支持证券、股指期货及法律法规或中国证监会允许基金投资的其他金融工具,但须符合中国证监会的相关规定。如法律法规或监管机构以后允许基金投资的其它品种,本基金管理人在履行适当程序后,可以将其纳入投资范围。</w:t>
      </w:r>
    </w:p>
    <w:p w:rsidR="00285469" w:rsidRPr="00A00992" w:rsidRDefault="00D42DBB" w:rsidP="00D42DBB">
      <w:pPr>
        <w:spacing w:line="360" w:lineRule="auto"/>
        <w:ind w:firstLineChars="200" w:firstLine="480"/>
        <w:rPr>
          <w:rFonts w:ascii="宋体" w:hAnsi="宋体" w:cs="宋体"/>
          <w:kern w:val="0"/>
          <w:sz w:val="24"/>
          <w:szCs w:val="24"/>
        </w:rPr>
      </w:pPr>
      <w:r w:rsidRPr="00D42DBB">
        <w:rPr>
          <w:rFonts w:ascii="宋体" w:cs="Times New Roman" w:hint="eastAsia"/>
          <w:kern w:val="0"/>
          <w:sz w:val="24"/>
          <w:szCs w:val="24"/>
        </w:rPr>
        <w:t>投资原则</w:t>
      </w:r>
      <w:r>
        <w:rPr>
          <w:rFonts w:ascii="宋体" w:cs="Times New Roman" w:hint="eastAsia"/>
          <w:kern w:val="0"/>
          <w:sz w:val="24"/>
          <w:szCs w:val="24"/>
        </w:rPr>
        <w:t>：</w:t>
      </w:r>
      <w:r w:rsidRPr="00D42DBB">
        <w:rPr>
          <w:rFonts w:ascii="宋体" w:cs="Times New Roman" w:hint="eastAsia"/>
          <w:kern w:val="0"/>
          <w:sz w:val="24"/>
          <w:szCs w:val="24"/>
        </w:rPr>
        <w:t>本基金将基金资产的80%-95%投资于股票资产,其中投资于质地优秀、未来预期成长性良好的上市公司股票不低于非现金基金资产的80%,权证投资比例不超过基金资产净值的3%,每个交易日日终在扣除股指期货合约需缴纳的交易保证金后,本基金保留的现金或到期日在一年以内的政府债券不低于基金资产净值的5%。</w:t>
      </w:r>
      <w:r w:rsidR="00D84346" w:rsidRPr="00D84346">
        <w:rPr>
          <w:rFonts w:ascii="宋体" w:cs="Times New Roman" w:hint="eastAsia"/>
          <w:kern w:val="0"/>
          <w:sz w:val="24"/>
          <w:szCs w:val="24"/>
        </w:rPr>
        <w:t>。</w:t>
      </w:r>
    </w:p>
    <w:p w:rsidR="00285469" w:rsidRDefault="00285469">
      <w:pPr>
        <w:pStyle w:val="HTML"/>
        <w:shd w:val="clear" w:color="auto" w:fill="FFFFFF"/>
        <w:tabs>
          <w:tab w:val="left" w:pos="435"/>
        </w:tabs>
        <w:spacing w:line="360" w:lineRule="auto"/>
        <w:rPr>
          <w:rFonts w:cs="Times New Roman"/>
          <w:b/>
          <w:bCs/>
          <w:sz w:val="28"/>
          <w:szCs w:val="28"/>
        </w:rPr>
      </w:pPr>
      <w:r>
        <w:rPr>
          <w:rFonts w:hint="eastAsia"/>
          <w:b/>
          <w:bCs/>
          <w:sz w:val="28"/>
          <w:szCs w:val="28"/>
        </w:rPr>
        <w:t>二、基金分析</w:t>
      </w:r>
    </w:p>
    <w:p w:rsidR="00285469" w:rsidRDefault="00285469">
      <w:pPr>
        <w:spacing w:line="360" w:lineRule="auto"/>
        <w:rPr>
          <w:rFonts w:ascii="宋体" w:cs="Times New Roman"/>
          <w:kern w:val="0"/>
          <w:sz w:val="24"/>
          <w:szCs w:val="24"/>
        </w:rPr>
      </w:pPr>
      <w:r>
        <w:rPr>
          <w:b/>
          <w:bCs/>
          <w:sz w:val="24"/>
          <w:szCs w:val="24"/>
        </w:rPr>
        <w:t>1</w:t>
      </w:r>
      <w:r>
        <w:rPr>
          <w:rFonts w:cs="宋体" w:hint="eastAsia"/>
          <w:b/>
          <w:bCs/>
          <w:sz w:val="24"/>
          <w:szCs w:val="24"/>
        </w:rPr>
        <w:t>、收益风险分析</w:t>
      </w:r>
      <w:r>
        <w:rPr>
          <w:rFonts w:ascii="宋体" w:hAnsi="宋体" w:cs="宋体"/>
          <w:kern w:val="0"/>
          <w:sz w:val="24"/>
          <w:szCs w:val="24"/>
        </w:rPr>
        <w:t xml:space="preserve"> </w:t>
      </w:r>
    </w:p>
    <w:p w:rsidR="00285469" w:rsidRDefault="00285469">
      <w:pPr>
        <w:spacing w:line="360" w:lineRule="auto"/>
        <w:rPr>
          <w:rFonts w:ascii="宋体" w:cs="Times New Roman"/>
          <w:sz w:val="24"/>
          <w:szCs w:val="24"/>
        </w:rPr>
      </w:pPr>
      <w:r>
        <w:rPr>
          <w:rFonts w:ascii="宋体" w:hAnsi="宋体" w:cs="宋体"/>
          <w:kern w:val="0"/>
          <w:sz w:val="24"/>
          <w:szCs w:val="24"/>
        </w:rPr>
        <w:t xml:space="preserve">   </w:t>
      </w:r>
      <w:r w:rsidR="00856A42">
        <w:rPr>
          <w:rFonts w:ascii="宋体" w:hAnsi="宋体" w:cs="宋体" w:hint="eastAsia"/>
          <w:kern w:val="0"/>
          <w:sz w:val="24"/>
          <w:szCs w:val="24"/>
        </w:rPr>
        <w:t xml:space="preserve"> </w:t>
      </w:r>
      <w:r w:rsidR="00BD7303" w:rsidRPr="00BD7303">
        <w:rPr>
          <w:rFonts w:ascii="宋体" w:hAnsi="宋体" w:cs="宋体" w:hint="eastAsia"/>
          <w:kern w:val="0"/>
          <w:sz w:val="24"/>
          <w:szCs w:val="24"/>
        </w:rPr>
        <w:t>景顺长城优质成长（</w:t>
      </w:r>
      <w:r w:rsidR="00BD7303" w:rsidRPr="00BD7303">
        <w:rPr>
          <w:rFonts w:ascii="宋体" w:hAnsi="宋体" w:cs="宋体"/>
          <w:kern w:val="0"/>
          <w:sz w:val="24"/>
          <w:szCs w:val="24"/>
        </w:rPr>
        <w:t>000411</w:t>
      </w:r>
      <w:r w:rsidR="00BD7303" w:rsidRPr="00BD7303">
        <w:rPr>
          <w:rFonts w:ascii="宋体" w:hAnsi="宋体" w:cs="宋体" w:hint="eastAsia"/>
          <w:kern w:val="0"/>
          <w:sz w:val="24"/>
          <w:szCs w:val="24"/>
        </w:rPr>
        <w:t>）</w:t>
      </w:r>
      <w:r w:rsidR="00FE0239" w:rsidRPr="005B5420">
        <w:rPr>
          <w:rFonts w:ascii="宋体" w:hAnsi="宋体" w:cs="宋体" w:hint="eastAsia"/>
          <w:kern w:val="0"/>
          <w:sz w:val="24"/>
          <w:szCs w:val="24"/>
        </w:rPr>
        <w:t>是一只</w:t>
      </w:r>
      <w:r w:rsidR="00BD7303" w:rsidRPr="00BD7303">
        <w:rPr>
          <w:rFonts w:ascii="宋体" w:hAnsi="宋体" w:cs="宋体" w:hint="eastAsia"/>
          <w:kern w:val="0"/>
          <w:sz w:val="24"/>
          <w:szCs w:val="24"/>
        </w:rPr>
        <w:t>股票型</w:t>
      </w:r>
      <w:r w:rsidR="00FE0239" w:rsidRPr="005B5420">
        <w:rPr>
          <w:rFonts w:ascii="宋体" w:hAnsi="宋体" w:cs="宋体" w:hint="eastAsia"/>
          <w:kern w:val="0"/>
          <w:sz w:val="24"/>
          <w:szCs w:val="24"/>
        </w:rPr>
        <w:t>基金</w:t>
      </w:r>
      <w:r>
        <w:rPr>
          <w:rFonts w:ascii="宋体" w:hAnsi="宋体" w:cs="宋体" w:hint="eastAsia"/>
          <w:kern w:val="0"/>
          <w:sz w:val="24"/>
          <w:szCs w:val="24"/>
        </w:rPr>
        <w:t>，</w:t>
      </w:r>
      <w:r w:rsidR="00BD7303" w:rsidRPr="005B5420">
        <w:rPr>
          <w:rFonts w:ascii="宋体" w:hAnsi="宋体" w:cs="宋体"/>
          <w:kern w:val="0"/>
          <w:sz w:val="24"/>
          <w:szCs w:val="24"/>
        </w:rPr>
        <w:t>201</w:t>
      </w:r>
      <w:r w:rsidR="00BD7303">
        <w:rPr>
          <w:rFonts w:ascii="宋体" w:hAnsi="宋体" w:cs="宋体" w:hint="eastAsia"/>
          <w:kern w:val="0"/>
          <w:sz w:val="24"/>
          <w:szCs w:val="24"/>
        </w:rPr>
        <w:t>5年08月11日</w:t>
      </w:r>
      <w:r w:rsidR="00BD7303" w:rsidRPr="00BD7303">
        <w:rPr>
          <w:rFonts w:ascii="宋体" w:hAnsi="宋体" w:cs="宋体" w:hint="eastAsia"/>
          <w:kern w:val="0"/>
          <w:sz w:val="24"/>
          <w:szCs w:val="24"/>
        </w:rPr>
        <w:t>刘彦春</w:t>
      </w:r>
      <w:r w:rsidR="00BD7303">
        <w:rPr>
          <w:rFonts w:ascii="宋体" w:hAnsi="宋体" w:cs="宋体" w:hint="eastAsia"/>
          <w:kern w:val="0"/>
          <w:sz w:val="24"/>
          <w:szCs w:val="24"/>
        </w:rPr>
        <w:t>、</w:t>
      </w:r>
      <w:r w:rsidR="00BD7303" w:rsidRPr="00BD7303">
        <w:rPr>
          <w:rFonts w:ascii="宋体" w:hAnsi="宋体" w:cs="宋体" w:hint="eastAsia"/>
          <w:kern w:val="0"/>
          <w:sz w:val="24"/>
          <w:szCs w:val="24"/>
        </w:rPr>
        <w:t>丁丹</w:t>
      </w:r>
      <w:r w:rsidR="00BD7303">
        <w:rPr>
          <w:rFonts w:ascii="宋体" w:hAnsi="宋体" w:cs="宋体" w:hint="eastAsia"/>
          <w:kern w:val="0"/>
          <w:sz w:val="24"/>
          <w:szCs w:val="24"/>
        </w:rPr>
        <w:t>开始掌管该基金</w:t>
      </w:r>
      <w:r>
        <w:rPr>
          <w:rFonts w:ascii="宋体" w:hAnsi="宋体" w:cs="宋体" w:hint="eastAsia"/>
          <w:kern w:val="0"/>
          <w:sz w:val="24"/>
          <w:szCs w:val="24"/>
        </w:rPr>
        <w:t>。基金</w:t>
      </w:r>
      <w:r w:rsidR="00D42DBB">
        <w:rPr>
          <w:rFonts w:ascii="宋体" w:hAnsi="宋体" w:cs="宋体" w:hint="eastAsia"/>
          <w:kern w:val="0"/>
          <w:sz w:val="24"/>
          <w:szCs w:val="24"/>
        </w:rPr>
        <w:t>今年来</w:t>
      </w:r>
      <w:r>
        <w:rPr>
          <w:rFonts w:ascii="宋体" w:hAnsi="宋体" w:cs="宋体" w:hint="eastAsia"/>
          <w:kern w:val="0"/>
          <w:sz w:val="24"/>
          <w:szCs w:val="24"/>
        </w:rPr>
        <w:t>累计收益</w:t>
      </w:r>
      <w:r w:rsidR="00D42DBB">
        <w:rPr>
          <w:rFonts w:ascii="宋体" w:hAnsi="宋体" w:cs="宋体" w:hint="eastAsia"/>
          <w:kern w:val="0"/>
          <w:sz w:val="24"/>
          <w:szCs w:val="24"/>
        </w:rPr>
        <w:t>13.54</w:t>
      </w:r>
      <w:r w:rsidR="004F275F" w:rsidRPr="004F275F">
        <w:rPr>
          <w:rFonts w:ascii="宋体" w:hAnsi="宋体" w:cs="宋体"/>
          <w:kern w:val="0"/>
          <w:sz w:val="24"/>
          <w:szCs w:val="24"/>
        </w:rPr>
        <w:t>%</w:t>
      </w:r>
      <w:r>
        <w:rPr>
          <w:rFonts w:ascii="宋体" w:hAnsi="宋体" w:cs="宋体" w:hint="eastAsia"/>
          <w:kern w:val="0"/>
          <w:sz w:val="24"/>
          <w:szCs w:val="24"/>
        </w:rPr>
        <w:t>，同期</w:t>
      </w:r>
      <w:r w:rsidR="005B5420">
        <w:rPr>
          <w:rFonts w:ascii="宋体" w:hAnsi="宋体" w:cs="宋体" w:hint="eastAsia"/>
          <w:kern w:val="0"/>
          <w:sz w:val="24"/>
          <w:szCs w:val="24"/>
        </w:rPr>
        <w:t>同类平均</w:t>
      </w:r>
      <w:r>
        <w:rPr>
          <w:rFonts w:ascii="宋体" w:hAnsi="宋体" w:cs="宋体" w:hint="eastAsia"/>
          <w:kern w:val="0"/>
          <w:sz w:val="24"/>
          <w:szCs w:val="24"/>
        </w:rPr>
        <w:t>上涨</w:t>
      </w:r>
      <w:r w:rsidR="00D42DBB">
        <w:rPr>
          <w:rFonts w:ascii="宋体" w:hAnsi="宋体" w:cs="宋体" w:hint="eastAsia"/>
          <w:kern w:val="0"/>
          <w:sz w:val="24"/>
          <w:szCs w:val="24"/>
        </w:rPr>
        <w:t>7.02</w:t>
      </w:r>
      <w:r w:rsidR="00E2334C" w:rsidRPr="00E2334C">
        <w:rPr>
          <w:rFonts w:ascii="宋体" w:hAnsi="宋体" w:cs="宋体"/>
          <w:kern w:val="0"/>
          <w:sz w:val="24"/>
          <w:szCs w:val="24"/>
        </w:rPr>
        <w:t>%</w:t>
      </w:r>
      <w:r>
        <w:rPr>
          <w:rFonts w:ascii="宋体" w:hAnsi="宋体" w:cs="宋体" w:hint="eastAsia"/>
          <w:kern w:val="0"/>
          <w:sz w:val="24"/>
          <w:szCs w:val="24"/>
        </w:rPr>
        <w:t>，沪深</w:t>
      </w:r>
      <w:r>
        <w:rPr>
          <w:rFonts w:ascii="宋体" w:hAnsi="宋体" w:cs="宋体"/>
          <w:kern w:val="0"/>
          <w:sz w:val="24"/>
          <w:szCs w:val="24"/>
        </w:rPr>
        <w:t>300</w:t>
      </w:r>
      <w:r>
        <w:rPr>
          <w:rFonts w:ascii="宋体" w:hAnsi="宋体" w:cs="宋体" w:hint="eastAsia"/>
          <w:kern w:val="0"/>
          <w:sz w:val="24"/>
          <w:szCs w:val="24"/>
        </w:rPr>
        <w:t>指数上涨</w:t>
      </w:r>
      <w:r w:rsidR="00D42DBB">
        <w:rPr>
          <w:rFonts w:ascii="宋体" w:hAnsi="宋体" w:cs="宋体" w:hint="eastAsia"/>
          <w:kern w:val="0"/>
          <w:sz w:val="24"/>
          <w:szCs w:val="24"/>
        </w:rPr>
        <w:t>-9.28</w:t>
      </w:r>
      <w:r w:rsidR="00E2334C" w:rsidRPr="00E2334C">
        <w:rPr>
          <w:rFonts w:ascii="宋体" w:hAnsi="宋体" w:cs="宋体"/>
          <w:kern w:val="0"/>
          <w:sz w:val="24"/>
          <w:szCs w:val="24"/>
        </w:rPr>
        <w:t>%</w:t>
      </w:r>
      <w:r>
        <w:rPr>
          <w:rFonts w:ascii="宋体" w:hAnsi="宋体" w:cs="宋体" w:hint="eastAsia"/>
          <w:kern w:val="0"/>
          <w:sz w:val="24"/>
          <w:szCs w:val="24"/>
        </w:rPr>
        <w:t>。</w:t>
      </w:r>
    </w:p>
    <w:p w:rsidR="00285469" w:rsidRDefault="00285469" w:rsidP="006C3670">
      <w:pPr>
        <w:spacing w:line="360" w:lineRule="auto"/>
        <w:ind w:firstLineChars="200" w:firstLine="422"/>
        <w:rPr>
          <w:rFonts w:ascii="楷体" w:eastAsia="楷体" w:hAnsi="楷体" w:cs="Times New Roman"/>
          <w:b/>
          <w:bCs/>
          <w:color w:val="000000"/>
          <w:kern w:val="0"/>
        </w:rPr>
      </w:pPr>
      <w:r>
        <w:rPr>
          <w:rFonts w:ascii="楷体" w:eastAsia="楷体" w:hAnsi="楷体" w:cs="楷体" w:hint="eastAsia"/>
          <w:b/>
          <w:bCs/>
          <w:color w:val="000000"/>
          <w:kern w:val="0"/>
        </w:rPr>
        <w:t>图</w:t>
      </w:r>
      <w:r>
        <w:rPr>
          <w:rFonts w:ascii="楷体" w:eastAsia="楷体" w:hAnsi="楷体" w:cs="楷体"/>
          <w:b/>
          <w:bCs/>
          <w:color w:val="000000"/>
          <w:kern w:val="0"/>
        </w:rPr>
        <w:t>1</w:t>
      </w:r>
      <w:r>
        <w:rPr>
          <w:rFonts w:ascii="楷体" w:eastAsia="楷体" w:hAnsi="楷体" w:cs="楷体" w:hint="eastAsia"/>
          <w:b/>
          <w:bCs/>
          <w:color w:val="000000"/>
          <w:kern w:val="0"/>
        </w:rPr>
        <w:t>：近一年来基金累计收益率与上证指数、沪深</w:t>
      </w:r>
      <w:r>
        <w:rPr>
          <w:rFonts w:ascii="楷体" w:eastAsia="楷体" w:hAnsi="楷体" w:cs="楷体"/>
          <w:b/>
          <w:bCs/>
          <w:color w:val="000000"/>
          <w:kern w:val="0"/>
        </w:rPr>
        <w:t>300</w:t>
      </w:r>
      <w:r>
        <w:rPr>
          <w:rFonts w:ascii="楷体" w:eastAsia="楷体" w:hAnsi="楷体" w:cs="楷体" w:hint="eastAsia"/>
          <w:b/>
          <w:bCs/>
          <w:color w:val="000000"/>
          <w:kern w:val="0"/>
        </w:rPr>
        <w:t>走势比较</w:t>
      </w:r>
    </w:p>
    <w:p w:rsidR="00285469" w:rsidRDefault="00BD7303">
      <w:pPr>
        <w:pBdr>
          <w:top w:val="single" w:sz="6" w:space="1" w:color="auto"/>
          <w:bottom w:val="single" w:sz="6" w:space="1" w:color="auto"/>
        </w:pBdr>
        <w:spacing w:line="360" w:lineRule="auto"/>
        <w:jc w:val="center"/>
        <w:rPr>
          <w:rFonts w:cs="Times New Roman"/>
          <w:b/>
          <w:bCs/>
          <w:sz w:val="24"/>
          <w:szCs w:val="24"/>
        </w:rPr>
      </w:pPr>
      <w:r>
        <w:rPr>
          <w:rFonts w:cs="Times New Roman"/>
          <w:b/>
          <w:bCs/>
          <w:noProof/>
          <w:sz w:val="24"/>
          <w:szCs w:val="24"/>
        </w:rPr>
        <w:lastRenderedPageBreak/>
        <w:drawing>
          <wp:inline distT="0" distB="0" distL="0" distR="0">
            <wp:extent cx="6188710" cy="2255778"/>
            <wp:effectExtent l="1905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6188710" cy="2255778"/>
                    </a:xfrm>
                    <a:prstGeom prst="rect">
                      <a:avLst/>
                    </a:prstGeom>
                    <a:noFill/>
                    <a:ln w="9525">
                      <a:noFill/>
                      <a:miter lim="800000"/>
                      <a:headEnd/>
                      <a:tailEnd/>
                    </a:ln>
                  </pic:spPr>
                </pic:pic>
              </a:graphicData>
            </a:graphic>
          </wp:inline>
        </w:drawing>
      </w:r>
    </w:p>
    <w:p w:rsidR="00285469" w:rsidRDefault="00285469">
      <w:pPr>
        <w:spacing w:line="360" w:lineRule="auto"/>
        <w:rPr>
          <w:rFonts w:ascii="Arial" w:eastAsia="楷体_GB2312" w:hAnsi="Arial" w:cs="Times New Roman"/>
          <w:i/>
          <w:iCs/>
          <w:sz w:val="20"/>
          <w:szCs w:val="20"/>
        </w:rPr>
      </w:pPr>
      <w:r>
        <w:rPr>
          <w:rFonts w:ascii="Arial" w:eastAsia="楷体_GB2312" w:hAnsi="Arial" w:cs="楷体_GB2312" w:hint="eastAsia"/>
          <w:i/>
          <w:iCs/>
          <w:sz w:val="20"/>
          <w:szCs w:val="20"/>
        </w:rPr>
        <w:t>数据来源：东方财富</w:t>
      </w:r>
      <w:r>
        <w:rPr>
          <w:rFonts w:ascii="Arial" w:eastAsia="楷体_GB2312" w:hAnsi="Arial" w:cs="Arial"/>
          <w:i/>
          <w:iCs/>
          <w:sz w:val="20"/>
          <w:szCs w:val="20"/>
        </w:rPr>
        <w:t>Choice</w:t>
      </w:r>
      <w:r>
        <w:rPr>
          <w:rFonts w:ascii="Arial" w:eastAsia="楷体_GB2312" w:hAnsi="Arial" w:cs="楷体_GB2312" w:hint="eastAsia"/>
          <w:i/>
          <w:iCs/>
          <w:sz w:val="20"/>
          <w:szCs w:val="20"/>
        </w:rPr>
        <w:t>终端、天天基金研究中心</w:t>
      </w:r>
    </w:p>
    <w:p w:rsidR="00285469" w:rsidRDefault="00083052" w:rsidP="006C3670">
      <w:pPr>
        <w:spacing w:line="360" w:lineRule="auto"/>
        <w:ind w:firstLineChars="200" w:firstLine="480"/>
        <w:rPr>
          <w:rFonts w:ascii="宋体" w:cs="Times New Roman"/>
          <w:sz w:val="24"/>
          <w:szCs w:val="24"/>
        </w:rPr>
      </w:pPr>
      <w:r>
        <w:rPr>
          <w:rFonts w:ascii="宋体" w:hAnsi="宋体" w:cs="宋体" w:hint="eastAsia"/>
          <w:sz w:val="24"/>
          <w:szCs w:val="24"/>
        </w:rPr>
        <w:t>基金</w:t>
      </w:r>
      <w:r w:rsidR="00285469">
        <w:rPr>
          <w:rFonts w:ascii="宋体" w:hAnsi="宋体" w:cs="宋体" w:hint="eastAsia"/>
          <w:sz w:val="24"/>
          <w:szCs w:val="24"/>
        </w:rPr>
        <w:t>近</w:t>
      </w:r>
      <w:r w:rsidR="00285469">
        <w:rPr>
          <w:rFonts w:ascii="宋体" w:hAnsi="宋体" w:cs="宋体"/>
          <w:sz w:val="24"/>
          <w:szCs w:val="24"/>
        </w:rPr>
        <w:t>1</w:t>
      </w:r>
      <w:r w:rsidR="00285469">
        <w:rPr>
          <w:rFonts w:ascii="宋体" w:hAnsi="宋体" w:cs="宋体" w:hint="eastAsia"/>
          <w:sz w:val="24"/>
          <w:szCs w:val="24"/>
        </w:rPr>
        <w:t>年同类排名</w:t>
      </w:r>
      <w:r w:rsidR="00D42DBB">
        <w:rPr>
          <w:rFonts w:ascii="宋体" w:hAnsi="宋体" w:cs="宋体" w:hint="eastAsia"/>
          <w:sz w:val="24"/>
          <w:szCs w:val="24"/>
        </w:rPr>
        <w:t>226</w:t>
      </w:r>
      <w:r w:rsidR="00285469">
        <w:rPr>
          <w:rFonts w:ascii="宋体" w:hAnsi="宋体" w:cs="宋体"/>
          <w:sz w:val="24"/>
          <w:szCs w:val="24"/>
        </w:rPr>
        <w:t>|</w:t>
      </w:r>
      <w:r w:rsidR="00D42DBB">
        <w:rPr>
          <w:rFonts w:ascii="宋体" w:hAnsi="宋体" w:cs="宋体" w:hint="eastAsia"/>
          <w:sz w:val="24"/>
          <w:szCs w:val="24"/>
        </w:rPr>
        <w:t>292</w:t>
      </w:r>
      <w:r w:rsidR="00285469">
        <w:rPr>
          <w:rFonts w:ascii="宋体" w:hAnsi="宋体" w:cs="宋体" w:hint="eastAsia"/>
          <w:sz w:val="24"/>
          <w:szCs w:val="24"/>
        </w:rPr>
        <w:t>，近</w:t>
      </w:r>
      <w:r w:rsidR="00285469">
        <w:rPr>
          <w:rFonts w:ascii="宋体" w:hAnsi="宋体" w:cs="宋体"/>
          <w:sz w:val="24"/>
          <w:szCs w:val="24"/>
        </w:rPr>
        <w:t>6</w:t>
      </w:r>
      <w:r w:rsidR="00285469">
        <w:rPr>
          <w:rFonts w:ascii="宋体" w:hAnsi="宋体" w:cs="宋体" w:hint="eastAsia"/>
          <w:sz w:val="24"/>
          <w:szCs w:val="24"/>
        </w:rPr>
        <w:t>月同类排名</w:t>
      </w:r>
      <w:r w:rsidR="00D42DBB">
        <w:rPr>
          <w:rFonts w:ascii="宋体" w:hAnsi="宋体" w:cs="宋体" w:hint="eastAsia"/>
          <w:sz w:val="24"/>
          <w:szCs w:val="24"/>
        </w:rPr>
        <w:t>103</w:t>
      </w:r>
      <w:r w:rsidR="00285469">
        <w:rPr>
          <w:rFonts w:ascii="宋体" w:hAnsi="宋体" w:cs="宋体"/>
          <w:sz w:val="24"/>
          <w:szCs w:val="24"/>
        </w:rPr>
        <w:t>|</w:t>
      </w:r>
      <w:r w:rsidR="00D42DBB">
        <w:rPr>
          <w:rFonts w:ascii="宋体" w:hAnsi="宋体" w:cs="宋体" w:hint="eastAsia"/>
          <w:sz w:val="24"/>
          <w:szCs w:val="24"/>
        </w:rPr>
        <w:t>358</w:t>
      </w:r>
      <w:r w:rsidR="00285469">
        <w:rPr>
          <w:rFonts w:ascii="宋体" w:hAnsi="宋体" w:cs="宋体" w:hint="eastAsia"/>
          <w:sz w:val="24"/>
          <w:szCs w:val="24"/>
        </w:rPr>
        <w:t>，近</w:t>
      </w:r>
      <w:r w:rsidR="00285469">
        <w:rPr>
          <w:rFonts w:ascii="宋体" w:hAnsi="宋体" w:cs="宋体"/>
          <w:sz w:val="24"/>
          <w:szCs w:val="24"/>
        </w:rPr>
        <w:t>3</w:t>
      </w:r>
      <w:r w:rsidR="00285469">
        <w:rPr>
          <w:rFonts w:ascii="宋体" w:hAnsi="宋体" w:cs="宋体" w:hint="eastAsia"/>
          <w:sz w:val="24"/>
          <w:szCs w:val="24"/>
        </w:rPr>
        <w:t>月同类排名</w:t>
      </w:r>
      <w:r w:rsidR="00D42DBB">
        <w:rPr>
          <w:rFonts w:ascii="宋体" w:hAnsi="宋体" w:cs="宋体" w:hint="eastAsia"/>
          <w:sz w:val="24"/>
          <w:szCs w:val="24"/>
        </w:rPr>
        <w:t>295</w:t>
      </w:r>
      <w:r w:rsidR="00285469">
        <w:rPr>
          <w:rFonts w:ascii="宋体" w:hAnsi="宋体" w:cs="宋体"/>
          <w:sz w:val="24"/>
          <w:szCs w:val="24"/>
        </w:rPr>
        <w:t>|</w:t>
      </w:r>
      <w:r w:rsidR="00D42DBB">
        <w:rPr>
          <w:rFonts w:ascii="宋体" w:hAnsi="宋体" w:cs="宋体" w:hint="eastAsia"/>
          <w:sz w:val="24"/>
          <w:szCs w:val="24"/>
        </w:rPr>
        <w:t>435</w:t>
      </w:r>
      <w:r w:rsidR="00285469">
        <w:rPr>
          <w:rFonts w:ascii="宋体" w:hAnsi="宋体" w:cs="宋体"/>
          <w:sz w:val="24"/>
          <w:szCs w:val="24"/>
        </w:rPr>
        <w:t>,</w:t>
      </w:r>
      <w:r w:rsidR="00285469">
        <w:rPr>
          <w:rFonts w:ascii="宋体" w:hAnsi="宋体" w:cs="宋体" w:hint="eastAsia"/>
          <w:sz w:val="24"/>
          <w:szCs w:val="24"/>
        </w:rPr>
        <w:t>近</w:t>
      </w:r>
      <w:r w:rsidR="00285469">
        <w:rPr>
          <w:rFonts w:ascii="宋体" w:hAnsi="宋体" w:cs="宋体"/>
          <w:sz w:val="24"/>
          <w:szCs w:val="24"/>
        </w:rPr>
        <w:t>1</w:t>
      </w:r>
      <w:r w:rsidR="00285469">
        <w:rPr>
          <w:rFonts w:ascii="宋体" w:hAnsi="宋体" w:cs="宋体" w:hint="eastAsia"/>
          <w:sz w:val="24"/>
          <w:szCs w:val="24"/>
        </w:rPr>
        <w:t>月同类排名</w:t>
      </w:r>
      <w:r w:rsidR="00D42DBB">
        <w:rPr>
          <w:rFonts w:ascii="宋体" w:hAnsi="宋体" w:cs="宋体" w:hint="eastAsia"/>
          <w:sz w:val="24"/>
          <w:szCs w:val="24"/>
        </w:rPr>
        <w:t>471</w:t>
      </w:r>
      <w:r w:rsidR="00285469">
        <w:rPr>
          <w:rFonts w:ascii="宋体" w:hAnsi="宋体" w:cs="宋体"/>
          <w:sz w:val="24"/>
          <w:szCs w:val="24"/>
        </w:rPr>
        <w:t>|</w:t>
      </w:r>
      <w:r w:rsidR="00D42DBB">
        <w:rPr>
          <w:rFonts w:ascii="宋体" w:hAnsi="宋体" w:cs="宋体" w:hint="eastAsia"/>
          <w:sz w:val="24"/>
          <w:szCs w:val="24"/>
        </w:rPr>
        <w:t>526</w:t>
      </w:r>
      <w:r w:rsidR="00285469">
        <w:rPr>
          <w:rFonts w:ascii="宋体" w:hAnsi="宋体" w:cs="宋体" w:hint="eastAsia"/>
          <w:sz w:val="24"/>
          <w:szCs w:val="24"/>
        </w:rPr>
        <w:t>，近</w:t>
      </w:r>
      <w:r w:rsidR="00285469">
        <w:rPr>
          <w:rFonts w:ascii="宋体" w:hAnsi="宋体" w:cs="宋体"/>
          <w:sz w:val="24"/>
          <w:szCs w:val="24"/>
        </w:rPr>
        <w:t>1</w:t>
      </w:r>
      <w:r w:rsidR="00285469">
        <w:rPr>
          <w:rFonts w:ascii="宋体" w:hAnsi="宋体" w:cs="宋体" w:hint="eastAsia"/>
          <w:sz w:val="24"/>
          <w:szCs w:val="24"/>
        </w:rPr>
        <w:t>周同类排名</w:t>
      </w:r>
      <w:r w:rsidR="00D42DBB">
        <w:rPr>
          <w:rFonts w:ascii="宋体" w:hAnsi="宋体" w:cs="宋体" w:hint="eastAsia"/>
          <w:sz w:val="24"/>
          <w:szCs w:val="24"/>
        </w:rPr>
        <w:t>327</w:t>
      </w:r>
      <w:r w:rsidR="00285469">
        <w:rPr>
          <w:rFonts w:ascii="宋体" w:hAnsi="宋体" w:cs="宋体"/>
          <w:sz w:val="24"/>
          <w:szCs w:val="24"/>
        </w:rPr>
        <w:t>|</w:t>
      </w:r>
      <w:r w:rsidR="00D42DBB">
        <w:rPr>
          <w:rFonts w:ascii="宋体" w:hAnsi="宋体" w:cs="宋体" w:hint="eastAsia"/>
          <w:sz w:val="24"/>
          <w:szCs w:val="24"/>
        </w:rPr>
        <w:t>542</w:t>
      </w:r>
      <w:r w:rsidR="00285469">
        <w:rPr>
          <w:rFonts w:ascii="宋体" w:hAnsi="宋体" w:cs="宋体" w:hint="eastAsia"/>
          <w:sz w:val="24"/>
          <w:szCs w:val="24"/>
        </w:rPr>
        <w:t>，今年来同类排名</w:t>
      </w:r>
      <w:r w:rsidR="00D42DBB">
        <w:rPr>
          <w:rFonts w:ascii="宋体" w:hAnsi="宋体" w:cs="宋体" w:hint="eastAsia"/>
          <w:sz w:val="24"/>
          <w:szCs w:val="24"/>
        </w:rPr>
        <w:t>71</w:t>
      </w:r>
      <w:r w:rsidR="00285469">
        <w:rPr>
          <w:rFonts w:ascii="宋体" w:hAnsi="宋体" w:cs="宋体"/>
          <w:sz w:val="24"/>
          <w:szCs w:val="24"/>
        </w:rPr>
        <w:t>|</w:t>
      </w:r>
      <w:r w:rsidR="00D42DBB">
        <w:rPr>
          <w:rFonts w:ascii="宋体" w:hAnsi="宋体" w:cs="宋体" w:hint="eastAsia"/>
          <w:sz w:val="24"/>
          <w:szCs w:val="24"/>
        </w:rPr>
        <w:t>331</w:t>
      </w:r>
      <w:r w:rsidR="00285469">
        <w:rPr>
          <w:rFonts w:ascii="宋体" w:hAnsi="宋体" w:cs="宋体" w:hint="eastAsia"/>
          <w:sz w:val="24"/>
          <w:szCs w:val="24"/>
        </w:rPr>
        <w:t>。</w:t>
      </w:r>
    </w:p>
    <w:p w:rsidR="00285469" w:rsidRDefault="00285469">
      <w:pPr>
        <w:spacing w:line="360" w:lineRule="auto"/>
        <w:rPr>
          <w:rFonts w:ascii="楷体" w:eastAsia="楷体" w:hAnsi="楷体" w:cs="Times New Roman"/>
          <w:b/>
          <w:bCs/>
          <w:color w:val="000000"/>
          <w:kern w:val="0"/>
        </w:rPr>
      </w:pPr>
      <w:r>
        <w:rPr>
          <w:rFonts w:ascii="楷体" w:eastAsia="楷体" w:hAnsi="楷体" w:cs="楷体" w:hint="eastAsia"/>
          <w:b/>
          <w:bCs/>
          <w:color w:val="000000"/>
          <w:kern w:val="0"/>
        </w:rPr>
        <w:t>图</w:t>
      </w:r>
      <w:r>
        <w:rPr>
          <w:rFonts w:ascii="楷体" w:eastAsia="楷体" w:hAnsi="楷体" w:cs="楷体"/>
          <w:b/>
          <w:bCs/>
          <w:color w:val="000000"/>
          <w:kern w:val="0"/>
        </w:rPr>
        <w:t>2</w:t>
      </w:r>
      <w:r>
        <w:rPr>
          <w:rFonts w:ascii="楷体" w:eastAsia="楷体" w:hAnsi="楷体" w:cs="楷体" w:hint="eastAsia"/>
          <w:b/>
          <w:bCs/>
          <w:color w:val="000000"/>
          <w:kern w:val="0"/>
        </w:rPr>
        <w:t>：阶段涨幅</w:t>
      </w:r>
    </w:p>
    <w:p w:rsidR="00285469" w:rsidRDefault="00BD7303">
      <w:pPr>
        <w:pBdr>
          <w:top w:val="single" w:sz="6" w:space="1" w:color="auto"/>
          <w:bottom w:val="single" w:sz="6" w:space="1" w:color="auto"/>
        </w:pBdr>
        <w:spacing w:line="360" w:lineRule="auto"/>
        <w:jc w:val="center"/>
        <w:rPr>
          <w:rFonts w:cs="Times New Roman"/>
          <w:b/>
          <w:bCs/>
          <w:sz w:val="24"/>
          <w:szCs w:val="24"/>
        </w:rPr>
      </w:pPr>
      <w:r>
        <w:rPr>
          <w:rFonts w:cs="Times New Roman"/>
          <w:b/>
          <w:bCs/>
          <w:noProof/>
          <w:sz w:val="24"/>
          <w:szCs w:val="24"/>
        </w:rPr>
        <w:drawing>
          <wp:inline distT="0" distB="0" distL="0" distR="0">
            <wp:extent cx="6188710" cy="1993099"/>
            <wp:effectExtent l="19050" t="0" r="2540" b="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6188710" cy="1993099"/>
                    </a:xfrm>
                    <a:prstGeom prst="rect">
                      <a:avLst/>
                    </a:prstGeom>
                    <a:noFill/>
                    <a:ln w="9525">
                      <a:noFill/>
                      <a:miter lim="800000"/>
                      <a:headEnd/>
                      <a:tailEnd/>
                    </a:ln>
                  </pic:spPr>
                </pic:pic>
              </a:graphicData>
            </a:graphic>
          </wp:inline>
        </w:drawing>
      </w:r>
    </w:p>
    <w:p w:rsidR="00285469" w:rsidRDefault="00285469">
      <w:pPr>
        <w:spacing w:line="360" w:lineRule="auto"/>
        <w:rPr>
          <w:rFonts w:ascii="Arial" w:eastAsia="楷体_GB2312" w:hAnsi="Arial" w:cs="Times New Roman"/>
          <w:i/>
          <w:iCs/>
          <w:sz w:val="20"/>
          <w:szCs w:val="20"/>
        </w:rPr>
      </w:pPr>
      <w:r>
        <w:rPr>
          <w:rFonts w:ascii="Arial" w:eastAsia="楷体_GB2312" w:hAnsi="Arial" w:cs="楷体_GB2312" w:hint="eastAsia"/>
          <w:i/>
          <w:iCs/>
          <w:sz w:val="20"/>
          <w:szCs w:val="20"/>
        </w:rPr>
        <w:t>数据来源：东方财富</w:t>
      </w:r>
      <w:r>
        <w:rPr>
          <w:rFonts w:ascii="Arial" w:eastAsia="楷体_GB2312" w:hAnsi="Arial" w:cs="Arial"/>
          <w:i/>
          <w:iCs/>
          <w:sz w:val="20"/>
          <w:szCs w:val="20"/>
        </w:rPr>
        <w:t>Choice</w:t>
      </w:r>
      <w:r>
        <w:rPr>
          <w:rFonts w:ascii="Arial" w:eastAsia="楷体_GB2312" w:hAnsi="Arial" w:cs="楷体_GB2312" w:hint="eastAsia"/>
          <w:i/>
          <w:iCs/>
          <w:sz w:val="20"/>
          <w:szCs w:val="20"/>
        </w:rPr>
        <w:t>终端、天天基金研究中心</w:t>
      </w:r>
    </w:p>
    <w:p w:rsidR="00285469" w:rsidRDefault="00D42DBB" w:rsidP="00D42DBB">
      <w:pPr>
        <w:spacing w:line="360" w:lineRule="auto"/>
        <w:ind w:firstLineChars="200" w:firstLine="480"/>
        <w:rPr>
          <w:rFonts w:ascii="宋体" w:cs="Times New Roman"/>
          <w:sz w:val="24"/>
          <w:szCs w:val="24"/>
        </w:rPr>
      </w:pPr>
      <w:r w:rsidRPr="00D42DBB">
        <w:rPr>
          <w:rFonts w:ascii="宋体" w:hAnsi="宋体" w:cs="宋体" w:hint="eastAsia"/>
          <w:sz w:val="24"/>
          <w:szCs w:val="24"/>
        </w:rPr>
        <w:t>截至2015-06-30，景顺长城优质成长,期末净资产1.23亿元，比上期增加23.77%</w:t>
      </w:r>
      <w:r w:rsidR="00285469">
        <w:rPr>
          <w:rFonts w:ascii="宋体" w:hAnsi="宋体" w:cs="宋体" w:hint="eastAsia"/>
          <w:sz w:val="24"/>
          <w:szCs w:val="24"/>
        </w:rPr>
        <w:t>。</w:t>
      </w:r>
    </w:p>
    <w:p w:rsidR="00285469" w:rsidRDefault="00285469">
      <w:pPr>
        <w:spacing w:line="360" w:lineRule="auto"/>
        <w:rPr>
          <w:rFonts w:ascii="宋体" w:cs="Times New Roman"/>
          <w:sz w:val="24"/>
          <w:szCs w:val="24"/>
        </w:rPr>
      </w:pPr>
      <w:r>
        <w:rPr>
          <w:rFonts w:ascii="楷体" w:eastAsia="楷体" w:hAnsi="楷体" w:cs="楷体" w:hint="eastAsia"/>
          <w:b/>
          <w:bCs/>
          <w:color w:val="000000"/>
          <w:kern w:val="0"/>
        </w:rPr>
        <w:t>图</w:t>
      </w:r>
      <w:r>
        <w:rPr>
          <w:rFonts w:ascii="楷体" w:eastAsia="楷体" w:hAnsi="楷体" w:cs="楷体"/>
          <w:b/>
          <w:bCs/>
          <w:color w:val="000000"/>
          <w:kern w:val="0"/>
        </w:rPr>
        <w:t>3</w:t>
      </w:r>
      <w:r>
        <w:rPr>
          <w:rFonts w:ascii="楷体" w:eastAsia="楷体" w:hAnsi="楷体" w:cs="楷体" w:hint="eastAsia"/>
          <w:b/>
          <w:bCs/>
          <w:color w:val="000000"/>
          <w:kern w:val="0"/>
        </w:rPr>
        <w:t>：份额规模变动</w:t>
      </w:r>
    </w:p>
    <w:p w:rsidR="00285469" w:rsidRDefault="00BD7303">
      <w:pPr>
        <w:pBdr>
          <w:top w:val="single" w:sz="6" w:space="1" w:color="auto"/>
          <w:bottom w:val="single" w:sz="6" w:space="1" w:color="auto"/>
        </w:pBdr>
        <w:spacing w:line="360" w:lineRule="auto"/>
        <w:jc w:val="center"/>
        <w:rPr>
          <w:rFonts w:cs="Times New Roman"/>
          <w:b/>
          <w:bCs/>
          <w:sz w:val="24"/>
          <w:szCs w:val="24"/>
        </w:rPr>
      </w:pPr>
      <w:r>
        <w:rPr>
          <w:rFonts w:cs="Times New Roman"/>
          <w:b/>
          <w:bCs/>
          <w:noProof/>
          <w:sz w:val="24"/>
          <w:szCs w:val="24"/>
        </w:rPr>
        <w:lastRenderedPageBreak/>
        <w:drawing>
          <wp:inline distT="0" distB="0" distL="0" distR="0">
            <wp:extent cx="6188710" cy="2358791"/>
            <wp:effectExtent l="1905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6188710" cy="2358791"/>
                    </a:xfrm>
                    <a:prstGeom prst="rect">
                      <a:avLst/>
                    </a:prstGeom>
                    <a:noFill/>
                    <a:ln w="9525">
                      <a:noFill/>
                      <a:miter lim="800000"/>
                      <a:headEnd/>
                      <a:tailEnd/>
                    </a:ln>
                  </pic:spPr>
                </pic:pic>
              </a:graphicData>
            </a:graphic>
          </wp:inline>
        </w:drawing>
      </w:r>
    </w:p>
    <w:p w:rsidR="00285469" w:rsidRDefault="00285469">
      <w:pPr>
        <w:spacing w:line="360" w:lineRule="auto"/>
        <w:rPr>
          <w:rFonts w:ascii="Arial" w:eastAsia="楷体_GB2312" w:hAnsi="Arial" w:cs="Times New Roman"/>
          <w:i/>
          <w:iCs/>
          <w:sz w:val="20"/>
          <w:szCs w:val="20"/>
        </w:rPr>
      </w:pPr>
      <w:r>
        <w:rPr>
          <w:rFonts w:ascii="Arial" w:eastAsia="楷体_GB2312" w:hAnsi="Arial" w:cs="楷体_GB2312" w:hint="eastAsia"/>
          <w:i/>
          <w:iCs/>
          <w:sz w:val="20"/>
          <w:szCs w:val="20"/>
        </w:rPr>
        <w:t>数据来源：东方财富</w:t>
      </w:r>
      <w:r>
        <w:rPr>
          <w:rFonts w:ascii="Arial" w:eastAsia="楷体_GB2312" w:hAnsi="Arial" w:cs="Arial"/>
          <w:i/>
          <w:iCs/>
          <w:sz w:val="20"/>
          <w:szCs w:val="20"/>
        </w:rPr>
        <w:t>Choice</w:t>
      </w:r>
      <w:r>
        <w:rPr>
          <w:rFonts w:ascii="Arial" w:eastAsia="楷体_GB2312" w:hAnsi="Arial" w:cs="楷体_GB2312" w:hint="eastAsia"/>
          <w:i/>
          <w:iCs/>
          <w:sz w:val="20"/>
          <w:szCs w:val="20"/>
        </w:rPr>
        <w:t>终端、天天基金研究中心</w:t>
      </w:r>
    </w:p>
    <w:p w:rsidR="00285469" w:rsidRDefault="00285469">
      <w:pPr>
        <w:spacing w:line="360" w:lineRule="auto"/>
        <w:rPr>
          <w:rFonts w:ascii="楷体" w:eastAsia="楷体" w:hAnsi="楷体" w:cs="Times New Roman"/>
          <w:b/>
          <w:bCs/>
          <w:color w:val="000000"/>
          <w:kern w:val="0"/>
        </w:rPr>
      </w:pPr>
      <w:r>
        <w:rPr>
          <w:rFonts w:ascii="楷体" w:eastAsia="楷体" w:hAnsi="楷体" w:cs="楷体" w:hint="eastAsia"/>
          <w:b/>
          <w:bCs/>
          <w:color w:val="000000"/>
          <w:kern w:val="0"/>
        </w:rPr>
        <w:t>图</w:t>
      </w:r>
      <w:r>
        <w:rPr>
          <w:rFonts w:ascii="楷体" w:eastAsia="楷体" w:hAnsi="楷体" w:cs="楷体"/>
          <w:b/>
          <w:bCs/>
          <w:color w:val="000000"/>
          <w:kern w:val="0"/>
        </w:rPr>
        <w:t>4</w:t>
      </w:r>
      <w:r>
        <w:rPr>
          <w:rFonts w:ascii="楷体" w:eastAsia="楷体" w:hAnsi="楷体" w:cs="楷体" w:hint="eastAsia"/>
          <w:b/>
          <w:bCs/>
          <w:color w:val="000000"/>
          <w:kern w:val="0"/>
        </w:rPr>
        <w:t>：净资产规模变动</w:t>
      </w:r>
    </w:p>
    <w:p w:rsidR="00285469" w:rsidRDefault="00BD7303">
      <w:pPr>
        <w:pBdr>
          <w:top w:val="single" w:sz="6" w:space="1" w:color="auto"/>
          <w:bottom w:val="single" w:sz="6" w:space="1" w:color="auto"/>
        </w:pBdr>
        <w:spacing w:line="360" w:lineRule="auto"/>
        <w:jc w:val="center"/>
        <w:rPr>
          <w:rFonts w:cs="Times New Roman"/>
          <w:b/>
          <w:bCs/>
          <w:sz w:val="24"/>
          <w:szCs w:val="24"/>
        </w:rPr>
      </w:pPr>
      <w:r>
        <w:rPr>
          <w:rFonts w:cs="Times New Roman"/>
          <w:b/>
          <w:bCs/>
          <w:noProof/>
          <w:sz w:val="24"/>
          <w:szCs w:val="24"/>
        </w:rPr>
        <w:drawing>
          <wp:inline distT="0" distB="0" distL="0" distR="0">
            <wp:extent cx="6188710" cy="2272706"/>
            <wp:effectExtent l="1905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srcRect/>
                    <a:stretch>
                      <a:fillRect/>
                    </a:stretch>
                  </pic:blipFill>
                  <pic:spPr bwMode="auto">
                    <a:xfrm>
                      <a:off x="0" y="0"/>
                      <a:ext cx="6188710" cy="2272706"/>
                    </a:xfrm>
                    <a:prstGeom prst="rect">
                      <a:avLst/>
                    </a:prstGeom>
                    <a:noFill/>
                    <a:ln w="9525">
                      <a:noFill/>
                      <a:miter lim="800000"/>
                      <a:headEnd/>
                      <a:tailEnd/>
                    </a:ln>
                  </pic:spPr>
                </pic:pic>
              </a:graphicData>
            </a:graphic>
          </wp:inline>
        </w:drawing>
      </w:r>
    </w:p>
    <w:p w:rsidR="00285469" w:rsidRDefault="00285469">
      <w:pPr>
        <w:spacing w:line="360" w:lineRule="auto"/>
        <w:rPr>
          <w:rFonts w:ascii="宋体" w:cs="Times New Roman"/>
          <w:sz w:val="24"/>
          <w:szCs w:val="24"/>
        </w:rPr>
      </w:pPr>
      <w:r>
        <w:rPr>
          <w:rFonts w:ascii="Arial" w:eastAsia="楷体_GB2312" w:hAnsi="Arial" w:cs="楷体_GB2312" w:hint="eastAsia"/>
          <w:i/>
          <w:iCs/>
          <w:sz w:val="20"/>
          <w:szCs w:val="20"/>
        </w:rPr>
        <w:t>数据来源：东方财富</w:t>
      </w:r>
      <w:r>
        <w:rPr>
          <w:rFonts w:ascii="Arial" w:eastAsia="楷体_GB2312" w:hAnsi="Arial" w:cs="Arial"/>
          <w:i/>
          <w:iCs/>
          <w:sz w:val="20"/>
          <w:szCs w:val="20"/>
        </w:rPr>
        <w:t>Choice</w:t>
      </w:r>
      <w:r>
        <w:rPr>
          <w:rFonts w:ascii="Arial" w:eastAsia="楷体_GB2312" w:hAnsi="Arial" w:cs="楷体_GB2312" w:hint="eastAsia"/>
          <w:i/>
          <w:iCs/>
          <w:sz w:val="20"/>
          <w:szCs w:val="20"/>
        </w:rPr>
        <w:t>终端、天天基金研究中心</w:t>
      </w:r>
    </w:p>
    <w:p w:rsidR="00285469" w:rsidRDefault="00D42DBB" w:rsidP="00D42DBB">
      <w:pPr>
        <w:spacing w:line="360" w:lineRule="auto"/>
        <w:ind w:firstLineChars="200" w:firstLine="480"/>
        <w:rPr>
          <w:rFonts w:ascii="宋体" w:cs="Times New Roman"/>
          <w:sz w:val="24"/>
          <w:szCs w:val="24"/>
        </w:rPr>
      </w:pPr>
      <w:r w:rsidRPr="00D42DBB">
        <w:rPr>
          <w:rFonts w:ascii="宋体" w:hAnsi="宋体" w:cs="宋体" w:hint="eastAsia"/>
          <w:sz w:val="24"/>
          <w:szCs w:val="24"/>
        </w:rPr>
        <w:t>截至2014-12-31，景顺长城优质成长 的基金机构持有0.00亿份，占总份额的0.00%，个人投资者持有1.21亿份，占总份额的100.00%</w:t>
      </w:r>
      <w:r w:rsidR="00285469">
        <w:rPr>
          <w:rFonts w:ascii="宋体" w:hAnsi="宋体" w:cs="宋体" w:hint="eastAsia"/>
          <w:sz w:val="24"/>
          <w:szCs w:val="24"/>
        </w:rPr>
        <w:t>。</w:t>
      </w:r>
    </w:p>
    <w:p w:rsidR="00285469" w:rsidRDefault="00285469">
      <w:pPr>
        <w:spacing w:line="360" w:lineRule="auto"/>
        <w:rPr>
          <w:rFonts w:ascii="楷体" w:eastAsia="楷体" w:hAnsi="楷体" w:cs="Times New Roman"/>
          <w:b/>
          <w:bCs/>
          <w:color w:val="000000"/>
          <w:kern w:val="0"/>
        </w:rPr>
      </w:pPr>
      <w:r>
        <w:rPr>
          <w:rFonts w:ascii="楷体" w:eastAsia="楷体" w:hAnsi="楷体" w:cs="楷体" w:hint="eastAsia"/>
          <w:b/>
          <w:bCs/>
          <w:color w:val="000000"/>
          <w:kern w:val="0"/>
        </w:rPr>
        <w:t>图</w:t>
      </w:r>
      <w:r>
        <w:rPr>
          <w:rFonts w:ascii="楷体" w:eastAsia="楷体" w:hAnsi="楷体" w:cs="楷体"/>
          <w:b/>
          <w:bCs/>
          <w:color w:val="000000"/>
          <w:kern w:val="0"/>
        </w:rPr>
        <w:t>5</w:t>
      </w:r>
      <w:r>
        <w:rPr>
          <w:rFonts w:ascii="楷体" w:eastAsia="楷体" w:hAnsi="楷体" w:cs="楷体" w:hint="eastAsia"/>
          <w:b/>
          <w:bCs/>
          <w:color w:val="000000"/>
          <w:kern w:val="0"/>
        </w:rPr>
        <w:t>：持有人结构</w:t>
      </w:r>
    </w:p>
    <w:p w:rsidR="00285469" w:rsidRDefault="00BD7303">
      <w:pPr>
        <w:pBdr>
          <w:top w:val="single" w:sz="6" w:space="1" w:color="auto"/>
          <w:bottom w:val="single" w:sz="6" w:space="1" w:color="auto"/>
        </w:pBdr>
        <w:spacing w:line="360" w:lineRule="auto"/>
        <w:jc w:val="center"/>
        <w:rPr>
          <w:rFonts w:cs="Times New Roman"/>
          <w:b/>
          <w:bCs/>
          <w:sz w:val="24"/>
          <w:szCs w:val="24"/>
        </w:rPr>
      </w:pPr>
      <w:r>
        <w:rPr>
          <w:rFonts w:cs="Times New Roman"/>
          <w:b/>
          <w:bCs/>
          <w:noProof/>
          <w:sz w:val="24"/>
          <w:szCs w:val="24"/>
        </w:rPr>
        <w:lastRenderedPageBreak/>
        <w:drawing>
          <wp:inline distT="0" distB="0" distL="0" distR="0">
            <wp:extent cx="6188710" cy="2714157"/>
            <wp:effectExtent l="1905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srcRect/>
                    <a:stretch>
                      <a:fillRect/>
                    </a:stretch>
                  </pic:blipFill>
                  <pic:spPr bwMode="auto">
                    <a:xfrm>
                      <a:off x="0" y="0"/>
                      <a:ext cx="6188710" cy="2714157"/>
                    </a:xfrm>
                    <a:prstGeom prst="rect">
                      <a:avLst/>
                    </a:prstGeom>
                    <a:noFill/>
                    <a:ln w="9525">
                      <a:noFill/>
                      <a:miter lim="800000"/>
                      <a:headEnd/>
                      <a:tailEnd/>
                    </a:ln>
                  </pic:spPr>
                </pic:pic>
              </a:graphicData>
            </a:graphic>
          </wp:inline>
        </w:drawing>
      </w:r>
    </w:p>
    <w:p w:rsidR="00285469" w:rsidRDefault="00285469">
      <w:pPr>
        <w:spacing w:line="360" w:lineRule="auto"/>
        <w:rPr>
          <w:rFonts w:ascii="Arial" w:eastAsia="楷体_GB2312" w:hAnsi="Arial" w:cs="Times New Roman"/>
          <w:i/>
          <w:iCs/>
          <w:sz w:val="20"/>
          <w:szCs w:val="20"/>
        </w:rPr>
      </w:pPr>
      <w:r>
        <w:rPr>
          <w:rFonts w:ascii="Arial" w:eastAsia="楷体_GB2312" w:hAnsi="Arial" w:cs="楷体_GB2312" w:hint="eastAsia"/>
          <w:i/>
          <w:iCs/>
          <w:sz w:val="20"/>
          <w:szCs w:val="20"/>
        </w:rPr>
        <w:t>数据来源：东方财富</w:t>
      </w:r>
      <w:r>
        <w:rPr>
          <w:rFonts w:ascii="Arial" w:eastAsia="楷体_GB2312" w:hAnsi="Arial" w:cs="Arial"/>
          <w:i/>
          <w:iCs/>
          <w:sz w:val="20"/>
          <w:szCs w:val="20"/>
        </w:rPr>
        <w:t>Choice</w:t>
      </w:r>
      <w:r>
        <w:rPr>
          <w:rFonts w:ascii="Arial" w:eastAsia="楷体_GB2312" w:hAnsi="Arial" w:cs="楷体_GB2312" w:hint="eastAsia"/>
          <w:i/>
          <w:iCs/>
          <w:sz w:val="20"/>
          <w:szCs w:val="20"/>
        </w:rPr>
        <w:t>终端、天天基金研究中心</w:t>
      </w:r>
    </w:p>
    <w:p w:rsidR="00E07878" w:rsidRDefault="00D42DBB" w:rsidP="00D42DBB">
      <w:pPr>
        <w:spacing w:line="360" w:lineRule="auto"/>
        <w:ind w:firstLineChars="200" w:firstLine="480"/>
        <w:rPr>
          <w:rFonts w:asciiTheme="minorEastAsia" w:eastAsiaTheme="minorEastAsia" w:hAnsiTheme="minorEastAsia" w:cs="楷体"/>
          <w:bCs/>
          <w:color w:val="000000"/>
          <w:kern w:val="0"/>
          <w:sz w:val="24"/>
          <w:szCs w:val="24"/>
        </w:rPr>
      </w:pPr>
      <w:r w:rsidRPr="00D42DBB">
        <w:rPr>
          <w:rFonts w:asciiTheme="minorEastAsia" w:eastAsiaTheme="minorEastAsia" w:hAnsiTheme="minorEastAsia" w:cs="楷体" w:hint="eastAsia"/>
          <w:bCs/>
          <w:color w:val="000000"/>
          <w:kern w:val="0"/>
          <w:sz w:val="24"/>
          <w:szCs w:val="24"/>
        </w:rPr>
        <w:t>截至2015-06-30，景顺长城优质成长 净资产规模1.23亿元，比上一期（2015-03-31）增加了23.77%，股票配置占比上期减少9.35%</w:t>
      </w:r>
      <w:r w:rsidR="00E07878">
        <w:rPr>
          <w:rFonts w:asciiTheme="minorEastAsia" w:eastAsiaTheme="minorEastAsia" w:hAnsiTheme="minorEastAsia" w:cs="楷体" w:hint="eastAsia"/>
          <w:bCs/>
          <w:color w:val="000000"/>
          <w:kern w:val="0"/>
          <w:sz w:val="24"/>
          <w:szCs w:val="24"/>
        </w:rPr>
        <w:t>。</w:t>
      </w:r>
    </w:p>
    <w:p w:rsidR="00285469" w:rsidRDefault="00285469">
      <w:pPr>
        <w:spacing w:line="360" w:lineRule="auto"/>
        <w:rPr>
          <w:rFonts w:ascii="楷体" w:eastAsia="楷体" w:hAnsi="楷体" w:cs="Times New Roman"/>
          <w:b/>
          <w:bCs/>
          <w:color w:val="000000"/>
          <w:kern w:val="0"/>
        </w:rPr>
      </w:pPr>
      <w:r>
        <w:rPr>
          <w:rFonts w:ascii="楷体" w:eastAsia="楷体" w:hAnsi="楷体" w:cs="楷体" w:hint="eastAsia"/>
          <w:b/>
          <w:bCs/>
          <w:color w:val="000000"/>
          <w:kern w:val="0"/>
        </w:rPr>
        <w:t>图</w:t>
      </w:r>
      <w:r>
        <w:rPr>
          <w:rFonts w:ascii="楷体" w:eastAsia="楷体" w:hAnsi="楷体" w:cs="楷体"/>
          <w:b/>
          <w:bCs/>
          <w:color w:val="000000"/>
          <w:kern w:val="0"/>
        </w:rPr>
        <w:t>6</w:t>
      </w:r>
      <w:r>
        <w:rPr>
          <w:rFonts w:ascii="楷体" w:eastAsia="楷体" w:hAnsi="楷体" w:cs="楷体" w:hint="eastAsia"/>
          <w:b/>
          <w:bCs/>
          <w:color w:val="000000"/>
          <w:kern w:val="0"/>
        </w:rPr>
        <w:t>：资产配置</w:t>
      </w:r>
    </w:p>
    <w:p w:rsidR="00285469" w:rsidRDefault="00BD7303">
      <w:pPr>
        <w:pBdr>
          <w:top w:val="single" w:sz="6" w:space="1" w:color="auto"/>
          <w:bottom w:val="single" w:sz="6" w:space="1" w:color="auto"/>
        </w:pBdr>
        <w:spacing w:line="360" w:lineRule="auto"/>
        <w:jc w:val="center"/>
        <w:rPr>
          <w:rFonts w:cs="Times New Roman"/>
          <w:b/>
          <w:bCs/>
          <w:sz w:val="24"/>
          <w:szCs w:val="24"/>
        </w:rPr>
      </w:pPr>
      <w:r>
        <w:rPr>
          <w:rFonts w:cs="Times New Roman"/>
          <w:b/>
          <w:bCs/>
          <w:noProof/>
          <w:sz w:val="24"/>
          <w:szCs w:val="24"/>
        </w:rPr>
        <w:drawing>
          <wp:inline distT="0" distB="0" distL="0" distR="0">
            <wp:extent cx="6188710" cy="2589463"/>
            <wp:effectExtent l="1905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srcRect/>
                    <a:stretch>
                      <a:fillRect/>
                    </a:stretch>
                  </pic:blipFill>
                  <pic:spPr bwMode="auto">
                    <a:xfrm>
                      <a:off x="0" y="0"/>
                      <a:ext cx="6188710" cy="2589463"/>
                    </a:xfrm>
                    <a:prstGeom prst="rect">
                      <a:avLst/>
                    </a:prstGeom>
                    <a:noFill/>
                    <a:ln w="9525">
                      <a:noFill/>
                      <a:miter lim="800000"/>
                      <a:headEnd/>
                      <a:tailEnd/>
                    </a:ln>
                  </pic:spPr>
                </pic:pic>
              </a:graphicData>
            </a:graphic>
          </wp:inline>
        </w:drawing>
      </w:r>
    </w:p>
    <w:p w:rsidR="005B5420" w:rsidRDefault="005B5420">
      <w:pPr>
        <w:spacing w:line="360" w:lineRule="auto"/>
        <w:rPr>
          <w:rFonts w:ascii="楷体" w:eastAsia="楷体" w:hAnsi="楷体" w:cs="Times New Roman"/>
          <w:b/>
          <w:bCs/>
          <w:color w:val="000000"/>
          <w:kern w:val="0"/>
        </w:rPr>
      </w:pPr>
    </w:p>
    <w:p w:rsidR="00285469" w:rsidRDefault="00285469">
      <w:pPr>
        <w:numPr>
          <w:ilvl w:val="0"/>
          <w:numId w:val="2"/>
        </w:numPr>
        <w:spacing w:line="360" w:lineRule="auto"/>
        <w:rPr>
          <w:rFonts w:cs="Times New Roman"/>
        </w:rPr>
      </w:pPr>
      <w:r>
        <w:rPr>
          <w:rFonts w:cs="宋体" w:hint="eastAsia"/>
          <w:b/>
          <w:bCs/>
          <w:sz w:val="24"/>
          <w:szCs w:val="24"/>
        </w:rPr>
        <w:t>基金经理分析</w:t>
      </w:r>
    </w:p>
    <w:p w:rsidR="00285469" w:rsidRDefault="00BD7303">
      <w:pPr>
        <w:spacing w:line="360" w:lineRule="auto"/>
        <w:rPr>
          <w:rFonts w:cs="Times New Roman" w:hint="eastAsia"/>
        </w:rPr>
      </w:pPr>
      <w:r>
        <w:rPr>
          <w:rFonts w:cs="Times New Roman"/>
          <w:noProof/>
        </w:rPr>
        <w:lastRenderedPageBreak/>
        <w:drawing>
          <wp:inline distT="0" distB="0" distL="0" distR="0">
            <wp:extent cx="6188710" cy="3081390"/>
            <wp:effectExtent l="19050" t="0" r="2540" b="0"/>
            <wp:docPr id="1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srcRect/>
                    <a:stretch>
                      <a:fillRect/>
                    </a:stretch>
                  </pic:blipFill>
                  <pic:spPr bwMode="auto">
                    <a:xfrm>
                      <a:off x="0" y="0"/>
                      <a:ext cx="6188710" cy="3081390"/>
                    </a:xfrm>
                    <a:prstGeom prst="rect">
                      <a:avLst/>
                    </a:prstGeom>
                    <a:noFill/>
                    <a:ln w="9525">
                      <a:noFill/>
                      <a:miter lim="800000"/>
                      <a:headEnd/>
                      <a:tailEnd/>
                    </a:ln>
                  </pic:spPr>
                </pic:pic>
              </a:graphicData>
            </a:graphic>
          </wp:inline>
        </w:drawing>
      </w:r>
    </w:p>
    <w:p w:rsidR="00D42DBB" w:rsidRDefault="00D42DBB">
      <w:pPr>
        <w:spacing w:line="360" w:lineRule="auto"/>
        <w:rPr>
          <w:rFonts w:cs="Times New Roman"/>
        </w:rPr>
      </w:pPr>
      <w:r>
        <w:rPr>
          <w:rFonts w:cs="Times New Roman"/>
          <w:noProof/>
        </w:rPr>
        <w:drawing>
          <wp:inline distT="0" distB="0" distL="0" distR="0">
            <wp:extent cx="6188710" cy="1920107"/>
            <wp:effectExtent l="1905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srcRect/>
                    <a:stretch>
                      <a:fillRect/>
                    </a:stretch>
                  </pic:blipFill>
                  <pic:spPr bwMode="auto">
                    <a:xfrm>
                      <a:off x="0" y="0"/>
                      <a:ext cx="6188710" cy="1920107"/>
                    </a:xfrm>
                    <a:prstGeom prst="rect">
                      <a:avLst/>
                    </a:prstGeom>
                    <a:noFill/>
                    <a:ln w="9525">
                      <a:noFill/>
                      <a:miter lim="800000"/>
                      <a:headEnd/>
                      <a:tailEnd/>
                    </a:ln>
                  </pic:spPr>
                </pic:pic>
              </a:graphicData>
            </a:graphic>
          </wp:inline>
        </w:drawing>
      </w:r>
    </w:p>
    <w:p w:rsidR="00285469" w:rsidRDefault="004F275F" w:rsidP="006C3670">
      <w:pPr>
        <w:spacing w:line="360" w:lineRule="auto"/>
        <w:ind w:rightChars="-13" w:right="-27"/>
        <w:rPr>
          <w:rFonts w:ascii="宋体" w:cs="Times New Roman"/>
          <w:color w:val="F13E00"/>
        </w:rPr>
      </w:pPr>
      <w:r>
        <w:rPr>
          <w:rFonts w:ascii="楷体" w:eastAsia="楷体" w:hAnsi="楷体" w:cs="楷体" w:hint="eastAsia"/>
          <w:b/>
          <w:bCs/>
          <w:color w:val="000000"/>
          <w:kern w:val="0"/>
        </w:rPr>
        <w:t xml:space="preserve">  </w:t>
      </w:r>
      <w:r w:rsidR="00285469">
        <w:rPr>
          <w:rFonts w:ascii="宋体" w:hAnsi="宋体" w:cs="宋体" w:hint="eastAsia"/>
          <w:b/>
          <w:bCs/>
          <w:color w:val="F13E00"/>
        </w:rPr>
        <w:t>免责声明：</w:t>
      </w:r>
    </w:p>
    <w:p w:rsidR="00285469" w:rsidRDefault="00285469" w:rsidP="00850B99">
      <w:pPr>
        <w:spacing w:line="360" w:lineRule="auto"/>
        <w:ind w:rightChars="-13" w:right="-27" w:firstLineChars="200" w:firstLine="420"/>
        <w:rPr>
          <w:rFonts w:ascii="宋体" w:cs="Times New Roman"/>
          <w:color w:val="000000"/>
          <w:kern w:val="0"/>
        </w:rPr>
      </w:pPr>
      <w:r>
        <w:rPr>
          <w:rFonts w:ascii="宋体" w:hAnsi="宋体" w:cs="宋体" w:hint="eastAsia"/>
          <w:color w:val="000000"/>
          <w:kern w:val="0"/>
        </w:rPr>
        <w:t>本报告是天天基金网基于公开信息研究发布，不构成投资建议。投资者据此操作，风险自担。市场有风险，投资需谨慎。</w:t>
      </w:r>
    </w:p>
    <w:sectPr w:rsidR="00285469" w:rsidSect="007812F8">
      <w:type w:val="continuous"/>
      <w:pgSz w:w="11906" w:h="16838"/>
      <w:pgMar w:top="1440" w:right="1080" w:bottom="1440" w:left="1080" w:header="851" w:footer="992" w:gutter="0"/>
      <w:cols w:space="720"/>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3917" w:rsidRDefault="00E93917" w:rsidP="007812F8">
      <w:pPr>
        <w:rPr>
          <w:rFonts w:cs="Times New Roman"/>
        </w:rPr>
      </w:pPr>
      <w:r>
        <w:rPr>
          <w:rFonts w:cs="Times New Roman"/>
        </w:rPr>
        <w:separator/>
      </w:r>
    </w:p>
  </w:endnote>
  <w:endnote w:type="continuationSeparator" w:id="1">
    <w:p w:rsidR="00E93917" w:rsidRDefault="00E93917" w:rsidP="007812F8">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auto"/>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469" w:rsidRDefault="00285469">
    <w:pPr>
      <w:pStyle w:val="a5"/>
      <w:pBdr>
        <w:bottom w:val="single" w:sz="6" w:space="1" w:color="auto"/>
      </w:pBdr>
      <w:jc w:val="right"/>
      <w:rPr>
        <w:rFonts w:ascii="微软雅黑" w:eastAsia="微软雅黑" w:hAnsi="微软雅黑" w:cs="Times New Roman"/>
        <w:b/>
        <w:bCs/>
        <w:color w:val="7F7F7F"/>
      </w:rPr>
    </w:pPr>
  </w:p>
  <w:p w:rsidR="00285469" w:rsidRDefault="00285469">
    <w:pPr>
      <w:pStyle w:val="a5"/>
      <w:rPr>
        <w:rFonts w:cs="Times New Roman"/>
      </w:rPr>
    </w:pPr>
    <w:r>
      <w:rPr>
        <w:rFonts w:ascii="微软雅黑" w:eastAsia="微软雅黑" w:hAnsi="微软雅黑" w:cs="微软雅黑" w:hint="eastAsia"/>
        <w:b/>
        <w:bCs/>
        <w:color w:val="7F7F7F"/>
      </w:rPr>
      <w:t>请务必阅读正文最后的天天基金网免责声明</w:t>
    </w:r>
    <w:fldSimple w:instr=" PAGE   \* MERGEFORMAT ">
      <w:r w:rsidR="00B35C7F" w:rsidRPr="00B35C7F">
        <w:rPr>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3917" w:rsidRDefault="00E93917" w:rsidP="007812F8">
      <w:pPr>
        <w:rPr>
          <w:rFonts w:cs="Times New Roman"/>
        </w:rPr>
      </w:pPr>
      <w:r>
        <w:rPr>
          <w:rFonts w:cs="Times New Roman"/>
        </w:rPr>
        <w:separator/>
      </w:r>
    </w:p>
  </w:footnote>
  <w:footnote w:type="continuationSeparator" w:id="1">
    <w:p w:rsidR="00E93917" w:rsidRDefault="00E93917" w:rsidP="007812F8">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469" w:rsidRDefault="00285469">
    <w:pPr>
      <w:pStyle w:val="a6"/>
      <w:wordWrap w:val="0"/>
      <w:ind w:right="320"/>
      <w:jc w:val="both"/>
      <w:rPr>
        <w:rFonts w:cs="Times New Roman"/>
      </w:rPr>
    </w:pPr>
    <w:r>
      <w:rPr>
        <w:rFonts w:ascii="楷体" w:eastAsia="楷体" w:hAnsi="楷体" w:cs="楷体" w:hint="eastAsia"/>
        <w:sz w:val="28"/>
        <w:szCs w:val="28"/>
      </w:rPr>
      <w:t>新基金点评报告</w:t>
    </w:r>
    <w:r w:rsidRPr="007812F8">
      <w:rPr>
        <w:rFonts w:ascii="宋体" w:cs="Times New Roman"/>
        <w:sz w:val="16"/>
        <w:szCs w:val="16"/>
        <w:lang w:val="zh-CN"/>
      </w:rPr>
      <w:object w:dxaOrig="3450"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72.65pt;height:20.05pt" o:ole="">
          <v:imagedata r:id="rId1" o:title=""/>
        </v:shape>
        <o:OLEObject Type="Embed" ProgID="Picture.PicObj.1" ShapeID="Picture 1" DrawAspect="Content" ObjectID="_1502284097" r:id="rId2"/>
      </w:obje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67C230"/>
    <w:multiLevelType w:val="singleLevel"/>
    <w:tmpl w:val="5567C230"/>
    <w:lvl w:ilvl="0">
      <w:start w:val="2"/>
      <w:numFmt w:val="decimal"/>
      <w:suff w:val="nothing"/>
      <w:lvlText w:val="%1、"/>
      <w:lvlJc w:val="left"/>
    </w:lvl>
  </w:abstractNum>
  <w:abstractNum w:abstractNumId="1">
    <w:nsid w:val="6B5E3E02"/>
    <w:multiLevelType w:val="multilevel"/>
    <w:tmpl w:val="6B5E3E02"/>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3C0E"/>
    <w:rsid w:val="00001AF8"/>
    <w:rsid w:val="0001389E"/>
    <w:rsid w:val="000146C9"/>
    <w:rsid w:val="000155D2"/>
    <w:rsid w:val="000159A0"/>
    <w:rsid w:val="00016297"/>
    <w:rsid w:val="0002087E"/>
    <w:rsid w:val="000237D8"/>
    <w:rsid w:val="00030BA8"/>
    <w:rsid w:val="0003177F"/>
    <w:rsid w:val="00032069"/>
    <w:rsid w:val="000323CC"/>
    <w:rsid w:val="00033095"/>
    <w:rsid w:val="00035544"/>
    <w:rsid w:val="00040FE8"/>
    <w:rsid w:val="00041BDC"/>
    <w:rsid w:val="000427B2"/>
    <w:rsid w:val="00045132"/>
    <w:rsid w:val="000468CF"/>
    <w:rsid w:val="000514F4"/>
    <w:rsid w:val="00051F57"/>
    <w:rsid w:val="0005460F"/>
    <w:rsid w:val="0005469A"/>
    <w:rsid w:val="00056FBE"/>
    <w:rsid w:val="00061160"/>
    <w:rsid w:val="00064C90"/>
    <w:rsid w:val="00064E2B"/>
    <w:rsid w:val="00065CBB"/>
    <w:rsid w:val="0006614F"/>
    <w:rsid w:val="00067FC2"/>
    <w:rsid w:val="00072549"/>
    <w:rsid w:val="00076926"/>
    <w:rsid w:val="00083052"/>
    <w:rsid w:val="00083A31"/>
    <w:rsid w:val="00083D73"/>
    <w:rsid w:val="00090508"/>
    <w:rsid w:val="000907D5"/>
    <w:rsid w:val="00091EC3"/>
    <w:rsid w:val="00092534"/>
    <w:rsid w:val="00093C0E"/>
    <w:rsid w:val="000A136E"/>
    <w:rsid w:val="000A36F7"/>
    <w:rsid w:val="000B2BBA"/>
    <w:rsid w:val="000B41DC"/>
    <w:rsid w:val="000B5298"/>
    <w:rsid w:val="000B620C"/>
    <w:rsid w:val="000B64B0"/>
    <w:rsid w:val="000B79EF"/>
    <w:rsid w:val="000B7AE3"/>
    <w:rsid w:val="000C3016"/>
    <w:rsid w:val="000C64C2"/>
    <w:rsid w:val="000D40B3"/>
    <w:rsid w:val="000D4A17"/>
    <w:rsid w:val="000D6CEA"/>
    <w:rsid w:val="000E251B"/>
    <w:rsid w:val="000E3713"/>
    <w:rsid w:val="000F12A9"/>
    <w:rsid w:val="000F3F1C"/>
    <w:rsid w:val="000F6E18"/>
    <w:rsid w:val="00100414"/>
    <w:rsid w:val="00102FBB"/>
    <w:rsid w:val="0010626B"/>
    <w:rsid w:val="001065CC"/>
    <w:rsid w:val="0010740A"/>
    <w:rsid w:val="00107C5B"/>
    <w:rsid w:val="0011086E"/>
    <w:rsid w:val="00110E1D"/>
    <w:rsid w:val="0011439A"/>
    <w:rsid w:val="0011595F"/>
    <w:rsid w:val="00120B14"/>
    <w:rsid w:val="00121484"/>
    <w:rsid w:val="00121FF1"/>
    <w:rsid w:val="0012203E"/>
    <w:rsid w:val="001243D1"/>
    <w:rsid w:val="0013301D"/>
    <w:rsid w:val="00134FBB"/>
    <w:rsid w:val="0013637D"/>
    <w:rsid w:val="00136806"/>
    <w:rsid w:val="00140EDC"/>
    <w:rsid w:val="001428E9"/>
    <w:rsid w:val="00142F73"/>
    <w:rsid w:val="001473BA"/>
    <w:rsid w:val="00151313"/>
    <w:rsid w:val="00152998"/>
    <w:rsid w:val="001600ED"/>
    <w:rsid w:val="00160DF7"/>
    <w:rsid w:val="00161B2E"/>
    <w:rsid w:val="001638C2"/>
    <w:rsid w:val="00171BE8"/>
    <w:rsid w:val="001738D3"/>
    <w:rsid w:val="001819E9"/>
    <w:rsid w:val="00184B5B"/>
    <w:rsid w:val="001858B5"/>
    <w:rsid w:val="00185EC3"/>
    <w:rsid w:val="001879F0"/>
    <w:rsid w:val="0019098B"/>
    <w:rsid w:val="00191688"/>
    <w:rsid w:val="00192CDC"/>
    <w:rsid w:val="00193367"/>
    <w:rsid w:val="001935B2"/>
    <w:rsid w:val="001943E6"/>
    <w:rsid w:val="001975A5"/>
    <w:rsid w:val="00197BCF"/>
    <w:rsid w:val="001A00A0"/>
    <w:rsid w:val="001A4B38"/>
    <w:rsid w:val="001A79A6"/>
    <w:rsid w:val="001B0D55"/>
    <w:rsid w:val="001B3079"/>
    <w:rsid w:val="001B3931"/>
    <w:rsid w:val="001B600F"/>
    <w:rsid w:val="001B6A74"/>
    <w:rsid w:val="001C3E67"/>
    <w:rsid w:val="001C63DE"/>
    <w:rsid w:val="001C6A4E"/>
    <w:rsid w:val="001D5336"/>
    <w:rsid w:val="001D5441"/>
    <w:rsid w:val="001D7CFB"/>
    <w:rsid w:val="001E3C2E"/>
    <w:rsid w:val="001E4D69"/>
    <w:rsid w:val="001E583A"/>
    <w:rsid w:val="001E6BEE"/>
    <w:rsid w:val="001F6453"/>
    <w:rsid w:val="001F688A"/>
    <w:rsid w:val="001F6928"/>
    <w:rsid w:val="001F6E66"/>
    <w:rsid w:val="00200D0F"/>
    <w:rsid w:val="00206883"/>
    <w:rsid w:val="00216815"/>
    <w:rsid w:val="0021750C"/>
    <w:rsid w:val="002219C4"/>
    <w:rsid w:val="002222CE"/>
    <w:rsid w:val="002238BE"/>
    <w:rsid w:val="002256F6"/>
    <w:rsid w:val="002352DC"/>
    <w:rsid w:val="002354D0"/>
    <w:rsid w:val="00245E3A"/>
    <w:rsid w:val="002527C2"/>
    <w:rsid w:val="00252C83"/>
    <w:rsid w:val="00252F7A"/>
    <w:rsid w:val="002533B1"/>
    <w:rsid w:val="00254291"/>
    <w:rsid w:val="002546C0"/>
    <w:rsid w:val="0026002F"/>
    <w:rsid w:val="00260414"/>
    <w:rsid w:val="00264A9E"/>
    <w:rsid w:val="00264ED5"/>
    <w:rsid w:val="00265A1D"/>
    <w:rsid w:val="0026788C"/>
    <w:rsid w:val="00271AF0"/>
    <w:rsid w:val="00271C91"/>
    <w:rsid w:val="002728D9"/>
    <w:rsid w:val="00273DFA"/>
    <w:rsid w:val="002764CA"/>
    <w:rsid w:val="0028106C"/>
    <w:rsid w:val="002814BB"/>
    <w:rsid w:val="002827C2"/>
    <w:rsid w:val="00285469"/>
    <w:rsid w:val="00285815"/>
    <w:rsid w:val="00287283"/>
    <w:rsid w:val="00290343"/>
    <w:rsid w:val="00291BE3"/>
    <w:rsid w:val="00292CE3"/>
    <w:rsid w:val="00297586"/>
    <w:rsid w:val="002A0F4B"/>
    <w:rsid w:val="002A106F"/>
    <w:rsid w:val="002A18E7"/>
    <w:rsid w:val="002A1CB2"/>
    <w:rsid w:val="002A2F88"/>
    <w:rsid w:val="002A46DF"/>
    <w:rsid w:val="002A5BEE"/>
    <w:rsid w:val="002A5C33"/>
    <w:rsid w:val="002A5E2A"/>
    <w:rsid w:val="002B5DFF"/>
    <w:rsid w:val="002B61BE"/>
    <w:rsid w:val="002B7A29"/>
    <w:rsid w:val="002B7C88"/>
    <w:rsid w:val="002C0DC1"/>
    <w:rsid w:val="002C1DCF"/>
    <w:rsid w:val="002C4675"/>
    <w:rsid w:val="002C57E4"/>
    <w:rsid w:val="002C5B51"/>
    <w:rsid w:val="002C6747"/>
    <w:rsid w:val="002C678E"/>
    <w:rsid w:val="002D3467"/>
    <w:rsid w:val="002D39EA"/>
    <w:rsid w:val="002D41F9"/>
    <w:rsid w:val="002D4616"/>
    <w:rsid w:val="002D4ADE"/>
    <w:rsid w:val="002E1279"/>
    <w:rsid w:val="002E18C9"/>
    <w:rsid w:val="002E5278"/>
    <w:rsid w:val="002E5D81"/>
    <w:rsid w:val="002E7694"/>
    <w:rsid w:val="002F1CA5"/>
    <w:rsid w:val="002F1D08"/>
    <w:rsid w:val="002F3778"/>
    <w:rsid w:val="002F4DE0"/>
    <w:rsid w:val="00300A9C"/>
    <w:rsid w:val="0030340D"/>
    <w:rsid w:val="003038B4"/>
    <w:rsid w:val="003047E9"/>
    <w:rsid w:val="0030497A"/>
    <w:rsid w:val="00305847"/>
    <w:rsid w:val="00306D95"/>
    <w:rsid w:val="003071E8"/>
    <w:rsid w:val="00307955"/>
    <w:rsid w:val="00313C23"/>
    <w:rsid w:val="0031603F"/>
    <w:rsid w:val="00316217"/>
    <w:rsid w:val="00317E7F"/>
    <w:rsid w:val="003252E3"/>
    <w:rsid w:val="0032581A"/>
    <w:rsid w:val="00325BED"/>
    <w:rsid w:val="00333B34"/>
    <w:rsid w:val="0033435E"/>
    <w:rsid w:val="00336CA5"/>
    <w:rsid w:val="003406A8"/>
    <w:rsid w:val="00340EFE"/>
    <w:rsid w:val="003464A0"/>
    <w:rsid w:val="00351BC9"/>
    <w:rsid w:val="003526C3"/>
    <w:rsid w:val="0035352D"/>
    <w:rsid w:val="003537B6"/>
    <w:rsid w:val="00354D03"/>
    <w:rsid w:val="00356F89"/>
    <w:rsid w:val="0036177D"/>
    <w:rsid w:val="003624D3"/>
    <w:rsid w:val="003633A9"/>
    <w:rsid w:val="00366184"/>
    <w:rsid w:val="0036746A"/>
    <w:rsid w:val="00374B14"/>
    <w:rsid w:val="003923DF"/>
    <w:rsid w:val="003926F3"/>
    <w:rsid w:val="00392985"/>
    <w:rsid w:val="003931CB"/>
    <w:rsid w:val="00393C01"/>
    <w:rsid w:val="0039566B"/>
    <w:rsid w:val="00395B31"/>
    <w:rsid w:val="00396E7E"/>
    <w:rsid w:val="003A332F"/>
    <w:rsid w:val="003A33AB"/>
    <w:rsid w:val="003A4668"/>
    <w:rsid w:val="003B0D0C"/>
    <w:rsid w:val="003C198F"/>
    <w:rsid w:val="003C3A10"/>
    <w:rsid w:val="003C6FD2"/>
    <w:rsid w:val="003C738C"/>
    <w:rsid w:val="003D12F4"/>
    <w:rsid w:val="003D398F"/>
    <w:rsid w:val="003D4A35"/>
    <w:rsid w:val="003D70F8"/>
    <w:rsid w:val="003D7E27"/>
    <w:rsid w:val="003E1C06"/>
    <w:rsid w:val="003E48A4"/>
    <w:rsid w:val="003E55DA"/>
    <w:rsid w:val="003E5C59"/>
    <w:rsid w:val="003F12F3"/>
    <w:rsid w:val="003F50C9"/>
    <w:rsid w:val="003F5935"/>
    <w:rsid w:val="00406B58"/>
    <w:rsid w:val="0041085F"/>
    <w:rsid w:val="0041258F"/>
    <w:rsid w:val="00415D31"/>
    <w:rsid w:val="004173AA"/>
    <w:rsid w:val="00422CED"/>
    <w:rsid w:val="0042303A"/>
    <w:rsid w:val="004252C0"/>
    <w:rsid w:val="004311D4"/>
    <w:rsid w:val="0043221A"/>
    <w:rsid w:val="00433548"/>
    <w:rsid w:val="004341AB"/>
    <w:rsid w:val="00434635"/>
    <w:rsid w:val="00435829"/>
    <w:rsid w:val="00436C81"/>
    <w:rsid w:val="00437923"/>
    <w:rsid w:val="00446DA2"/>
    <w:rsid w:val="00450888"/>
    <w:rsid w:val="00453F7F"/>
    <w:rsid w:val="0045525A"/>
    <w:rsid w:val="00456899"/>
    <w:rsid w:val="00460C61"/>
    <w:rsid w:val="004626B1"/>
    <w:rsid w:val="0046585C"/>
    <w:rsid w:val="00466AEC"/>
    <w:rsid w:val="00467F38"/>
    <w:rsid w:val="004701E1"/>
    <w:rsid w:val="00470292"/>
    <w:rsid w:val="004711BA"/>
    <w:rsid w:val="00471374"/>
    <w:rsid w:val="004713DA"/>
    <w:rsid w:val="00474183"/>
    <w:rsid w:val="00475C9F"/>
    <w:rsid w:val="00476217"/>
    <w:rsid w:val="0047643B"/>
    <w:rsid w:val="004840D2"/>
    <w:rsid w:val="00484E54"/>
    <w:rsid w:val="004868E0"/>
    <w:rsid w:val="00487AB4"/>
    <w:rsid w:val="00490C6C"/>
    <w:rsid w:val="004952DD"/>
    <w:rsid w:val="004956DD"/>
    <w:rsid w:val="00496E1B"/>
    <w:rsid w:val="004972ED"/>
    <w:rsid w:val="00497559"/>
    <w:rsid w:val="004A122E"/>
    <w:rsid w:val="004A1BBB"/>
    <w:rsid w:val="004A1E19"/>
    <w:rsid w:val="004A3D06"/>
    <w:rsid w:val="004A5149"/>
    <w:rsid w:val="004A5C66"/>
    <w:rsid w:val="004B0CB0"/>
    <w:rsid w:val="004B16A2"/>
    <w:rsid w:val="004B307F"/>
    <w:rsid w:val="004B637E"/>
    <w:rsid w:val="004B68F6"/>
    <w:rsid w:val="004B76CE"/>
    <w:rsid w:val="004C3A59"/>
    <w:rsid w:val="004C4918"/>
    <w:rsid w:val="004C748E"/>
    <w:rsid w:val="004D0241"/>
    <w:rsid w:val="004D1BD8"/>
    <w:rsid w:val="004D4972"/>
    <w:rsid w:val="004D71AB"/>
    <w:rsid w:val="004E5C66"/>
    <w:rsid w:val="004F191E"/>
    <w:rsid w:val="004F275F"/>
    <w:rsid w:val="004F327B"/>
    <w:rsid w:val="004F4904"/>
    <w:rsid w:val="004F4D4C"/>
    <w:rsid w:val="004F563B"/>
    <w:rsid w:val="004F6F72"/>
    <w:rsid w:val="00500608"/>
    <w:rsid w:val="005006D6"/>
    <w:rsid w:val="00500F70"/>
    <w:rsid w:val="00503A6C"/>
    <w:rsid w:val="00504424"/>
    <w:rsid w:val="00506EC5"/>
    <w:rsid w:val="00513A3E"/>
    <w:rsid w:val="00513F73"/>
    <w:rsid w:val="0051626E"/>
    <w:rsid w:val="005169CA"/>
    <w:rsid w:val="005213C2"/>
    <w:rsid w:val="00521F33"/>
    <w:rsid w:val="00522059"/>
    <w:rsid w:val="00522E33"/>
    <w:rsid w:val="005232D9"/>
    <w:rsid w:val="005254D4"/>
    <w:rsid w:val="00532BCB"/>
    <w:rsid w:val="00535801"/>
    <w:rsid w:val="00536264"/>
    <w:rsid w:val="00540F9E"/>
    <w:rsid w:val="00542114"/>
    <w:rsid w:val="00547CBB"/>
    <w:rsid w:val="00550611"/>
    <w:rsid w:val="0055098A"/>
    <w:rsid w:val="00560934"/>
    <w:rsid w:val="00560B51"/>
    <w:rsid w:val="00563848"/>
    <w:rsid w:val="00563A3D"/>
    <w:rsid w:val="00565C45"/>
    <w:rsid w:val="0056735A"/>
    <w:rsid w:val="00570AEB"/>
    <w:rsid w:val="00572B22"/>
    <w:rsid w:val="00573CD2"/>
    <w:rsid w:val="005763ED"/>
    <w:rsid w:val="0057654E"/>
    <w:rsid w:val="0057698B"/>
    <w:rsid w:val="00576BE1"/>
    <w:rsid w:val="0057724A"/>
    <w:rsid w:val="00577A12"/>
    <w:rsid w:val="005805AB"/>
    <w:rsid w:val="00580EEF"/>
    <w:rsid w:val="005826A5"/>
    <w:rsid w:val="005845C3"/>
    <w:rsid w:val="00587148"/>
    <w:rsid w:val="00590CEC"/>
    <w:rsid w:val="00590E92"/>
    <w:rsid w:val="005911F7"/>
    <w:rsid w:val="0059197F"/>
    <w:rsid w:val="00592ED4"/>
    <w:rsid w:val="00595097"/>
    <w:rsid w:val="00597892"/>
    <w:rsid w:val="005A03DE"/>
    <w:rsid w:val="005A13E5"/>
    <w:rsid w:val="005A2744"/>
    <w:rsid w:val="005A65DA"/>
    <w:rsid w:val="005A66DD"/>
    <w:rsid w:val="005A68F8"/>
    <w:rsid w:val="005B381C"/>
    <w:rsid w:val="005B39C8"/>
    <w:rsid w:val="005B3DEA"/>
    <w:rsid w:val="005B4E85"/>
    <w:rsid w:val="005B4EE4"/>
    <w:rsid w:val="005B5420"/>
    <w:rsid w:val="005B7EB3"/>
    <w:rsid w:val="005C3540"/>
    <w:rsid w:val="005C645A"/>
    <w:rsid w:val="005C6A48"/>
    <w:rsid w:val="005C7B83"/>
    <w:rsid w:val="005D0263"/>
    <w:rsid w:val="005D10CA"/>
    <w:rsid w:val="005D2D74"/>
    <w:rsid w:val="005D36DF"/>
    <w:rsid w:val="005E076D"/>
    <w:rsid w:val="005E444D"/>
    <w:rsid w:val="005E6F62"/>
    <w:rsid w:val="005E7BBE"/>
    <w:rsid w:val="005F0D59"/>
    <w:rsid w:val="005F11B1"/>
    <w:rsid w:val="005F29E8"/>
    <w:rsid w:val="005F3D0D"/>
    <w:rsid w:val="005F6462"/>
    <w:rsid w:val="005F682C"/>
    <w:rsid w:val="006012F2"/>
    <w:rsid w:val="00607BC0"/>
    <w:rsid w:val="006112D1"/>
    <w:rsid w:val="006118EE"/>
    <w:rsid w:val="006128CB"/>
    <w:rsid w:val="00614A0F"/>
    <w:rsid w:val="006178E9"/>
    <w:rsid w:val="0062032A"/>
    <w:rsid w:val="00621A29"/>
    <w:rsid w:val="00622090"/>
    <w:rsid w:val="006238CF"/>
    <w:rsid w:val="006240DB"/>
    <w:rsid w:val="0062501B"/>
    <w:rsid w:val="00626616"/>
    <w:rsid w:val="00626F2F"/>
    <w:rsid w:val="00627F0A"/>
    <w:rsid w:val="0063247E"/>
    <w:rsid w:val="00635EAA"/>
    <w:rsid w:val="00636B18"/>
    <w:rsid w:val="0064029A"/>
    <w:rsid w:val="00641DD1"/>
    <w:rsid w:val="00644301"/>
    <w:rsid w:val="006443B4"/>
    <w:rsid w:val="0064446A"/>
    <w:rsid w:val="00647EB5"/>
    <w:rsid w:val="006516E7"/>
    <w:rsid w:val="00655E09"/>
    <w:rsid w:val="00660D11"/>
    <w:rsid w:val="00661CC2"/>
    <w:rsid w:val="00665803"/>
    <w:rsid w:val="00665BEC"/>
    <w:rsid w:val="006660EE"/>
    <w:rsid w:val="00667F93"/>
    <w:rsid w:val="0067031B"/>
    <w:rsid w:val="0067228F"/>
    <w:rsid w:val="00672291"/>
    <w:rsid w:val="006726FA"/>
    <w:rsid w:val="00673D67"/>
    <w:rsid w:val="006757C2"/>
    <w:rsid w:val="00682AA7"/>
    <w:rsid w:val="006835F7"/>
    <w:rsid w:val="00683EC7"/>
    <w:rsid w:val="00686762"/>
    <w:rsid w:val="006901F4"/>
    <w:rsid w:val="006930EC"/>
    <w:rsid w:val="006944C1"/>
    <w:rsid w:val="00695473"/>
    <w:rsid w:val="0069733C"/>
    <w:rsid w:val="006A16A1"/>
    <w:rsid w:val="006A2A0C"/>
    <w:rsid w:val="006A2D25"/>
    <w:rsid w:val="006A36A3"/>
    <w:rsid w:val="006B1225"/>
    <w:rsid w:val="006B1EE0"/>
    <w:rsid w:val="006B3438"/>
    <w:rsid w:val="006B6063"/>
    <w:rsid w:val="006B70CB"/>
    <w:rsid w:val="006C3670"/>
    <w:rsid w:val="006C67D0"/>
    <w:rsid w:val="006D4AA7"/>
    <w:rsid w:val="006E0B93"/>
    <w:rsid w:val="006E15A2"/>
    <w:rsid w:val="006E2F24"/>
    <w:rsid w:val="006E5F93"/>
    <w:rsid w:val="006E63CE"/>
    <w:rsid w:val="006E707E"/>
    <w:rsid w:val="006E7CB6"/>
    <w:rsid w:val="006E7FA0"/>
    <w:rsid w:val="006F1255"/>
    <w:rsid w:val="006F1F55"/>
    <w:rsid w:val="006F3536"/>
    <w:rsid w:val="006F35A5"/>
    <w:rsid w:val="00703546"/>
    <w:rsid w:val="0070687C"/>
    <w:rsid w:val="00711206"/>
    <w:rsid w:val="00712273"/>
    <w:rsid w:val="007167D3"/>
    <w:rsid w:val="00717D79"/>
    <w:rsid w:val="00722BCD"/>
    <w:rsid w:val="0072308B"/>
    <w:rsid w:val="00723E1C"/>
    <w:rsid w:val="00724506"/>
    <w:rsid w:val="00724E84"/>
    <w:rsid w:val="007262A4"/>
    <w:rsid w:val="00727423"/>
    <w:rsid w:val="00731C55"/>
    <w:rsid w:val="007322AD"/>
    <w:rsid w:val="0073263F"/>
    <w:rsid w:val="007348EE"/>
    <w:rsid w:val="00734D51"/>
    <w:rsid w:val="00735F44"/>
    <w:rsid w:val="0073704C"/>
    <w:rsid w:val="007372BF"/>
    <w:rsid w:val="007374A3"/>
    <w:rsid w:val="0074371E"/>
    <w:rsid w:val="00744192"/>
    <w:rsid w:val="00744861"/>
    <w:rsid w:val="007450BA"/>
    <w:rsid w:val="00751E06"/>
    <w:rsid w:val="007527F6"/>
    <w:rsid w:val="00753A8D"/>
    <w:rsid w:val="00761AAF"/>
    <w:rsid w:val="00763A0F"/>
    <w:rsid w:val="007674BC"/>
    <w:rsid w:val="0076769A"/>
    <w:rsid w:val="00772126"/>
    <w:rsid w:val="007810D8"/>
    <w:rsid w:val="007812F8"/>
    <w:rsid w:val="00783ABB"/>
    <w:rsid w:val="00785C96"/>
    <w:rsid w:val="007900C6"/>
    <w:rsid w:val="007959D9"/>
    <w:rsid w:val="00795E4E"/>
    <w:rsid w:val="007969A2"/>
    <w:rsid w:val="007A1B20"/>
    <w:rsid w:val="007A1ECF"/>
    <w:rsid w:val="007A3F41"/>
    <w:rsid w:val="007A54B6"/>
    <w:rsid w:val="007A6828"/>
    <w:rsid w:val="007A746F"/>
    <w:rsid w:val="007B451B"/>
    <w:rsid w:val="007B4EE6"/>
    <w:rsid w:val="007C1BBA"/>
    <w:rsid w:val="007C1C4E"/>
    <w:rsid w:val="007C2150"/>
    <w:rsid w:val="007C2F18"/>
    <w:rsid w:val="007C46D8"/>
    <w:rsid w:val="007D04C5"/>
    <w:rsid w:val="007D2187"/>
    <w:rsid w:val="007D221A"/>
    <w:rsid w:val="007D22D1"/>
    <w:rsid w:val="007D4886"/>
    <w:rsid w:val="007D4ED7"/>
    <w:rsid w:val="007D73E2"/>
    <w:rsid w:val="007E1E4E"/>
    <w:rsid w:val="007E3BA0"/>
    <w:rsid w:val="007E43F0"/>
    <w:rsid w:val="007E44F5"/>
    <w:rsid w:val="007E4A59"/>
    <w:rsid w:val="007E4F66"/>
    <w:rsid w:val="007E6440"/>
    <w:rsid w:val="007E6A66"/>
    <w:rsid w:val="007F19A4"/>
    <w:rsid w:val="007F21C1"/>
    <w:rsid w:val="007F26BB"/>
    <w:rsid w:val="007F3D8E"/>
    <w:rsid w:val="007F482F"/>
    <w:rsid w:val="0080621C"/>
    <w:rsid w:val="0080627A"/>
    <w:rsid w:val="00806E73"/>
    <w:rsid w:val="00807E03"/>
    <w:rsid w:val="0081496B"/>
    <w:rsid w:val="00814A0D"/>
    <w:rsid w:val="00815E00"/>
    <w:rsid w:val="008209B2"/>
    <w:rsid w:val="00821390"/>
    <w:rsid w:val="0082142B"/>
    <w:rsid w:val="00822007"/>
    <w:rsid w:val="00824ECB"/>
    <w:rsid w:val="0083453A"/>
    <w:rsid w:val="00835211"/>
    <w:rsid w:val="00836848"/>
    <w:rsid w:val="008415FF"/>
    <w:rsid w:val="00843F42"/>
    <w:rsid w:val="00850A30"/>
    <w:rsid w:val="00850B99"/>
    <w:rsid w:val="00852DDE"/>
    <w:rsid w:val="00856A42"/>
    <w:rsid w:val="00860867"/>
    <w:rsid w:val="00863D84"/>
    <w:rsid w:val="00865F8B"/>
    <w:rsid w:val="008717E2"/>
    <w:rsid w:val="00872C6E"/>
    <w:rsid w:val="0087391E"/>
    <w:rsid w:val="00875DB3"/>
    <w:rsid w:val="00882617"/>
    <w:rsid w:val="008867D4"/>
    <w:rsid w:val="008901C5"/>
    <w:rsid w:val="00893FDC"/>
    <w:rsid w:val="008A4F67"/>
    <w:rsid w:val="008A5B5F"/>
    <w:rsid w:val="008A636A"/>
    <w:rsid w:val="008B1A1F"/>
    <w:rsid w:val="008B24E2"/>
    <w:rsid w:val="008B39A7"/>
    <w:rsid w:val="008C17DF"/>
    <w:rsid w:val="008C1835"/>
    <w:rsid w:val="008C2F56"/>
    <w:rsid w:val="008C3836"/>
    <w:rsid w:val="008C59AB"/>
    <w:rsid w:val="008D2CB4"/>
    <w:rsid w:val="008D4536"/>
    <w:rsid w:val="008E25F8"/>
    <w:rsid w:val="008F07E9"/>
    <w:rsid w:val="008F0AFF"/>
    <w:rsid w:val="008F58EA"/>
    <w:rsid w:val="008F5C2D"/>
    <w:rsid w:val="008F5E8D"/>
    <w:rsid w:val="008F7042"/>
    <w:rsid w:val="009153DA"/>
    <w:rsid w:val="0091770A"/>
    <w:rsid w:val="00922F04"/>
    <w:rsid w:val="00923855"/>
    <w:rsid w:val="00924F7F"/>
    <w:rsid w:val="00925944"/>
    <w:rsid w:val="00925FD4"/>
    <w:rsid w:val="009316DF"/>
    <w:rsid w:val="00936A59"/>
    <w:rsid w:val="00937F70"/>
    <w:rsid w:val="009408D7"/>
    <w:rsid w:val="009408EC"/>
    <w:rsid w:val="00941142"/>
    <w:rsid w:val="00946654"/>
    <w:rsid w:val="00947191"/>
    <w:rsid w:val="00947203"/>
    <w:rsid w:val="00947D87"/>
    <w:rsid w:val="0095135A"/>
    <w:rsid w:val="00954D17"/>
    <w:rsid w:val="00956348"/>
    <w:rsid w:val="00956CE8"/>
    <w:rsid w:val="009645A3"/>
    <w:rsid w:val="00965D56"/>
    <w:rsid w:val="009716EF"/>
    <w:rsid w:val="009723C3"/>
    <w:rsid w:val="0098232F"/>
    <w:rsid w:val="00983427"/>
    <w:rsid w:val="00990215"/>
    <w:rsid w:val="00991C5E"/>
    <w:rsid w:val="009A0F26"/>
    <w:rsid w:val="009A2671"/>
    <w:rsid w:val="009A3455"/>
    <w:rsid w:val="009B215A"/>
    <w:rsid w:val="009B23B5"/>
    <w:rsid w:val="009B4A8F"/>
    <w:rsid w:val="009B5974"/>
    <w:rsid w:val="009B77AA"/>
    <w:rsid w:val="009B7AA5"/>
    <w:rsid w:val="009C31ED"/>
    <w:rsid w:val="009C41C5"/>
    <w:rsid w:val="009C705F"/>
    <w:rsid w:val="009D277E"/>
    <w:rsid w:val="009D3078"/>
    <w:rsid w:val="009E02F6"/>
    <w:rsid w:val="009E47C3"/>
    <w:rsid w:val="009E68F6"/>
    <w:rsid w:val="009E7623"/>
    <w:rsid w:val="009F0694"/>
    <w:rsid w:val="009F2DA2"/>
    <w:rsid w:val="009F347F"/>
    <w:rsid w:val="009F3983"/>
    <w:rsid w:val="009F5CB2"/>
    <w:rsid w:val="00A00992"/>
    <w:rsid w:val="00A03053"/>
    <w:rsid w:val="00A034CB"/>
    <w:rsid w:val="00A037AC"/>
    <w:rsid w:val="00A04C4F"/>
    <w:rsid w:val="00A04D7C"/>
    <w:rsid w:val="00A0516A"/>
    <w:rsid w:val="00A10BB5"/>
    <w:rsid w:val="00A139DC"/>
    <w:rsid w:val="00A14DC4"/>
    <w:rsid w:val="00A21BA2"/>
    <w:rsid w:val="00A21D83"/>
    <w:rsid w:val="00A2677B"/>
    <w:rsid w:val="00A32BF1"/>
    <w:rsid w:val="00A36D42"/>
    <w:rsid w:val="00A378B8"/>
    <w:rsid w:val="00A4099E"/>
    <w:rsid w:val="00A427E3"/>
    <w:rsid w:val="00A4547A"/>
    <w:rsid w:val="00A45ECA"/>
    <w:rsid w:val="00A50285"/>
    <w:rsid w:val="00A508F1"/>
    <w:rsid w:val="00A5187D"/>
    <w:rsid w:val="00A518AE"/>
    <w:rsid w:val="00A55FFB"/>
    <w:rsid w:val="00A5797E"/>
    <w:rsid w:val="00A57D34"/>
    <w:rsid w:val="00A6320D"/>
    <w:rsid w:val="00A656F2"/>
    <w:rsid w:val="00A66D64"/>
    <w:rsid w:val="00A72A13"/>
    <w:rsid w:val="00A76A42"/>
    <w:rsid w:val="00A82D22"/>
    <w:rsid w:val="00A90532"/>
    <w:rsid w:val="00A91254"/>
    <w:rsid w:val="00A932E4"/>
    <w:rsid w:val="00AA2D8D"/>
    <w:rsid w:val="00AA2DE7"/>
    <w:rsid w:val="00AA4920"/>
    <w:rsid w:val="00AA67A4"/>
    <w:rsid w:val="00AA769B"/>
    <w:rsid w:val="00AB1516"/>
    <w:rsid w:val="00AB2CA1"/>
    <w:rsid w:val="00AB382A"/>
    <w:rsid w:val="00AB50CA"/>
    <w:rsid w:val="00AC5AB4"/>
    <w:rsid w:val="00AC7410"/>
    <w:rsid w:val="00AD0D70"/>
    <w:rsid w:val="00AD2E66"/>
    <w:rsid w:val="00AD5CE7"/>
    <w:rsid w:val="00AD63B0"/>
    <w:rsid w:val="00AE33E1"/>
    <w:rsid w:val="00AE4E0F"/>
    <w:rsid w:val="00AE65C0"/>
    <w:rsid w:val="00AE694F"/>
    <w:rsid w:val="00AF0B01"/>
    <w:rsid w:val="00AF0DC3"/>
    <w:rsid w:val="00AF1257"/>
    <w:rsid w:val="00AF4450"/>
    <w:rsid w:val="00B008ED"/>
    <w:rsid w:val="00B0124F"/>
    <w:rsid w:val="00B0195F"/>
    <w:rsid w:val="00B02725"/>
    <w:rsid w:val="00B03277"/>
    <w:rsid w:val="00B03F6F"/>
    <w:rsid w:val="00B0617E"/>
    <w:rsid w:val="00B0692A"/>
    <w:rsid w:val="00B13573"/>
    <w:rsid w:val="00B1370F"/>
    <w:rsid w:val="00B13B9E"/>
    <w:rsid w:val="00B14920"/>
    <w:rsid w:val="00B14B78"/>
    <w:rsid w:val="00B15624"/>
    <w:rsid w:val="00B17983"/>
    <w:rsid w:val="00B262EF"/>
    <w:rsid w:val="00B31EAA"/>
    <w:rsid w:val="00B357A0"/>
    <w:rsid w:val="00B35C7F"/>
    <w:rsid w:val="00B367B1"/>
    <w:rsid w:val="00B40E85"/>
    <w:rsid w:val="00B4346F"/>
    <w:rsid w:val="00B43DD4"/>
    <w:rsid w:val="00B448EE"/>
    <w:rsid w:val="00B46E87"/>
    <w:rsid w:val="00B5081D"/>
    <w:rsid w:val="00B51158"/>
    <w:rsid w:val="00B53AD6"/>
    <w:rsid w:val="00B5691D"/>
    <w:rsid w:val="00B654B9"/>
    <w:rsid w:val="00B67D59"/>
    <w:rsid w:val="00B702AE"/>
    <w:rsid w:val="00B71086"/>
    <w:rsid w:val="00B72CFA"/>
    <w:rsid w:val="00B73426"/>
    <w:rsid w:val="00B73AC8"/>
    <w:rsid w:val="00B74C0E"/>
    <w:rsid w:val="00B76A43"/>
    <w:rsid w:val="00B774BB"/>
    <w:rsid w:val="00B80188"/>
    <w:rsid w:val="00B808A0"/>
    <w:rsid w:val="00B808C9"/>
    <w:rsid w:val="00B80E32"/>
    <w:rsid w:val="00B81BC3"/>
    <w:rsid w:val="00B81D3E"/>
    <w:rsid w:val="00B87DE1"/>
    <w:rsid w:val="00B904D8"/>
    <w:rsid w:val="00BA07E7"/>
    <w:rsid w:val="00BA1251"/>
    <w:rsid w:val="00BA12EC"/>
    <w:rsid w:val="00BA31BD"/>
    <w:rsid w:val="00BA6D71"/>
    <w:rsid w:val="00BB124A"/>
    <w:rsid w:val="00BB2F45"/>
    <w:rsid w:val="00BB304B"/>
    <w:rsid w:val="00BB5690"/>
    <w:rsid w:val="00BB67A8"/>
    <w:rsid w:val="00BB7534"/>
    <w:rsid w:val="00BB7A6A"/>
    <w:rsid w:val="00BC0A50"/>
    <w:rsid w:val="00BC2145"/>
    <w:rsid w:val="00BD050B"/>
    <w:rsid w:val="00BD4442"/>
    <w:rsid w:val="00BD7303"/>
    <w:rsid w:val="00BE62C4"/>
    <w:rsid w:val="00BE68D3"/>
    <w:rsid w:val="00BF176C"/>
    <w:rsid w:val="00BF38AB"/>
    <w:rsid w:val="00BF7A35"/>
    <w:rsid w:val="00BF7A94"/>
    <w:rsid w:val="00C01852"/>
    <w:rsid w:val="00C02BAC"/>
    <w:rsid w:val="00C0438C"/>
    <w:rsid w:val="00C063F2"/>
    <w:rsid w:val="00C106C8"/>
    <w:rsid w:val="00C1611E"/>
    <w:rsid w:val="00C16E9C"/>
    <w:rsid w:val="00C17ED7"/>
    <w:rsid w:val="00C21621"/>
    <w:rsid w:val="00C23FA7"/>
    <w:rsid w:val="00C305AD"/>
    <w:rsid w:val="00C30E51"/>
    <w:rsid w:val="00C3358E"/>
    <w:rsid w:val="00C353DC"/>
    <w:rsid w:val="00C354C5"/>
    <w:rsid w:val="00C3589F"/>
    <w:rsid w:val="00C415B1"/>
    <w:rsid w:val="00C43F09"/>
    <w:rsid w:val="00C4449D"/>
    <w:rsid w:val="00C51B80"/>
    <w:rsid w:val="00C6089F"/>
    <w:rsid w:val="00C64B7D"/>
    <w:rsid w:val="00C659A4"/>
    <w:rsid w:val="00C666BF"/>
    <w:rsid w:val="00C67A4B"/>
    <w:rsid w:val="00C723C1"/>
    <w:rsid w:val="00C72EA3"/>
    <w:rsid w:val="00C7326D"/>
    <w:rsid w:val="00C734D0"/>
    <w:rsid w:val="00C85F23"/>
    <w:rsid w:val="00C90BAF"/>
    <w:rsid w:val="00C93CB7"/>
    <w:rsid w:val="00CA07DA"/>
    <w:rsid w:val="00CA0809"/>
    <w:rsid w:val="00CA1FF3"/>
    <w:rsid w:val="00CA2D06"/>
    <w:rsid w:val="00CA4476"/>
    <w:rsid w:val="00CA466C"/>
    <w:rsid w:val="00CB0B06"/>
    <w:rsid w:val="00CB12B5"/>
    <w:rsid w:val="00CB645C"/>
    <w:rsid w:val="00CC0607"/>
    <w:rsid w:val="00CC311A"/>
    <w:rsid w:val="00CC7274"/>
    <w:rsid w:val="00CD67E4"/>
    <w:rsid w:val="00CE1829"/>
    <w:rsid w:val="00CE2A9A"/>
    <w:rsid w:val="00CE2E14"/>
    <w:rsid w:val="00CE34D2"/>
    <w:rsid w:val="00CE4FCA"/>
    <w:rsid w:val="00CF752C"/>
    <w:rsid w:val="00D01095"/>
    <w:rsid w:val="00D038BD"/>
    <w:rsid w:val="00D03F2C"/>
    <w:rsid w:val="00D04A12"/>
    <w:rsid w:val="00D11A5B"/>
    <w:rsid w:val="00D13311"/>
    <w:rsid w:val="00D1350B"/>
    <w:rsid w:val="00D13ACA"/>
    <w:rsid w:val="00D165FF"/>
    <w:rsid w:val="00D20A5E"/>
    <w:rsid w:val="00D254E4"/>
    <w:rsid w:val="00D2554B"/>
    <w:rsid w:val="00D31FA7"/>
    <w:rsid w:val="00D32DCC"/>
    <w:rsid w:val="00D35713"/>
    <w:rsid w:val="00D37985"/>
    <w:rsid w:val="00D37CF0"/>
    <w:rsid w:val="00D42557"/>
    <w:rsid w:val="00D42DBB"/>
    <w:rsid w:val="00D42E97"/>
    <w:rsid w:val="00D439B8"/>
    <w:rsid w:val="00D470D0"/>
    <w:rsid w:val="00D54419"/>
    <w:rsid w:val="00D545B0"/>
    <w:rsid w:val="00D563E5"/>
    <w:rsid w:val="00D5648D"/>
    <w:rsid w:val="00D57044"/>
    <w:rsid w:val="00D60D8F"/>
    <w:rsid w:val="00D62619"/>
    <w:rsid w:val="00D660B1"/>
    <w:rsid w:val="00D6635F"/>
    <w:rsid w:val="00D668CD"/>
    <w:rsid w:val="00D670F7"/>
    <w:rsid w:val="00D6716B"/>
    <w:rsid w:val="00D7059A"/>
    <w:rsid w:val="00D73483"/>
    <w:rsid w:val="00D74F8D"/>
    <w:rsid w:val="00D769B7"/>
    <w:rsid w:val="00D80AEF"/>
    <w:rsid w:val="00D83F3B"/>
    <w:rsid w:val="00D84346"/>
    <w:rsid w:val="00D8490E"/>
    <w:rsid w:val="00D862E7"/>
    <w:rsid w:val="00D8630E"/>
    <w:rsid w:val="00D9135C"/>
    <w:rsid w:val="00D930CA"/>
    <w:rsid w:val="00D9472B"/>
    <w:rsid w:val="00DA01C6"/>
    <w:rsid w:val="00DA0F73"/>
    <w:rsid w:val="00DA144F"/>
    <w:rsid w:val="00DA305E"/>
    <w:rsid w:val="00DA7DDD"/>
    <w:rsid w:val="00DB0AF9"/>
    <w:rsid w:val="00DB6547"/>
    <w:rsid w:val="00DB7891"/>
    <w:rsid w:val="00DC10C8"/>
    <w:rsid w:val="00DC665E"/>
    <w:rsid w:val="00DC72F2"/>
    <w:rsid w:val="00DD1796"/>
    <w:rsid w:val="00DD1D7F"/>
    <w:rsid w:val="00DD33A8"/>
    <w:rsid w:val="00DD4508"/>
    <w:rsid w:val="00DD5F14"/>
    <w:rsid w:val="00DD6343"/>
    <w:rsid w:val="00DD659B"/>
    <w:rsid w:val="00DD70B0"/>
    <w:rsid w:val="00DE33A7"/>
    <w:rsid w:val="00DE485C"/>
    <w:rsid w:val="00DE5B79"/>
    <w:rsid w:val="00DF0878"/>
    <w:rsid w:val="00DF1628"/>
    <w:rsid w:val="00DF39FC"/>
    <w:rsid w:val="00DF5FE1"/>
    <w:rsid w:val="00DF6D77"/>
    <w:rsid w:val="00DF71CF"/>
    <w:rsid w:val="00E0096E"/>
    <w:rsid w:val="00E0334B"/>
    <w:rsid w:val="00E04223"/>
    <w:rsid w:val="00E054B6"/>
    <w:rsid w:val="00E07878"/>
    <w:rsid w:val="00E10A7D"/>
    <w:rsid w:val="00E1430B"/>
    <w:rsid w:val="00E1778D"/>
    <w:rsid w:val="00E17BE0"/>
    <w:rsid w:val="00E2233E"/>
    <w:rsid w:val="00E2334C"/>
    <w:rsid w:val="00E2466F"/>
    <w:rsid w:val="00E24AC6"/>
    <w:rsid w:val="00E25E20"/>
    <w:rsid w:val="00E273C7"/>
    <w:rsid w:val="00E31064"/>
    <w:rsid w:val="00E35102"/>
    <w:rsid w:val="00E402B7"/>
    <w:rsid w:val="00E4100A"/>
    <w:rsid w:val="00E4481E"/>
    <w:rsid w:val="00E44E58"/>
    <w:rsid w:val="00E54CD0"/>
    <w:rsid w:val="00E62790"/>
    <w:rsid w:val="00E63434"/>
    <w:rsid w:val="00E64DB6"/>
    <w:rsid w:val="00E72FF9"/>
    <w:rsid w:val="00E765BF"/>
    <w:rsid w:val="00E802CE"/>
    <w:rsid w:val="00E83057"/>
    <w:rsid w:val="00E8340F"/>
    <w:rsid w:val="00E83627"/>
    <w:rsid w:val="00E931BE"/>
    <w:rsid w:val="00E93917"/>
    <w:rsid w:val="00E962DC"/>
    <w:rsid w:val="00E96A47"/>
    <w:rsid w:val="00E974AE"/>
    <w:rsid w:val="00EA063E"/>
    <w:rsid w:val="00EA0A0D"/>
    <w:rsid w:val="00EA2B78"/>
    <w:rsid w:val="00EA3002"/>
    <w:rsid w:val="00EA3248"/>
    <w:rsid w:val="00EA36C8"/>
    <w:rsid w:val="00EA3A12"/>
    <w:rsid w:val="00EA69FB"/>
    <w:rsid w:val="00EB1E5B"/>
    <w:rsid w:val="00EB4855"/>
    <w:rsid w:val="00EB6787"/>
    <w:rsid w:val="00EB7724"/>
    <w:rsid w:val="00EC11C1"/>
    <w:rsid w:val="00EC2530"/>
    <w:rsid w:val="00EC3361"/>
    <w:rsid w:val="00EC590C"/>
    <w:rsid w:val="00EC619F"/>
    <w:rsid w:val="00ED318C"/>
    <w:rsid w:val="00ED4174"/>
    <w:rsid w:val="00ED451C"/>
    <w:rsid w:val="00EE1FA4"/>
    <w:rsid w:val="00EE7D35"/>
    <w:rsid w:val="00EF21FF"/>
    <w:rsid w:val="00EF3652"/>
    <w:rsid w:val="00EF520C"/>
    <w:rsid w:val="00F00460"/>
    <w:rsid w:val="00F021F7"/>
    <w:rsid w:val="00F028C8"/>
    <w:rsid w:val="00F02C22"/>
    <w:rsid w:val="00F03607"/>
    <w:rsid w:val="00F07537"/>
    <w:rsid w:val="00F07CC1"/>
    <w:rsid w:val="00F10E29"/>
    <w:rsid w:val="00F1257D"/>
    <w:rsid w:val="00F1657A"/>
    <w:rsid w:val="00F1713E"/>
    <w:rsid w:val="00F20B3D"/>
    <w:rsid w:val="00F21500"/>
    <w:rsid w:val="00F25936"/>
    <w:rsid w:val="00F268C9"/>
    <w:rsid w:val="00F2727D"/>
    <w:rsid w:val="00F3054D"/>
    <w:rsid w:val="00F308D9"/>
    <w:rsid w:val="00F37A88"/>
    <w:rsid w:val="00F42B6B"/>
    <w:rsid w:val="00F439D0"/>
    <w:rsid w:val="00F57708"/>
    <w:rsid w:val="00F5780C"/>
    <w:rsid w:val="00F6176A"/>
    <w:rsid w:val="00F621AF"/>
    <w:rsid w:val="00F62343"/>
    <w:rsid w:val="00F63EF9"/>
    <w:rsid w:val="00F7357A"/>
    <w:rsid w:val="00F7560A"/>
    <w:rsid w:val="00F76E37"/>
    <w:rsid w:val="00F803B1"/>
    <w:rsid w:val="00F8093F"/>
    <w:rsid w:val="00F812DF"/>
    <w:rsid w:val="00F84CD9"/>
    <w:rsid w:val="00F8773D"/>
    <w:rsid w:val="00F925D3"/>
    <w:rsid w:val="00F92C47"/>
    <w:rsid w:val="00F93DE2"/>
    <w:rsid w:val="00FA0E01"/>
    <w:rsid w:val="00FA4B69"/>
    <w:rsid w:val="00FA5C36"/>
    <w:rsid w:val="00FB19BF"/>
    <w:rsid w:val="00FB1C3C"/>
    <w:rsid w:val="00FB475C"/>
    <w:rsid w:val="00FB5733"/>
    <w:rsid w:val="00FB5ACD"/>
    <w:rsid w:val="00FB7D58"/>
    <w:rsid w:val="00FC4DC3"/>
    <w:rsid w:val="00FD1F2B"/>
    <w:rsid w:val="00FD4589"/>
    <w:rsid w:val="00FD5195"/>
    <w:rsid w:val="00FD7A45"/>
    <w:rsid w:val="00FD7CC2"/>
    <w:rsid w:val="00FE0239"/>
    <w:rsid w:val="00FE0EF1"/>
    <w:rsid w:val="00FE433A"/>
    <w:rsid w:val="00FE5CD4"/>
    <w:rsid w:val="00FE6820"/>
    <w:rsid w:val="00FF0A61"/>
    <w:rsid w:val="00FF0FB2"/>
    <w:rsid w:val="00FF5855"/>
    <w:rsid w:val="00FF689A"/>
    <w:rsid w:val="01940CAE"/>
    <w:rsid w:val="02C90CDB"/>
    <w:rsid w:val="06075BE2"/>
    <w:rsid w:val="06A5293F"/>
    <w:rsid w:val="087E3543"/>
    <w:rsid w:val="0A152360"/>
    <w:rsid w:val="0AA20FB3"/>
    <w:rsid w:val="0C551D33"/>
    <w:rsid w:val="0C604508"/>
    <w:rsid w:val="0CD03BC9"/>
    <w:rsid w:val="0D862896"/>
    <w:rsid w:val="0DF8186B"/>
    <w:rsid w:val="105A366B"/>
    <w:rsid w:val="113546A3"/>
    <w:rsid w:val="14B41FAE"/>
    <w:rsid w:val="17074591"/>
    <w:rsid w:val="184869AE"/>
    <w:rsid w:val="18666E57"/>
    <w:rsid w:val="19FB371F"/>
    <w:rsid w:val="1E0E7EF6"/>
    <w:rsid w:val="1ED52E39"/>
    <w:rsid w:val="1F737FFE"/>
    <w:rsid w:val="218B01E8"/>
    <w:rsid w:val="240E1E14"/>
    <w:rsid w:val="245276F6"/>
    <w:rsid w:val="25D53831"/>
    <w:rsid w:val="262E7C2D"/>
    <w:rsid w:val="26BC5CDD"/>
    <w:rsid w:val="28781983"/>
    <w:rsid w:val="29BC6764"/>
    <w:rsid w:val="2BAA752D"/>
    <w:rsid w:val="2DBD2C83"/>
    <w:rsid w:val="2E8D154B"/>
    <w:rsid w:val="2FEF72FF"/>
    <w:rsid w:val="30B0031C"/>
    <w:rsid w:val="314033D9"/>
    <w:rsid w:val="3340729B"/>
    <w:rsid w:val="340309C9"/>
    <w:rsid w:val="355869C1"/>
    <w:rsid w:val="3728466E"/>
    <w:rsid w:val="375C37F3"/>
    <w:rsid w:val="391C0EFF"/>
    <w:rsid w:val="3B2771F9"/>
    <w:rsid w:val="3C625C34"/>
    <w:rsid w:val="3D3D427E"/>
    <w:rsid w:val="3D964C95"/>
    <w:rsid w:val="3DD61AF2"/>
    <w:rsid w:val="3F4D1EE4"/>
    <w:rsid w:val="3F58333B"/>
    <w:rsid w:val="405622E2"/>
    <w:rsid w:val="40AD68DF"/>
    <w:rsid w:val="41F40AEE"/>
    <w:rsid w:val="427243EA"/>
    <w:rsid w:val="43470B2A"/>
    <w:rsid w:val="440A6B54"/>
    <w:rsid w:val="49075BB8"/>
    <w:rsid w:val="4A826F7F"/>
    <w:rsid w:val="4D0F1EE7"/>
    <w:rsid w:val="4D8E0CC8"/>
    <w:rsid w:val="4F6439A9"/>
    <w:rsid w:val="504C1EC8"/>
    <w:rsid w:val="53960664"/>
    <w:rsid w:val="5397659D"/>
    <w:rsid w:val="53C761C0"/>
    <w:rsid w:val="56152204"/>
    <w:rsid w:val="598033EE"/>
    <w:rsid w:val="59E1071B"/>
    <w:rsid w:val="5B2E48B6"/>
    <w:rsid w:val="5C254E31"/>
    <w:rsid w:val="5D422328"/>
    <w:rsid w:val="5EA676EF"/>
    <w:rsid w:val="600066BC"/>
    <w:rsid w:val="603F74A5"/>
    <w:rsid w:val="60760590"/>
    <w:rsid w:val="61DE55A9"/>
    <w:rsid w:val="628A56C2"/>
    <w:rsid w:val="630A7989"/>
    <w:rsid w:val="63972EA5"/>
    <w:rsid w:val="646C0191"/>
    <w:rsid w:val="656716E0"/>
    <w:rsid w:val="65884C75"/>
    <w:rsid w:val="685B648C"/>
    <w:rsid w:val="6A444E11"/>
    <w:rsid w:val="6A55055F"/>
    <w:rsid w:val="6A6B00CF"/>
    <w:rsid w:val="6AE040CF"/>
    <w:rsid w:val="6BC54059"/>
    <w:rsid w:val="6EAA4508"/>
    <w:rsid w:val="6ECF6D16"/>
    <w:rsid w:val="6F9F60E9"/>
    <w:rsid w:val="6FC05B45"/>
    <w:rsid w:val="70373FB2"/>
    <w:rsid w:val="70A93FB8"/>
    <w:rsid w:val="73B14E2A"/>
    <w:rsid w:val="77B331DB"/>
    <w:rsid w:val="788D5F6F"/>
    <w:rsid w:val="78B46CC3"/>
    <w:rsid w:val="7AE259B2"/>
    <w:rsid w:val="7C6530A7"/>
    <w:rsid w:val="7E023DCD"/>
    <w:rsid w:val="7E284B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uiPriority="0"/>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12F8"/>
    <w:pPr>
      <w:widowControl w:val="0"/>
      <w:jc w:val="both"/>
    </w:pPr>
    <w:rPr>
      <w:rFonts w:ascii="Calibri" w:hAnsi="Calibri" w:cs="Calibri"/>
      <w:szCs w:val="21"/>
    </w:rPr>
  </w:style>
  <w:style w:type="paragraph" w:styleId="4">
    <w:name w:val="heading 4"/>
    <w:basedOn w:val="a"/>
    <w:next w:val="a"/>
    <w:link w:val="4Char"/>
    <w:uiPriority w:val="99"/>
    <w:qFormat/>
    <w:locked/>
    <w:rsid w:val="007812F8"/>
    <w:pPr>
      <w:spacing w:beforeAutospacing="1" w:afterAutospacing="1"/>
      <w:jc w:val="left"/>
      <w:outlineLvl w:val="3"/>
    </w:pPr>
    <w:rPr>
      <w:rFonts w:ascii="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semiHidden/>
    <w:rsid w:val="00534D11"/>
    <w:rPr>
      <w:rFonts w:asciiTheme="majorHAnsi" w:eastAsiaTheme="majorEastAsia" w:hAnsiTheme="majorHAnsi" w:cstheme="majorBidi"/>
      <w:b/>
      <w:bCs/>
      <w:sz w:val="28"/>
      <w:szCs w:val="28"/>
    </w:rPr>
  </w:style>
  <w:style w:type="paragraph" w:styleId="a3">
    <w:name w:val="caption"/>
    <w:basedOn w:val="a"/>
    <w:next w:val="a"/>
    <w:uiPriority w:val="99"/>
    <w:qFormat/>
    <w:locked/>
    <w:rsid w:val="007812F8"/>
    <w:rPr>
      <w:rFonts w:ascii="Cambria" w:eastAsia="黑体" w:hAnsi="Cambria" w:cs="Cambria"/>
      <w:sz w:val="20"/>
      <w:szCs w:val="20"/>
    </w:rPr>
  </w:style>
  <w:style w:type="paragraph" w:styleId="a4">
    <w:name w:val="Balloon Text"/>
    <w:basedOn w:val="a"/>
    <w:link w:val="Char"/>
    <w:uiPriority w:val="99"/>
    <w:semiHidden/>
    <w:rsid w:val="007812F8"/>
    <w:rPr>
      <w:kern w:val="0"/>
      <w:sz w:val="18"/>
      <w:szCs w:val="18"/>
    </w:rPr>
  </w:style>
  <w:style w:type="character" w:customStyle="1" w:styleId="Char">
    <w:name w:val="批注框文本 Char"/>
    <w:basedOn w:val="a0"/>
    <w:link w:val="a4"/>
    <w:uiPriority w:val="99"/>
    <w:semiHidden/>
    <w:locked/>
    <w:rsid w:val="007812F8"/>
    <w:rPr>
      <w:sz w:val="18"/>
      <w:szCs w:val="18"/>
    </w:rPr>
  </w:style>
  <w:style w:type="paragraph" w:styleId="a5">
    <w:name w:val="footer"/>
    <w:basedOn w:val="a"/>
    <w:link w:val="Char0"/>
    <w:uiPriority w:val="99"/>
    <w:rsid w:val="007812F8"/>
    <w:pPr>
      <w:tabs>
        <w:tab w:val="center" w:pos="4153"/>
        <w:tab w:val="right" w:pos="8306"/>
      </w:tabs>
      <w:snapToGrid w:val="0"/>
      <w:jc w:val="left"/>
    </w:pPr>
    <w:rPr>
      <w:kern w:val="0"/>
      <w:sz w:val="18"/>
      <w:szCs w:val="18"/>
    </w:rPr>
  </w:style>
  <w:style w:type="character" w:customStyle="1" w:styleId="Char0">
    <w:name w:val="页脚 Char"/>
    <w:basedOn w:val="a0"/>
    <w:link w:val="a5"/>
    <w:uiPriority w:val="99"/>
    <w:locked/>
    <w:rsid w:val="007812F8"/>
    <w:rPr>
      <w:sz w:val="18"/>
      <w:szCs w:val="18"/>
    </w:rPr>
  </w:style>
  <w:style w:type="paragraph" w:styleId="a6">
    <w:name w:val="header"/>
    <w:basedOn w:val="a"/>
    <w:link w:val="Char1"/>
    <w:uiPriority w:val="99"/>
    <w:rsid w:val="007812F8"/>
    <w:pPr>
      <w:pBdr>
        <w:bottom w:val="single" w:sz="6" w:space="1" w:color="auto"/>
      </w:pBdr>
      <w:tabs>
        <w:tab w:val="center" w:pos="4153"/>
        <w:tab w:val="right" w:pos="8306"/>
      </w:tabs>
      <w:snapToGrid w:val="0"/>
      <w:jc w:val="center"/>
    </w:pPr>
    <w:rPr>
      <w:kern w:val="0"/>
      <w:sz w:val="18"/>
      <w:szCs w:val="18"/>
    </w:rPr>
  </w:style>
  <w:style w:type="character" w:customStyle="1" w:styleId="Char1">
    <w:name w:val="页眉 Char"/>
    <w:basedOn w:val="a0"/>
    <w:link w:val="a6"/>
    <w:uiPriority w:val="99"/>
    <w:locked/>
    <w:rsid w:val="007812F8"/>
    <w:rPr>
      <w:sz w:val="18"/>
      <w:szCs w:val="18"/>
    </w:rPr>
  </w:style>
  <w:style w:type="paragraph" w:styleId="a7">
    <w:name w:val="footnote text"/>
    <w:basedOn w:val="a"/>
    <w:link w:val="Char2"/>
    <w:uiPriority w:val="99"/>
    <w:semiHidden/>
    <w:rsid w:val="007812F8"/>
    <w:pPr>
      <w:widowControl/>
      <w:jc w:val="left"/>
    </w:pPr>
    <w:rPr>
      <w:kern w:val="0"/>
      <w:sz w:val="20"/>
      <w:szCs w:val="20"/>
    </w:rPr>
  </w:style>
  <w:style w:type="character" w:customStyle="1" w:styleId="Char2">
    <w:name w:val="脚注文本 Char"/>
    <w:basedOn w:val="a0"/>
    <w:link w:val="a7"/>
    <w:uiPriority w:val="99"/>
    <w:locked/>
    <w:rsid w:val="007812F8"/>
    <w:rPr>
      <w:rFonts w:ascii="Calibri" w:eastAsia="宋体" w:hAnsi="Calibri" w:cs="Calibri"/>
    </w:rPr>
  </w:style>
  <w:style w:type="paragraph" w:styleId="HTML">
    <w:name w:val="HTML Preformatted"/>
    <w:basedOn w:val="a"/>
    <w:link w:val="HTMLChar"/>
    <w:uiPriority w:val="99"/>
    <w:rsid w:val="007812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uiPriority w:val="99"/>
    <w:locked/>
    <w:rsid w:val="007812F8"/>
    <w:rPr>
      <w:rFonts w:ascii="宋体" w:eastAsia="宋体" w:cs="宋体"/>
      <w:sz w:val="24"/>
      <w:szCs w:val="24"/>
    </w:rPr>
  </w:style>
  <w:style w:type="paragraph" w:styleId="a8">
    <w:name w:val="Normal (Web)"/>
    <w:basedOn w:val="a"/>
    <w:uiPriority w:val="99"/>
    <w:rsid w:val="007812F8"/>
    <w:pPr>
      <w:spacing w:beforeAutospacing="1" w:afterAutospacing="1"/>
      <w:jc w:val="left"/>
    </w:pPr>
    <w:rPr>
      <w:kern w:val="0"/>
      <w:sz w:val="24"/>
      <w:szCs w:val="24"/>
    </w:rPr>
  </w:style>
  <w:style w:type="character" w:styleId="a9">
    <w:name w:val="Strong"/>
    <w:basedOn w:val="a0"/>
    <w:uiPriority w:val="99"/>
    <w:qFormat/>
    <w:locked/>
    <w:rsid w:val="007812F8"/>
    <w:rPr>
      <w:b/>
      <w:bCs/>
    </w:rPr>
  </w:style>
  <w:style w:type="character" w:styleId="aa">
    <w:name w:val="Hyperlink"/>
    <w:basedOn w:val="a0"/>
    <w:uiPriority w:val="99"/>
    <w:semiHidden/>
    <w:rsid w:val="007812F8"/>
    <w:rPr>
      <w:color w:val="0000FF"/>
      <w:u w:val="single"/>
    </w:rPr>
  </w:style>
  <w:style w:type="table" w:styleId="ab">
    <w:name w:val="Table Grid"/>
    <w:basedOn w:val="a1"/>
    <w:uiPriority w:val="99"/>
    <w:rsid w:val="007812F8"/>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a"/>
    <w:uiPriority w:val="99"/>
    <w:rsid w:val="007812F8"/>
    <w:pPr>
      <w:ind w:firstLineChars="200" w:firstLine="420"/>
    </w:pPr>
  </w:style>
  <w:style w:type="paragraph" w:customStyle="1" w:styleId="Default">
    <w:name w:val="Default"/>
    <w:uiPriority w:val="99"/>
    <w:rsid w:val="007812F8"/>
    <w:pPr>
      <w:widowControl w:val="0"/>
      <w:autoSpaceDE w:val="0"/>
      <w:autoSpaceDN w:val="0"/>
      <w:adjustRightInd w:val="0"/>
    </w:pPr>
    <w:rPr>
      <w:rFonts w:ascii="宋体" w:hAnsi="Calibri" w:cs="宋体"/>
      <w:color w:val="000000"/>
      <w:kern w:val="0"/>
      <w:sz w:val="24"/>
      <w:szCs w:val="24"/>
    </w:rPr>
  </w:style>
  <w:style w:type="paragraph" w:customStyle="1" w:styleId="DecimalAligned">
    <w:name w:val="Decimal Aligned"/>
    <w:basedOn w:val="a"/>
    <w:uiPriority w:val="99"/>
    <w:rsid w:val="007812F8"/>
    <w:pPr>
      <w:widowControl/>
      <w:tabs>
        <w:tab w:val="decimal" w:pos="360"/>
      </w:tabs>
      <w:spacing w:after="200" w:line="276" w:lineRule="auto"/>
      <w:jc w:val="left"/>
    </w:pPr>
    <w:rPr>
      <w:kern w:val="0"/>
      <w:sz w:val="22"/>
      <w:szCs w:val="22"/>
    </w:rPr>
  </w:style>
  <w:style w:type="character" w:customStyle="1" w:styleId="gray">
    <w:name w:val="gray"/>
    <w:basedOn w:val="a0"/>
    <w:uiPriority w:val="99"/>
    <w:rsid w:val="007812F8"/>
  </w:style>
  <w:style w:type="character" w:customStyle="1" w:styleId="apple-converted-space">
    <w:name w:val="apple-converted-space"/>
    <w:basedOn w:val="a0"/>
    <w:uiPriority w:val="99"/>
    <w:rsid w:val="007812F8"/>
  </w:style>
  <w:style w:type="character" w:customStyle="1" w:styleId="SubtleEmphasis1">
    <w:name w:val="Subtle Emphasis1"/>
    <w:basedOn w:val="a0"/>
    <w:uiPriority w:val="99"/>
    <w:rsid w:val="007812F8"/>
    <w:rPr>
      <w:rFonts w:eastAsia="宋体"/>
      <w:i/>
      <w:iCs/>
      <w:color w:val="808080"/>
      <w:sz w:val="22"/>
      <w:szCs w:val="22"/>
      <w:lang w:eastAsia="zh-CN"/>
    </w:rPr>
  </w:style>
  <w:style w:type="character" w:customStyle="1" w:styleId="zf">
    <w:name w:val="zf"/>
    <w:basedOn w:val="a0"/>
    <w:uiPriority w:val="99"/>
    <w:rsid w:val="007812F8"/>
  </w:style>
  <w:style w:type="table" w:customStyle="1" w:styleId="-11">
    <w:name w:val="浅色底纹 - 强调文字颜色 11"/>
    <w:uiPriority w:val="99"/>
    <w:rsid w:val="007812F8"/>
    <w:rPr>
      <w:color w:val="365F91"/>
      <w:kern w:val="0"/>
      <w:sz w:val="22"/>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paragraph" w:styleId="ac">
    <w:name w:val="List Paragraph"/>
    <w:basedOn w:val="a"/>
    <w:uiPriority w:val="34"/>
    <w:qFormat/>
    <w:rsid w:val="00856A42"/>
    <w:pPr>
      <w:ind w:firstLineChars="200" w:firstLine="420"/>
    </w:pPr>
  </w:style>
</w:styles>
</file>

<file path=word/webSettings.xml><?xml version="1.0" encoding="utf-8"?>
<w:webSettings xmlns:r="http://schemas.openxmlformats.org/officeDocument/2006/relationships" xmlns:w="http://schemas.openxmlformats.org/wordprocessingml/2006/main">
  <w:divs>
    <w:div w:id="480654718">
      <w:bodyDiv w:val="1"/>
      <w:marLeft w:val="0"/>
      <w:marRight w:val="0"/>
      <w:marTop w:val="0"/>
      <w:marBottom w:val="0"/>
      <w:divBdr>
        <w:top w:val="none" w:sz="0" w:space="0" w:color="auto"/>
        <w:left w:val="none" w:sz="0" w:space="0" w:color="auto"/>
        <w:bottom w:val="none" w:sz="0" w:space="0" w:color="auto"/>
        <w:right w:val="none" w:sz="0" w:space="0" w:color="auto"/>
      </w:divBdr>
    </w:div>
    <w:div w:id="569855025">
      <w:bodyDiv w:val="1"/>
      <w:marLeft w:val="0"/>
      <w:marRight w:val="0"/>
      <w:marTop w:val="0"/>
      <w:marBottom w:val="0"/>
      <w:divBdr>
        <w:top w:val="none" w:sz="0" w:space="0" w:color="auto"/>
        <w:left w:val="none" w:sz="0" w:space="0" w:color="auto"/>
        <w:bottom w:val="none" w:sz="0" w:space="0" w:color="auto"/>
        <w:right w:val="none" w:sz="0" w:space="0" w:color="auto"/>
      </w:divBdr>
    </w:div>
    <w:div w:id="777942832">
      <w:bodyDiv w:val="1"/>
      <w:marLeft w:val="0"/>
      <w:marRight w:val="0"/>
      <w:marTop w:val="0"/>
      <w:marBottom w:val="0"/>
      <w:divBdr>
        <w:top w:val="none" w:sz="0" w:space="0" w:color="auto"/>
        <w:left w:val="none" w:sz="0" w:space="0" w:color="auto"/>
        <w:bottom w:val="none" w:sz="0" w:space="0" w:color="auto"/>
        <w:right w:val="none" w:sz="0" w:space="0" w:color="auto"/>
      </w:divBdr>
    </w:div>
    <w:div w:id="1209222759">
      <w:bodyDiv w:val="1"/>
      <w:marLeft w:val="0"/>
      <w:marRight w:val="0"/>
      <w:marTop w:val="0"/>
      <w:marBottom w:val="0"/>
      <w:divBdr>
        <w:top w:val="none" w:sz="0" w:space="0" w:color="auto"/>
        <w:left w:val="none" w:sz="0" w:space="0" w:color="auto"/>
        <w:bottom w:val="none" w:sz="0" w:space="0" w:color="auto"/>
        <w:right w:val="none" w:sz="0" w:space="0" w:color="auto"/>
      </w:divBdr>
    </w:div>
    <w:div w:id="1387140252">
      <w:bodyDiv w:val="1"/>
      <w:marLeft w:val="0"/>
      <w:marRight w:val="0"/>
      <w:marTop w:val="0"/>
      <w:marBottom w:val="0"/>
      <w:divBdr>
        <w:top w:val="none" w:sz="0" w:space="0" w:color="auto"/>
        <w:left w:val="none" w:sz="0" w:space="0" w:color="auto"/>
        <w:bottom w:val="none" w:sz="0" w:space="0" w:color="auto"/>
        <w:right w:val="none" w:sz="0" w:space="0" w:color="auto"/>
      </w:divBdr>
    </w:div>
    <w:div w:id="1499612579">
      <w:bodyDiv w:val="1"/>
      <w:marLeft w:val="0"/>
      <w:marRight w:val="0"/>
      <w:marTop w:val="0"/>
      <w:marBottom w:val="0"/>
      <w:divBdr>
        <w:top w:val="none" w:sz="0" w:space="0" w:color="auto"/>
        <w:left w:val="none" w:sz="0" w:space="0" w:color="auto"/>
        <w:bottom w:val="none" w:sz="0" w:space="0" w:color="auto"/>
        <w:right w:val="none" w:sz="0" w:space="0" w:color="auto"/>
      </w:divBdr>
    </w:div>
    <w:div w:id="1637297571">
      <w:bodyDiv w:val="1"/>
      <w:marLeft w:val="0"/>
      <w:marRight w:val="0"/>
      <w:marTop w:val="0"/>
      <w:marBottom w:val="0"/>
      <w:divBdr>
        <w:top w:val="none" w:sz="0" w:space="0" w:color="auto"/>
        <w:left w:val="none" w:sz="0" w:space="0" w:color="auto"/>
        <w:bottom w:val="none" w:sz="0" w:space="0" w:color="auto"/>
        <w:right w:val="none" w:sz="0" w:space="0" w:color="auto"/>
      </w:divBdr>
    </w:div>
    <w:div w:id="1866870840">
      <w:bodyDiv w:val="1"/>
      <w:marLeft w:val="0"/>
      <w:marRight w:val="0"/>
      <w:marTop w:val="0"/>
      <w:marBottom w:val="0"/>
      <w:divBdr>
        <w:top w:val="none" w:sz="0" w:space="0" w:color="auto"/>
        <w:left w:val="none" w:sz="0" w:space="0" w:color="auto"/>
        <w:bottom w:val="none" w:sz="0" w:space="0" w:color="auto"/>
        <w:right w:val="none" w:sz="0" w:space="0" w:color="auto"/>
      </w:divBdr>
    </w:div>
    <w:div w:id="2030524084">
      <w:bodyDiv w:val="1"/>
      <w:marLeft w:val="0"/>
      <w:marRight w:val="0"/>
      <w:marTop w:val="0"/>
      <w:marBottom w:val="0"/>
      <w:divBdr>
        <w:top w:val="none" w:sz="0" w:space="0" w:color="auto"/>
        <w:left w:val="none" w:sz="0" w:space="0" w:color="auto"/>
        <w:bottom w:val="none" w:sz="0" w:space="0" w:color="auto"/>
        <w:right w:val="none" w:sz="0" w:space="0" w:color="auto"/>
      </w:divBdr>
    </w:div>
    <w:div w:id="209127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269</Words>
  <Characters>1536</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FENG</dc:creator>
  <cp:lastModifiedBy>EM</cp:lastModifiedBy>
  <cp:revision>2</cp:revision>
  <cp:lastPrinted>2014-12-04T09:21:00Z</cp:lastPrinted>
  <dcterms:created xsi:type="dcterms:W3CDTF">2015-08-28T08:22:00Z</dcterms:created>
  <dcterms:modified xsi:type="dcterms:W3CDTF">2015-08-28T08:22:00Z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