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12E" w:rsidRPr="00B32701" w:rsidRDefault="00095E87" w:rsidP="009C7368">
      <w:bookmarkStart w:id="0" w:name="_GoBack"/>
      <w:bookmarkEnd w:id="0"/>
      <w:r>
        <w:rPr>
          <w:noProof/>
        </w:rPr>
        <w:drawing>
          <wp:anchor distT="0" distB="0" distL="114300" distR="114300" simplePos="0" relativeHeight="251658240" behindDoc="0" locked="0" layoutInCell="1" allowOverlap="1">
            <wp:simplePos x="0" y="0"/>
            <wp:positionH relativeFrom="column">
              <wp:posOffset>4416425</wp:posOffset>
            </wp:positionH>
            <wp:positionV relativeFrom="paragraph">
              <wp:posOffset>-532774</wp:posOffset>
            </wp:positionV>
            <wp:extent cx="2373284" cy="664805"/>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diao.jpg"/>
                    <pic:cNvPicPr/>
                  </pic:nvPicPr>
                  <pic:blipFill>
                    <a:blip r:embed="rId9" cstate="print"/>
                    <a:stretch>
                      <a:fillRect/>
                    </a:stretch>
                  </pic:blipFill>
                  <pic:spPr>
                    <a:xfrm>
                      <a:off x="0" y="0"/>
                      <a:ext cx="2373284" cy="664805"/>
                    </a:xfrm>
                    <a:prstGeom prst="rect">
                      <a:avLst/>
                    </a:prstGeom>
                  </pic:spPr>
                </pic:pic>
              </a:graphicData>
            </a:graphic>
          </wp:anchor>
        </w:drawing>
      </w:r>
    </w:p>
    <w:tbl>
      <w:tblPr>
        <w:tblStyle w:val="a6"/>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4"/>
        <w:gridCol w:w="7058"/>
        <w:gridCol w:w="3767"/>
      </w:tblGrid>
      <w:tr w:rsidR="008436F3" w:rsidRPr="00C85E90" w:rsidTr="004530D4">
        <w:trPr>
          <w:trHeight w:hRule="exact" w:val="340"/>
        </w:trPr>
        <w:sdt>
          <w:sdtPr>
            <w:rPr>
              <w:rFonts w:eastAsia="微软雅黑"/>
              <w:color w:val="FFFFFF" w:themeColor="background1"/>
              <w:szCs w:val="18"/>
            </w:rPr>
            <w:alias w:val="报告日期"/>
            <w:tag w:val="BDCONTENTCONTROL_a76e94b5-7d90-464a-8630-50b01ac47764"/>
            <w:id w:val="-361822822"/>
            <w:placeholder>
              <w:docPart w:val="C83AC75201A54852B25A23B4F45102BF"/>
            </w:placeholder>
            <w:text/>
          </w:sdtPr>
          <w:sdtEndPr/>
          <w:sdtContent>
            <w:tc>
              <w:tcPr>
                <w:tcW w:w="7562" w:type="dxa"/>
                <w:gridSpan w:val="2"/>
                <w:tcBorders>
                  <w:top w:val="single" w:sz="4" w:space="0" w:color="D2AB66"/>
                </w:tcBorders>
                <w:shd w:val="clear" w:color="auto" w:fill="DF0716"/>
                <w:vAlign w:val="center"/>
              </w:tcPr>
              <w:p w:rsidR="008436F3" w:rsidRPr="00B32701" w:rsidRDefault="00D05253" w:rsidP="00460630">
                <w:pPr>
                  <w:spacing w:line="280" w:lineRule="exact"/>
                  <w:ind w:firstLineChars="300" w:firstLine="540"/>
                  <w:rPr>
                    <w:rFonts w:eastAsia="微软雅黑"/>
                    <w:color w:val="FFFFFF" w:themeColor="background1"/>
                    <w:szCs w:val="18"/>
                  </w:rPr>
                </w:pPr>
                <w:r>
                  <w:rPr>
                    <w:rFonts w:eastAsia="微软雅黑" w:hint="eastAsia"/>
                    <w:color w:val="FFFFFF" w:themeColor="background1"/>
                    <w:szCs w:val="18"/>
                  </w:rPr>
                  <w:t>2016</w:t>
                </w:r>
                <w:r>
                  <w:rPr>
                    <w:rFonts w:eastAsia="微软雅黑" w:hint="eastAsia"/>
                    <w:color w:val="FFFFFF" w:themeColor="background1"/>
                    <w:szCs w:val="18"/>
                  </w:rPr>
                  <w:t>年</w:t>
                </w:r>
                <w:r>
                  <w:rPr>
                    <w:rFonts w:eastAsia="微软雅黑" w:hint="eastAsia"/>
                    <w:color w:val="FFFFFF" w:themeColor="background1"/>
                    <w:szCs w:val="18"/>
                  </w:rPr>
                  <w:t>12</w:t>
                </w:r>
                <w:r>
                  <w:rPr>
                    <w:rFonts w:eastAsia="微软雅黑" w:hint="eastAsia"/>
                    <w:color w:val="FFFFFF" w:themeColor="background1"/>
                    <w:szCs w:val="18"/>
                  </w:rPr>
                  <w:t>月</w:t>
                </w:r>
                <w:r>
                  <w:rPr>
                    <w:rFonts w:eastAsia="微软雅黑" w:hint="eastAsia"/>
                    <w:color w:val="FFFFFF" w:themeColor="background1"/>
                    <w:szCs w:val="18"/>
                  </w:rPr>
                  <w:t>16</w:t>
                </w:r>
                <w:r>
                  <w:rPr>
                    <w:rFonts w:eastAsia="微软雅黑" w:hint="eastAsia"/>
                    <w:color w:val="FFFFFF" w:themeColor="background1"/>
                    <w:szCs w:val="18"/>
                  </w:rPr>
                  <w:t>日</w:t>
                </w:r>
              </w:p>
            </w:tc>
          </w:sdtContent>
        </w:sdt>
        <w:tc>
          <w:tcPr>
            <w:tcW w:w="3767" w:type="dxa"/>
            <w:tcBorders>
              <w:top w:val="single" w:sz="4" w:space="0" w:color="0072BB"/>
              <w:right w:val="single" w:sz="4" w:space="0" w:color="0072BB"/>
            </w:tcBorders>
            <w:shd w:val="clear" w:color="auto" w:fill="014099"/>
            <w:tcMar>
              <w:left w:w="0" w:type="dxa"/>
            </w:tcMar>
            <w:vAlign w:val="center"/>
          </w:tcPr>
          <w:p w:rsidR="008436F3" w:rsidRPr="006E24B8" w:rsidRDefault="00F96901" w:rsidP="00460630">
            <w:pPr>
              <w:spacing w:line="280" w:lineRule="exact"/>
              <w:ind w:firstLineChars="200" w:firstLine="360"/>
              <w:jc w:val="right"/>
              <w:rPr>
                <w:rFonts w:eastAsia="微软雅黑"/>
                <w:color w:val="FFFFFF" w:themeColor="background1"/>
              </w:rPr>
            </w:pPr>
            <w:r w:rsidRPr="00F96901">
              <w:rPr>
                <w:rFonts w:eastAsia="微软雅黑" w:hint="eastAsia"/>
                <w:color w:val="FFFFFF" w:themeColor="background1"/>
              </w:rPr>
              <w:t>公司研究</w:t>
            </w:r>
            <w:r w:rsidRPr="00F96901">
              <w:rPr>
                <w:rFonts w:eastAsia="微软雅黑"/>
                <w:color w:val="FFFFFF" w:themeColor="background1"/>
              </w:rPr>
              <w:t>●</w:t>
            </w:r>
            <w:r w:rsidR="008436F3" w:rsidRPr="006E24B8">
              <w:rPr>
                <w:rFonts w:eastAsia="微软雅黑" w:hint="eastAsia"/>
                <w:color w:val="FFFFFF" w:themeColor="background1"/>
              </w:rPr>
              <w:t>证券研究报告</w:t>
            </w:r>
          </w:p>
        </w:tc>
      </w:tr>
      <w:tr w:rsidR="008436F3" w:rsidRPr="00B32701" w:rsidTr="004530D4">
        <w:trPr>
          <w:trHeight w:hRule="exact" w:val="680"/>
        </w:trPr>
        <w:tc>
          <w:tcPr>
            <w:tcW w:w="7562" w:type="dxa"/>
            <w:gridSpan w:val="2"/>
            <w:tcBorders>
              <w:bottom w:val="single" w:sz="4" w:space="0" w:color="0072BB"/>
            </w:tcBorders>
            <w:shd w:val="clear" w:color="auto" w:fill="014099"/>
            <w:vAlign w:val="center"/>
          </w:tcPr>
          <w:p w:rsidR="008436F3" w:rsidRPr="006F5600" w:rsidRDefault="00F05780" w:rsidP="001220DF">
            <w:pPr>
              <w:ind w:firstLineChars="140" w:firstLine="504"/>
              <w:rPr>
                <w:rFonts w:eastAsia="微软雅黑"/>
                <w:b/>
                <w:color w:val="FFFFFF" w:themeColor="background1"/>
                <w:sz w:val="36"/>
                <w:szCs w:val="36"/>
              </w:rPr>
            </w:pPr>
            <w:sdt>
              <w:sdtPr>
                <w:rPr>
                  <w:rFonts w:eastAsia="微软雅黑" w:hint="eastAsia"/>
                  <w:b/>
                  <w:color w:val="FFFFFF" w:themeColor="background1"/>
                  <w:sz w:val="36"/>
                  <w:szCs w:val="36"/>
                </w:rPr>
                <w:alias w:val="证券简称"/>
                <w:tag w:val="BDCONTENTCONTROL_b766412f-0328-45b2-9232-42b92a0c9f48"/>
                <w:id w:val="617885846"/>
                <w:placeholder>
                  <w:docPart w:val="A8B017BB32A84FC28836A53EF4BE5790"/>
                </w:placeholder>
              </w:sdtPr>
              <w:sdtEndPr/>
              <w:sdtContent>
                <w:r w:rsidR="00D05253">
                  <w:rPr>
                    <w:rFonts w:eastAsia="微软雅黑" w:hint="eastAsia"/>
                    <w:b/>
                    <w:color w:val="FFFFFF" w:themeColor="background1"/>
                    <w:sz w:val="36"/>
                    <w:szCs w:val="36"/>
                  </w:rPr>
                  <w:t>新华保险</w:t>
                </w:r>
              </w:sdtContent>
            </w:sdt>
            <w:r w:rsidR="00E20334">
              <w:rPr>
                <w:rFonts w:eastAsia="微软雅黑" w:hint="eastAsia"/>
                <w:b/>
                <w:color w:val="FFFFFF" w:themeColor="background1"/>
                <w:sz w:val="36"/>
                <w:szCs w:val="36"/>
              </w:rPr>
              <w:t>（</w:t>
            </w:r>
            <w:sdt>
              <w:sdtPr>
                <w:rPr>
                  <w:rFonts w:eastAsia="微软雅黑" w:hint="eastAsia"/>
                  <w:b/>
                  <w:color w:val="FFFFFF" w:themeColor="background1"/>
                  <w:sz w:val="36"/>
                  <w:szCs w:val="36"/>
                </w:rPr>
                <w:alias w:val="交易代码"/>
                <w:tag w:val="BDCONTENTCONTROL_d542be1c-a623-4c45-bc25-ff249f51085a"/>
                <w:id w:val="1704366510"/>
                <w:placeholder>
                  <w:docPart w:val="8A41C9F2273F433D891F340051C31418"/>
                </w:placeholder>
              </w:sdtPr>
              <w:sdtEndPr/>
              <w:sdtContent>
                <w:r w:rsidR="00D05253">
                  <w:rPr>
                    <w:rFonts w:eastAsia="微软雅黑"/>
                    <w:b/>
                    <w:color w:val="FFFFFF" w:themeColor="background1"/>
                    <w:sz w:val="36"/>
                    <w:szCs w:val="36"/>
                  </w:rPr>
                  <w:t>601336.SH</w:t>
                </w:r>
              </w:sdtContent>
            </w:sdt>
            <w:r w:rsidR="00E20334">
              <w:rPr>
                <w:rFonts w:eastAsia="微软雅黑" w:hint="eastAsia"/>
                <w:b/>
                <w:color w:val="FFFFFF" w:themeColor="background1"/>
                <w:sz w:val="36"/>
                <w:szCs w:val="36"/>
              </w:rPr>
              <w:t>）</w:t>
            </w:r>
          </w:p>
        </w:tc>
        <w:tc>
          <w:tcPr>
            <w:tcW w:w="3767" w:type="dxa"/>
            <w:tcBorders>
              <w:bottom w:val="single" w:sz="4" w:space="0" w:color="0072BB"/>
              <w:right w:val="single" w:sz="4" w:space="0" w:color="0072BB"/>
            </w:tcBorders>
            <w:shd w:val="clear" w:color="auto" w:fill="auto"/>
            <w:tcMar>
              <w:left w:w="0" w:type="dxa"/>
            </w:tcMar>
            <w:vAlign w:val="center"/>
          </w:tcPr>
          <w:p w:rsidR="008436F3" w:rsidRPr="00CB59CA" w:rsidRDefault="00F05780" w:rsidP="000F766D">
            <w:pPr>
              <w:ind w:firstLineChars="200" w:firstLine="720"/>
              <w:jc w:val="right"/>
              <w:rPr>
                <w:rFonts w:eastAsia="微软雅黑"/>
                <w:b/>
                <w:sz w:val="36"/>
                <w:szCs w:val="36"/>
              </w:rPr>
            </w:pPr>
            <w:sdt>
              <w:sdtPr>
                <w:rPr>
                  <w:rFonts w:eastAsia="微软雅黑" w:hint="eastAsia"/>
                  <w:b/>
                  <w:sz w:val="36"/>
                  <w:szCs w:val="36"/>
                </w:rPr>
                <w:alias w:val="报告类型"/>
                <w:tag w:val="BDCONTENTCONTROL_f67f09d3-d34e-4ede-bc43-ec2ae23f4757"/>
                <w:id w:val="300965426"/>
                <w:placeholder>
                  <w:docPart w:val="F344F4148DFD4BF384DB6A2525A9BBB7"/>
                </w:placeholder>
              </w:sdtPr>
              <w:sdtEndPr/>
              <w:sdtContent>
                <w:r w:rsidR="00D05253">
                  <w:rPr>
                    <w:rFonts w:eastAsia="微软雅黑" w:hint="eastAsia"/>
                    <w:b/>
                    <w:sz w:val="36"/>
                    <w:szCs w:val="36"/>
                  </w:rPr>
                  <w:t>公司快报</w:t>
                </w:r>
              </w:sdtContent>
            </w:sdt>
          </w:p>
        </w:tc>
      </w:tr>
      <w:tr w:rsidR="008436F3" w:rsidRPr="00B32701" w:rsidTr="00501B80">
        <w:trPr>
          <w:gridBefore w:val="1"/>
          <w:wBefore w:w="504" w:type="dxa"/>
          <w:trHeight w:val="13261"/>
        </w:trPr>
        <w:tc>
          <w:tcPr>
            <w:tcW w:w="7058" w:type="dxa"/>
            <w:tcBorders>
              <w:right w:val="single" w:sz="4" w:space="0" w:color="0072BB"/>
            </w:tcBorders>
            <w:tcMar>
              <w:right w:w="284" w:type="dxa"/>
            </w:tcMar>
          </w:tcPr>
          <w:sdt>
            <w:sdtPr>
              <w:rPr>
                <w:rFonts w:eastAsia="微软雅黑" w:hint="eastAsia"/>
                <w:b/>
                <w:sz w:val="32"/>
                <w:szCs w:val="32"/>
              </w:rPr>
              <w:alias w:val="副标题"/>
              <w:tag w:val="BDCONTENTCONTROL_AUTO_SAVE_SubTitle"/>
              <w:id w:val="-1756812414"/>
              <w:lock w:val="sdtLocked"/>
              <w:placeholder>
                <w:docPart w:val="F5E00A1D15E5439F8EC8EAF1E12A1D29"/>
              </w:placeholder>
            </w:sdtPr>
            <w:sdtEndPr/>
            <w:sdtContent>
              <w:p w:rsidR="00FD6BDE" w:rsidRPr="00C81278" w:rsidRDefault="00170404" w:rsidP="004530D4">
                <w:pPr>
                  <w:spacing w:beforeLines="50" w:before="156" w:afterLines="50" w:after="156"/>
                  <w:jc w:val="left"/>
                  <w:rPr>
                    <w:rFonts w:eastAsia="微软雅黑"/>
                    <w:b/>
                    <w:sz w:val="32"/>
                    <w:szCs w:val="32"/>
                  </w:rPr>
                </w:pPr>
                <w:r>
                  <w:rPr>
                    <w:rFonts w:eastAsia="微软雅黑" w:hint="eastAsia"/>
                    <w:b/>
                    <w:sz w:val="32"/>
                    <w:szCs w:val="32"/>
                  </w:rPr>
                  <w:t>2</w:t>
                </w:r>
                <w:r>
                  <w:rPr>
                    <w:rFonts w:eastAsia="微软雅黑"/>
                    <w:b/>
                    <w:sz w:val="32"/>
                    <w:szCs w:val="32"/>
                  </w:rPr>
                  <w:t>017</w:t>
                </w:r>
                <w:r>
                  <w:rPr>
                    <w:rFonts w:eastAsia="微软雅黑"/>
                    <w:b/>
                    <w:sz w:val="32"/>
                    <w:szCs w:val="32"/>
                  </w:rPr>
                  <w:t>仍聚焦转型</w:t>
                </w:r>
              </w:p>
            </w:sdtContent>
          </w:sdt>
          <w:sdt>
            <w:sdtPr>
              <w:rPr>
                <w:rFonts w:eastAsia="微软雅黑" w:hint="eastAsia"/>
                <w:b/>
                <w:szCs w:val="21"/>
              </w:rPr>
              <w:alias w:val="摘要"/>
              <w:tag w:val="BDCONTENTCONTROL_AUTO_SAVE_Summary"/>
              <w:id w:val="-10678249"/>
              <w:lock w:val="sdtLocked"/>
              <w:placeholder>
                <w:docPart w:val="F5E00A1D15E5439F8EC8EAF1E12A1D29"/>
              </w:placeholder>
            </w:sdtPr>
            <w:sdtEndPr>
              <w:rPr>
                <w:rFonts w:eastAsia="宋体"/>
                <w:b w:val="0"/>
                <w:szCs w:val="20"/>
              </w:rPr>
            </w:sdtEndPr>
            <w:sdtContent>
              <w:p w:rsidR="007E65D0" w:rsidRDefault="007E65D0" w:rsidP="0084492C">
                <w:pPr>
                  <w:rPr>
                    <w:rFonts w:eastAsia="微软雅黑"/>
                    <w:b/>
                    <w:szCs w:val="21"/>
                  </w:rPr>
                </w:pPr>
                <w:r w:rsidRPr="007B40B3">
                  <w:rPr>
                    <w:rFonts w:eastAsia="微软雅黑" w:hint="eastAsia"/>
                    <w:b/>
                    <w:szCs w:val="21"/>
                  </w:rPr>
                  <w:t>投资要点</w:t>
                </w:r>
              </w:p>
              <w:p w:rsidR="007E65D0" w:rsidRPr="007B40B3" w:rsidRDefault="007E65D0" w:rsidP="0084492C">
                <w:pPr>
                  <w:rPr>
                    <w:rFonts w:eastAsia="微软雅黑"/>
                    <w:b/>
                    <w:szCs w:val="21"/>
                  </w:rPr>
                </w:pPr>
              </w:p>
              <w:p w:rsidR="007E65D0" w:rsidRDefault="00170404" w:rsidP="004530D4">
                <w:pPr>
                  <w:pStyle w:val="a7"/>
                  <w:numPr>
                    <w:ilvl w:val="0"/>
                    <w:numId w:val="1"/>
                  </w:numPr>
                  <w:spacing w:afterLines="50" w:after="156"/>
                  <w:ind w:firstLineChars="0"/>
                  <w:rPr>
                    <w:rFonts w:eastAsia="微软雅黑"/>
                  </w:rPr>
                </w:pPr>
                <w:r>
                  <w:rPr>
                    <w:rFonts w:eastAsia="微软雅黑" w:hint="eastAsia"/>
                    <w:b/>
                  </w:rPr>
                  <w:t>保费负增长源于转型</w:t>
                </w:r>
                <w:r w:rsidR="007E65D0" w:rsidRPr="00C81278">
                  <w:rPr>
                    <w:rFonts w:eastAsia="微软雅黑" w:hint="eastAsia"/>
                    <w:b/>
                  </w:rPr>
                  <w:t>：</w:t>
                </w:r>
                <w:r>
                  <w:rPr>
                    <w:rFonts w:eastAsia="微软雅黑" w:hint="eastAsia"/>
                  </w:rPr>
                  <w:t>公司日前公布</w:t>
                </w:r>
                <w:r>
                  <w:rPr>
                    <w:rFonts w:eastAsia="微软雅黑" w:hint="eastAsia"/>
                  </w:rPr>
                  <w:t>2</w:t>
                </w:r>
                <w:r>
                  <w:rPr>
                    <w:rFonts w:eastAsia="微软雅黑"/>
                  </w:rPr>
                  <w:t>016</w:t>
                </w:r>
                <w:r>
                  <w:rPr>
                    <w:rFonts w:eastAsia="微软雅黑"/>
                  </w:rPr>
                  <w:t>年前</w:t>
                </w:r>
                <w:r>
                  <w:rPr>
                    <w:rFonts w:eastAsia="微软雅黑" w:hint="eastAsia"/>
                  </w:rPr>
                  <w:t>1</w:t>
                </w:r>
                <w:r>
                  <w:rPr>
                    <w:rFonts w:eastAsia="微软雅黑"/>
                  </w:rPr>
                  <w:t>1</w:t>
                </w:r>
                <w:r>
                  <w:rPr>
                    <w:rFonts w:eastAsia="微软雅黑"/>
                  </w:rPr>
                  <w:t>月保费数据</w:t>
                </w:r>
                <w:r>
                  <w:rPr>
                    <w:rFonts w:eastAsia="微软雅黑" w:hint="eastAsia"/>
                  </w:rPr>
                  <w:t>，</w:t>
                </w:r>
                <w:r>
                  <w:rPr>
                    <w:rFonts w:eastAsia="微软雅黑" w:hint="eastAsia"/>
                  </w:rPr>
                  <w:t>1-</w:t>
                </w:r>
                <w:r>
                  <w:rPr>
                    <w:rFonts w:eastAsia="微软雅黑"/>
                  </w:rPr>
                  <w:t>11</w:t>
                </w:r>
                <w:r>
                  <w:rPr>
                    <w:rFonts w:eastAsia="微软雅黑"/>
                  </w:rPr>
                  <w:t>月实现保费</w:t>
                </w:r>
                <w:r>
                  <w:rPr>
                    <w:rFonts w:eastAsia="微软雅黑" w:hint="eastAsia"/>
                  </w:rPr>
                  <w:t>1076</w:t>
                </w:r>
                <w:r>
                  <w:rPr>
                    <w:rFonts w:eastAsia="微软雅黑" w:hint="eastAsia"/>
                  </w:rPr>
                  <w:t>亿元，同比微增</w:t>
                </w:r>
                <w:r>
                  <w:rPr>
                    <w:rFonts w:eastAsia="微软雅黑" w:hint="eastAsia"/>
                  </w:rPr>
                  <w:t>0.32%</w:t>
                </w:r>
                <w:r>
                  <w:rPr>
                    <w:rFonts w:eastAsia="微软雅黑" w:hint="eastAsia"/>
                  </w:rPr>
                  <w:t>，单月</w:t>
                </w:r>
                <w:r>
                  <w:rPr>
                    <w:rFonts w:eastAsia="微软雅黑" w:hint="eastAsia"/>
                  </w:rPr>
                  <w:t>54.9</w:t>
                </w:r>
                <w:r>
                  <w:rPr>
                    <w:rFonts w:eastAsia="微软雅黑" w:hint="eastAsia"/>
                  </w:rPr>
                  <w:t>亿元，同比增</w:t>
                </w:r>
                <w:r>
                  <w:rPr>
                    <w:rFonts w:eastAsia="微软雅黑" w:hint="eastAsia"/>
                  </w:rPr>
                  <w:t>13.5%</w:t>
                </w:r>
                <w:r>
                  <w:rPr>
                    <w:rFonts w:eastAsia="微软雅黑" w:hint="eastAsia"/>
                  </w:rPr>
                  <w:t>，单月增速较快源于基数较低；新华</w:t>
                </w:r>
                <w:r>
                  <w:rPr>
                    <w:rFonts w:eastAsia="微软雅黑" w:hint="eastAsia"/>
                  </w:rPr>
                  <w:t>2017</w:t>
                </w:r>
                <w:r>
                  <w:rPr>
                    <w:rFonts w:eastAsia="微软雅黑" w:hint="eastAsia"/>
                  </w:rPr>
                  <w:t>年保费整体表现显著弱于其他三家，这与公司聚焦转型的思路是分不开的，公司主动压缩银保渠道趸交型保费，发力银保期缴端（上半年银保期缴同比增长</w:t>
                </w:r>
                <w:r>
                  <w:rPr>
                    <w:rFonts w:eastAsia="微软雅黑" w:hint="eastAsia"/>
                  </w:rPr>
                  <w:t>70.4%</w:t>
                </w:r>
                <w:r>
                  <w:rPr>
                    <w:rFonts w:eastAsia="微软雅黑" w:hint="eastAsia"/>
                  </w:rPr>
                  <w:t>）；并且个险渠道上半年也取得了不错成效，个险新保保费增长</w:t>
                </w:r>
                <w:r>
                  <w:rPr>
                    <w:rFonts w:eastAsia="微软雅黑" w:hint="eastAsia"/>
                  </w:rPr>
                  <w:t>27.1%</w:t>
                </w:r>
                <w:r>
                  <w:rPr>
                    <w:rFonts w:eastAsia="微软雅黑" w:hint="eastAsia"/>
                  </w:rPr>
                  <w:t>。</w:t>
                </w:r>
              </w:p>
              <w:p w:rsidR="00170404" w:rsidRDefault="00170404" w:rsidP="00170404">
                <w:pPr>
                  <w:pStyle w:val="a7"/>
                  <w:numPr>
                    <w:ilvl w:val="0"/>
                    <w:numId w:val="1"/>
                  </w:numPr>
                  <w:spacing w:afterLines="50" w:after="156"/>
                  <w:ind w:firstLineChars="0" w:firstLine="0"/>
                  <w:rPr>
                    <w:rFonts w:eastAsia="微软雅黑"/>
                  </w:rPr>
                </w:pPr>
                <w:r w:rsidRPr="00170404">
                  <w:rPr>
                    <w:rFonts w:eastAsia="微软雅黑" w:hint="eastAsia"/>
                    <w:b/>
                  </w:rPr>
                  <w:t>2</w:t>
                </w:r>
                <w:r w:rsidRPr="00170404">
                  <w:rPr>
                    <w:rFonts w:eastAsia="微软雅黑"/>
                    <w:b/>
                  </w:rPr>
                  <w:t>016</w:t>
                </w:r>
                <w:r w:rsidRPr="00170404">
                  <w:rPr>
                    <w:rFonts w:eastAsia="微软雅黑"/>
                    <w:b/>
                  </w:rPr>
                  <w:t>年拖累因素较多</w:t>
                </w:r>
                <w:r w:rsidR="007E65D0" w:rsidRPr="00170404">
                  <w:rPr>
                    <w:rFonts w:eastAsia="微软雅黑" w:hint="eastAsia"/>
                    <w:b/>
                  </w:rPr>
                  <w:t>：</w:t>
                </w:r>
                <w:r w:rsidRPr="00170404">
                  <w:rPr>
                    <w:rFonts w:eastAsia="微软雅黑" w:hint="eastAsia"/>
                  </w:rPr>
                  <w:t>受投资收益同比大幅下降和传统险准备金折现率假设下调等因素影响，公司</w:t>
                </w:r>
                <w:r w:rsidRPr="00170404">
                  <w:rPr>
                    <w:rFonts w:eastAsia="微软雅黑" w:hint="eastAsia"/>
                  </w:rPr>
                  <w:t>2016</w:t>
                </w:r>
                <w:r w:rsidRPr="00170404">
                  <w:rPr>
                    <w:rFonts w:eastAsia="微软雅黑" w:hint="eastAsia"/>
                  </w:rPr>
                  <w:t>年</w:t>
                </w:r>
                <w:r w:rsidRPr="00170404">
                  <w:rPr>
                    <w:rFonts w:eastAsia="微软雅黑" w:hint="eastAsia"/>
                  </w:rPr>
                  <w:t>1-3Q</w:t>
                </w:r>
                <w:r w:rsidRPr="00170404">
                  <w:rPr>
                    <w:rFonts w:eastAsia="微软雅黑" w:hint="eastAsia"/>
                  </w:rPr>
                  <w:t>归母净利润</w:t>
                </w:r>
                <w:r w:rsidRPr="00170404">
                  <w:rPr>
                    <w:rFonts w:eastAsia="微软雅黑" w:hint="eastAsia"/>
                  </w:rPr>
                  <w:t>47.86</w:t>
                </w:r>
                <w:r w:rsidRPr="00170404">
                  <w:rPr>
                    <w:rFonts w:eastAsia="微软雅黑" w:hint="eastAsia"/>
                  </w:rPr>
                  <w:t>亿元，同比下降</w:t>
                </w:r>
                <w:r w:rsidRPr="00170404">
                  <w:rPr>
                    <w:rFonts w:eastAsia="微软雅黑" w:hint="eastAsia"/>
                  </w:rPr>
                  <w:t>44.6%</w:t>
                </w:r>
                <w:r w:rsidRPr="00170404">
                  <w:rPr>
                    <w:rFonts w:eastAsia="微软雅黑" w:hint="eastAsia"/>
                  </w:rPr>
                  <w:t>，</w:t>
                </w:r>
                <w:r w:rsidRPr="00170404">
                  <w:rPr>
                    <w:rFonts w:eastAsia="微软雅黑" w:hint="eastAsia"/>
                  </w:rPr>
                  <w:t>Q3</w:t>
                </w:r>
                <w:r w:rsidRPr="00170404">
                  <w:rPr>
                    <w:rFonts w:eastAsia="微软雅黑" w:hint="eastAsia"/>
                  </w:rPr>
                  <w:t>净利润</w:t>
                </w:r>
                <w:r w:rsidRPr="00170404">
                  <w:rPr>
                    <w:rFonts w:eastAsia="微软雅黑" w:hint="eastAsia"/>
                  </w:rPr>
                  <w:t>14.53</w:t>
                </w:r>
                <w:r w:rsidRPr="00170404">
                  <w:rPr>
                    <w:rFonts w:eastAsia="微软雅黑" w:hint="eastAsia"/>
                  </w:rPr>
                  <w:t>亿元，同比下降</w:t>
                </w:r>
                <w:r w:rsidRPr="00170404">
                  <w:rPr>
                    <w:rFonts w:eastAsia="微软雅黑" w:hint="eastAsia"/>
                  </w:rPr>
                  <w:t>23.2%</w:t>
                </w:r>
                <w:r w:rsidRPr="00170404">
                  <w:rPr>
                    <w:rFonts w:eastAsia="微软雅黑" w:hint="eastAsia"/>
                  </w:rPr>
                  <w:t>。</w:t>
                </w:r>
                <w:r>
                  <w:rPr>
                    <w:rFonts w:eastAsia="微软雅黑" w:hint="eastAsia"/>
                  </w:rPr>
                  <w:t>不过值得注意的是，在净利润大幅低增长的背景下，公司上半年新业务价值仍取得了</w:t>
                </w:r>
                <w:r>
                  <w:rPr>
                    <w:rFonts w:eastAsia="微软雅黑" w:hint="eastAsia"/>
                  </w:rPr>
                  <w:t>1</w:t>
                </w:r>
                <w:r>
                  <w:rPr>
                    <w:rFonts w:eastAsia="微软雅黑"/>
                  </w:rPr>
                  <w:t>8.1</w:t>
                </w:r>
                <w:r>
                  <w:rPr>
                    <w:rFonts w:eastAsia="微软雅黑" w:hint="eastAsia"/>
                  </w:rPr>
                  <w:t>%</w:t>
                </w:r>
                <w:r>
                  <w:rPr>
                    <w:rFonts w:eastAsia="微软雅黑"/>
                  </w:rPr>
                  <w:t>的不错</w:t>
                </w:r>
                <w:r w:rsidR="00D05253">
                  <w:rPr>
                    <w:rFonts w:eastAsia="微软雅黑"/>
                  </w:rPr>
                  <w:t>增速</w:t>
                </w:r>
                <w:r>
                  <w:rPr>
                    <w:rFonts w:eastAsia="微软雅黑" w:hint="eastAsia"/>
                  </w:rPr>
                  <w:t>。</w:t>
                </w:r>
              </w:p>
              <w:p w:rsidR="007E65D0" w:rsidRPr="00170404" w:rsidRDefault="00170404" w:rsidP="00170404">
                <w:pPr>
                  <w:pStyle w:val="a7"/>
                  <w:numPr>
                    <w:ilvl w:val="0"/>
                    <w:numId w:val="1"/>
                  </w:numPr>
                  <w:spacing w:afterLines="50" w:after="156"/>
                  <w:ind w:firstLineChars="0" w:firstLine="0"/>
                  <w:rPr>
                    <w:rFonts w:eastAsia="微软雅黑"/>
                  </w:rPr>
                </w:pPr>
                <w:r w:rsidRPr="00170404">
                  <w:rPr>
                    <w:rFonts w:eastAsia="微软雅黑" w:hint="eastAsia"/>
                    <w:b/>
                  </w:rPr>
                  <w:t>2017</w:t>
                </w:r>
                <w:r w:rsidRPr="00170404">
                  <w:rPr>
                    <w:rFonts w:eastAsia="微软雅黑" w:hint="eastAsia"/>
                    <w:b/>
                  </w:rPr>
                  <w:t>仍然聚焦转型</w:t>
                </w:r>
                <w:r>
                  <w:rPr>
                    <w:rFonts w:eastAsia="微软雅黑" w:hint="eastAsia"/>
                    <w:b/>
                  </w:rPr>
                  <w:t>：</w:t>
                </w:r>
                <w:r w:rsidRPr="00170404">
                  <w:rPr>
                    <w:rFonts w:eastAsia="微软雅黑" w:hint="eastAsia"/>
                  </w:rPr>
                  <w:t>公司</w:t>
                </w:r>
                <w:r>
                  <w:rPr>
                    <w:rFonts w:eastAsia="微软雅黑" w:hint="eastAsia"/>
                  </w:rPr>
                  <w:t>今年以来多次</w:t>
                </w:r>
                <w:r w:rsidRPr="00170404">
                  <w:rPr>
                    <w:rFonts w:eastAsia="微软雅黑" w:hint="eastAsia"/>
                  </w:rPr>
                  <w:t>明确</w:t>
                </w:r>
                <w:r>
                  <w:rPr>
                    <w:rFonts w:eastAsia="微软雅黑" w:hint="eastAsia"/>
                  </w:rPr>
                  <w:t>表示，</w:t>
                </w:r>
                <w:r w:rsidRPr="00170404">
                  <w:rPr>
                    <w:rFonts w:eastAsia="微软雅黑" w:hint="eastAsia"/>
                  </w:rPr>
                  <w:t>未来</w:t>
                </w:r>
                <w:r w:rsidRPr="00170404">
                  <w:rPr>
                    <w:rFonts w:eastAsia="微软雅黑" w:hint="eastAsia"/>
                  </w:rPr>
                  <w:t>5</w:t>
                </w:r>
                <w:r w:rsidRPr="00170404">
                  <w:rPr>
                    <w:rFonts w:eastAsia="微软雅黑" w:hint="eastAsia"/>
                  </w:rPr>
                  <w:t>年“价值转型”的两大发展步骤：</w:t>
                </w:r>
                <w:r w:rsidRPr="00170404">
                  <w:rPr>
                    <w:rFonts w:eastAsia="微软雅黑" w:hint="eastAsia"/>
                  </w:rPr>
                  <w:t>1</w:t>
                </w:r>
                <w:r w:rsidRPr="00170404">
                  <w:rPr>
                    <w:rFonts w:eastAsia="微软雅黑" w:hint="eastAsia"/>
                  </w:rPr>
                  <w:t>）</w:t>
                </w:r>
                <w:r w:rsidRPr="00170404">
                  <w:rPr>
                    <w:rFonts w:eastAsia="微软雅黑" w:hint="eastAsia"/>
                  </w:rPr>
                  <w:t>2016-2017</w:t>
                </w:r>
                <w:r w:rsidRPr="00170404">
                  <w:rPr>
                    <w:rFonts w:eastAsia="微软雅黑" w:hint="eastAsia"/>
                  </w:rPr>
                  <w:t>年，缩减银保趸交业务，以期交和续交保费逐步替代趸交保费，预计在此期间保费收入将保持零增长或小幅下降。</w:t>
                </w:r>
                <w:r w:rsidRPr="00170404">
                  <w:rPr>
                    <w:rFonts w:eastAsia="微软雅黑" w:hint="eastAsia"/>
                  </w:rPr>
                  <w:t>2</w:t>
                </w:r>
                <w:r w:rsidRPr="00170404">
                  <w:rPr>
                    <w:rFonts w:eastAsia="微软雅黑" w:hint="eastAsia"/>
                  </w:rPr>
                  <w:t>）</w:t>
                </w:r>
                <w:r w:rsidRPr="00170404">
                  <w:rPr>
                    <w:rFonts w:eastAsia="微软雅黑" w:hint="eastAsia"/>
                  </w:rPr>
                  <w:t>2018-2020</w:t>
                </w:r>
                <w:r w:rsidRPr="00170404">
                  <w:rPr>
                    <w:rFonts w:eastAsia="微软雅黑" w:hint="eastAsia"/>
                  </w:rPr>
                  <w:t>年，削减趸交业务完成，长期期交保费预计将驱使保费规模以超过</w:t>
                </w:r>
                <w:r w:rsidRPr="00170404">
                  <w:rPr>
                    <w:rFonts w:eastAsia="微软雅黑" w:hint="eastAsia"/>
                  </w:rPr>
                  <w:t>20%</w:t>
                </w:r>
                <w:r w:rsidRPr="00170404">
                  <w:rPr>
                    <w:rFonts w:eastAsia="微软雅黑" w:hint="eastAsia"/>
                  </w:rPr>
                  <w:t>的速度增长。同时，新华保险将着重建立健康险、养老险等在市场上领先的产品的差异化优势。代理人队伍方面，通过推动人均产能提升取代以增员为业绩驱动的主要因素。</w:t>
                </w:r>
              </w:p>
              <w:p w:rsidR="007E65D0" w:rsidRPr="00C81278" w:rsidRDefault="007E65D0" w:rsidP="004530D4">
                <w:pPr>
                  <w:pStyle w:val="a7"/>
                  <w:numPr>
                    <w:ilvl w:val="0"/>
                    <w:numId w:val="1"/>
                  </w:numPr>
                  <w:spacing w:afterLines="50" w:after="156"/>
                  <w:ind w:firstLineChars="0"/>
                  <w:rPr>
                    <w:rFonts w:eastAsia="微软雅黑"/>
                    <w:b/>
                  </w:rPr>
                </w:pPr>
                <w:r w:rsidRPr="00C81278">
                  <w:rPr>
                    <w:rFonts w:eastAsia="微软雅黑" w:hint="eastAsia"/>
                    <w:b/>
                  </w:rPr>
                  <w:t>投资建议</w:t>
                </w:r>
                <w:r>
                  <w:rPr>
                    <w:rFonts w:eastAsia="微软雅黑" w:hint="eastAsia"/>
                    <w:b/>
                  </w:rPr>
                  <w:t>：</w:t>
                </w:r>
                <w:r w:rsidRPr="00C81278">
                  <w:rPr>
                    <w:rFonts w:eastAsia="微软雅黑" w:hint="eastAsia"/>
                  </w:rPr>
                  <w:t>我们</w:t>
                </w:r>
                <w:r w:rsidR="00701137">
                  <w:rPr>
                    <w:rFonts w:eastAsia="微软雅黑" w:hint="eastAsia"/>
                  </w:rPr>
                  <w:t>预计</w:t>
                </w:r>
                <w:r w:rsidR="00701137">
                  <w:rPr>
                    <w:rFonts w:eastAsia="微软雅黑" w:hint="eastAsia"/>
                  </w:rPr>
                  <w:t>2</w:t>
                </w:r>
                <w:r w:rsidR="00701137">
                  <w:rPr>
                    <w:rFonts w:eastAsia="微软雅黑"/>
                  </w:rPr>
                  <w:t>017</w:t>
                </w:r>
                <w:r w:rsidR="00701137">
                  <w:rPr>
                    <w:rFonts w:eastAsia="微软雅黑"/>
                  </w:rPr>
                  <w:t>年市场或将迎来流动性边际拐点</w:t>
                </w:r>
                <w:r w:rsidR="00701137">
                  <w:rPr>
                    <w:rFonts w:eastAsia="微软雅黑" w:hint="eastAsia"/>
                  </w:rPr>
                  <w:t>，</w:t>
                </w:r>
                <w:r w:rsidR="00701137">
                  <w:rPr>
                    <w:rFonts w:eastAsia="微软雅黑"/>
                  </w:rPr>
                  <w:t>这无疑对寿险公司的极其有利的</w:t>
                </w:r>
                <w:r w:rsidR="00701137">
                  <w:rPr>
                    <w:rFonts w:eastAsia="微软雅黑" w:hint="eastAsia"/>
                  </w:rPr>
                  <w:t>，</w:t>
                </w:r>
                <w:r w:rsidR="00701137">
                  <w:rPr>
                    <w:rFonts w:eastAsia="微软雅黑"/>
                  </w:rPr>
                  <w:t>新华保险作为纯粹的寿险股</w:t>
                </w:r>
                <w:r w:rsidR="00701137">
                  <w:rPr>
                    <w:rFonts w:eastAsia="微软雅黑" w:hint="eastAsia"/>
                  </w:rPr>
                  <w:t>，</w:t>
                </w:r>
                <w:r w:rsidR="00701137">
                  <w:rPr>
                    <w:rFonts w:eastAsia="微软雅黑"/>
                  </w:rPr>
                  <w:t>其价值转型同样值得期待</w:t>
                </w:r>
                <w:r w:rsidR="00701137">
                  <w:rPr>
                    <w:rFonts w:eastAsia="微软雅黑" w:hint="eastAsia"/>
                  </w:rPr>
                  <w:t>。预计公司</w:t>
                </w:r>
                <w:r w:rsidR="00170404">
                  <w:rPr>
                    <w:rFonts w:eastAsia="微软雅黑"/>
                  </w:rPr>
                  <w:t>2016</w:t>
                </w:r>
                <w:r>
                  <w:rPr>
                    <w:rFonts w:eastAsia="微软雅黑" w:hint="eastAsia"/>
                  </w:rPr>
                  <w:t>年至</w:t>
                </w:r>
                <w:r w:rsidR="00170404">
                  <w:rPr>
                    <w:rFonts w:eastAsia="微软雅黑"/>
                  </w:rPr>
                  <w:t>2018</w:t>
                </w:r>
                <w:r>
                  <w:rPr>
                    <w:rFonts w:eastAsia="微软雅黑" w:hint="eastAsia"/>
                  </w:rPr>
                  <w:t>年每股收益分别为</w:t>
                </w:r>
                <w:r w:rsidR="007155C8">
                  <w:rPr>
                    <w:rFonts w:eastAsia="微软雅黑"/>
                  </w:rPr>
                  <w:t>2.02</w:t>
                </w:r>
                <w:r w:rsidR="007155C8">
                  <w:rPr>
                    <w:rFonts w:eastAsia="微软雅黑" w:hint="eastAsia"/>
                  </w:rPr>
                  <w:t>、</w:t>
                </w:r>
                <w:r w:rsidR="007155C8">
                  <w:rPr>
                    <w:rFonts w:eastAsia="微软雅黑" w:hint="eastAsia"/>
                  </w:rPr>
                  <w:t>2</w:t>
                </w:r>
                <w:r w:rsidR="007155C8">
                  <w:rPr>
                    <w:rFonts w:eastAsia="微软雅黑"/>
                  </w:rPr>
                  <w:t>.38</w:t>
                </w:r>
                <w:r w:rsidR="007155C8">
                  <w:rPr>
                    <w:rFonts w:eastAsia="微软雅黑" w:hint="eastAsia"/>
                  </w:rPr>
                  <w:t>、</w:t>
                </w:r>
                <w:r w:rsidR="007155C8">
                  <w:rPr>
                    <w:rFonts w:eastAsia="微软雅黑" w:hint="eastAsia"/>
                  </w:rPr>
                  <w:t>2</w:t>
                </w:r>
                <w:r w:rsidR="007155C8">
                  <w:rPr>
                    <w:rFonts w:eastAsia="微软雅黑"/>
                  </w:rPr>
                  <w:t>.88</w:t>
                </w:r>
                <w:r>
                  <w:rPr>
                    <w:rFonts w:eastAsia="微软雅黑" w:hint="eastAsia"/>
                  </w:rPr>
                  <w:t>元。净资产收益率分别为</w:t>
                </w:r>
                <w:r w:rsidR="007155C8">
                  <w:rPr>
                    <w:rFonts w:eastAsia="微软雅黑"/>
                  </w:rPr>
                  <w:t>10.3</w:t>
                </w:r>
                <w:r>
                  <w:rPr>
                    <w:rFonts w:eastAsia="微软雅黑" w:hint="eastAsia"/>
                  </w:rPr>
                  <w:t>%</w:t>
                </w:r>
                <w:r>
                  <w:rPr>
                    <w:rFonts w:eastAsia="微软雅黑" w:hint="eastAsia"/>
                  </w:rPr>
                  <w:t>、</w:t>
                </w:r>
                <w:r>
                  <w:rPr>
                    <w:rFonts w:eastAsia="微软雅黑" w:hint="eastAsia"/>
                  </w:rPr>
                  <w:t xml:space="preserve"> </w:t>
                </w:r>
                <w:r w:rsidR="007155C8">
                  <w:rPr>
                    <w:rFonts w:eastAsia="微软雅黑"/>
                  </w:rPr>
                  <w:t>10.9</w:t>
                </w:r>
                <w:r>
                  <w:rPr>
                    <w:rFonts w:eastAsia="微软雅黑" w:hint="eastAsia"/>
                  </w:rPr>
                  <w:t xml:space="preserve">% </w:t>
                </w:r>
                <w:r>
                  <w:rPr>
                    <w:rFonts w:eastAsia="微软雅黑" w:hint="eastAsia"/>
                  </w:rPr>
                  <w:t>和</w:t>
                </w:r>
                <w:r w:rsidR="007155C8">
                  <w:rPr>
                    <w:rFonts w:eastAsia="微软雅黑"/>
                  </w:rPr>
                  <w:t>12.0</w:t>
                </w:r>
                <w:r>
                  <w:rPr>
                    <w:rFonts w:eastAsia="微软雅黑" w:hint="eastAsia"/>
                  </w:rPr>
                  <w:t>%</w:t>
                </w:r>
                <w:r>
                  <w:rPr>
                    <w:rFonts w:eastAsia="微软雅黑" w:hint="eastAsia"/>
                  </w:rPr>
                  <w:t>，</w:t>
                </w:r>
                <w:r w:rsidR="007155C8">
                  <w:rPr>
                    <w:rFonts w:eastAsia="微软雅黑" w:hint="eastAsia"/>
                  </w:rPr>
                  <w:t>目前新华</w:t>
                </w:r>
                <w:r w:rsidR="007155C8">
                  <w:rPr>
                    <w:rFonts w:eastAsia="微软雅黑" w:hint="eastAsia"/>
                  </w:rPr>
                  <w:t>2</w:t>
                </w:r>
                <w:r w:rsidR="007155C8">
                  <w:rPr>
                    <w:rFonts w:eastAsia="微软雅黑"/>
                  </w:rPr>
                  <w:t>017P/EV</w:t>
                </w:r>
                <w:r w:rsidR="007155C8">
                  <w:rPr>
                    <w:rFonts w:eastAsia="微软雅黑"/>
                  </w:rPr>
                  <w:t>约在</w:t>
                </w:r>
                <w:r w:rsidR="007155C8">
                  <w:rPr>
                    <w:rFonts w:eastAsia="微软雅黑" w:hint="eastAsia"/>
                  </w:rPr>
                  <w:t>1.1X</w:t>
                </w:r>
                <w:r w:rsidR="007155C8">
                  <w:rPr>
                    <w:rFonts w:eastAsia="微软雅黑" w:hint="eastAsia"/>
                  </w:rPr>
                  <w:t>左右，预计在转型预期以及利率拐点催化下有望推升至</w:t>
                </w:r>
                <w:r w:rsidR="007155C8">
                  <w:rPr>
                    <w:rFonts w:eastAsia="微软雅黑" w:hint="eastAsia"/>
                  </w:rPr>
                  <w:t>1</w:t>
                </w:r>
                <w:r w:rsidR="007155C8">
                  <w:rPr>
                    <w:rFonts w:eastAsia="微软雅黑"/>
                  </w:rPr>
                  <w:t>.4X</w:t>
                </w:r>
                <w:r w:rsidR="007155C8">
                  <w:rPr>
                    <w:rFonts w:eastAsia="微软雅黑"/>
                  </w:rPr>
                  <w:t>左右</w:t>
                </w:r>
                <w:r w:rsidR="007155C8">
                  <w:rPr>
                    <w:rFonts w:eastAsia="微软雅黑"/>
                  </w:rPr>
                  <w:t>P/EV</w:t>
                </w:r>
                <w:r w:rsidR="007155C8">
                  <w:rPr>
                    <w:rFonts w:eastAsia="微软雅黑" w:hint="eastAsia"/>
                  </w:rPr>
                  <w:t>，</w:t>
                </w:r>
                <w:r>
                  <w:rPr>
                    <w:rFonts w:eastAsia="微软雅黑" w:hint="eastAsia"/>
                  </w:rPr>
                  <w:t>给予</w:t>
                </w:r>
                <w:r w:rsidR="007155C8">
                  <w:rPr>
                    <w:rFonts w:eastAsia="微软雅黑" w:hint="eastAsia"/>
                  </w:rPr>
                  <w:t>买入</w:t>
                </w:r>
                <w:r>
                  <w:rPr>
                    <w:rFonts w:eastAsia="微软雅黑" w:hint="eastAsia"/>
                  </w:rPr>
                  <w:t>-A</w:t>
                </w:r>
                <w:r>
                  <w:rPr>
                    <w:rFonts w:eastAsia="微软雅黑" w:hint="eastAsia"/>
                  </w:rPr>
                  <w:t>建议，</w:t>
                </w:r>
                <w:r>
                  <w:rPr>
                    <w:rFonts w:eastAsia="微软雅黑" w:hint="eastAsia"/>
                  </w:rPr>
                  <w:t>6</w:t>
                </w:r>
                <w:r>
                  <w:rPr>
                    <w:rFonts w:eastAsia="微软雅黑" w:hint="eastAsia"/>
                  </w:rPr>
                  <w:t>个月目标价为</w:t>
                </w:r>
                <w:r w:rsidR="0050127B">
                  <w:rPr>
                    <w:rFonts w:eastAsia="微软雅黑" w:hint="eastAsia"/>
                  </w:rPr>
                  <w:t>56.1</w:t>
                </w:r>
                <w:r w:rsidR="0050127B">
                  <w:rPr>
                    <w:rFonts w:eastAsia="微软雅黑" w:hint="eastAsia"/>
                  </w:rPr>
                  <w:t>元</w:t>
                </w:r>
                <w:r>
                  <w:rPr>
                    <w:rFonts w:eastAsia="微软雅黑" w:hint="eastAsia"/>
                  </w:rPr>
                  <w:t>。</w:t>
                </w:r>
              </w:p>
              <w:p w:rsidR="0084492C" w:rsidRPr="007155C8" w:rsidRDefault="007E65D0" w:rsidP="004530D4">
                <w:pPr>
                  <w:pStyle w:val="a7"/>
                  <w:numPr>
                    <w:ilvl w:val="0"/>
                    <w:numId w:val="1"/>
                  </w:numPr>
                  <w:spacing w:afterLines="50" w:after="156"/>
                  <w:ind w:firstLineChars="0"/>
                  <w:rPr>
                    <w:rFonts w:eastAsia="微软雅黑"/>
                  </w:rPr>
                </w:pPr>
                <w:r w:rsidRPr="00C81278">
                  <w:rPr>
                    <w:rFonts w:eastAsia="微软雅黑" w:hint="eastAsia"/>
                    <w:b/>
                  </w:rPr>
                  <w:t>风险提示：</w:t>
                </w:r>
                <w:r w:rsidR="00D05253">
                  <w:rPr>
                    <w:rFonts w:eastAsia="微软雅黑" w:hint="eastAsia"/>
                  </w:rPr>
                  <w:t>股票市场超预期下跌；国债收益率再次</w:t>
                </w:r>
                <w:r w:rsidR="007155C8">
                  <w:rPr>
                    <w:rFonts w:eastAsia="微软雅黑" w:hint="eastAsia"/>
                  </w:rPr>
                  <w:t>下行</w:t>
                </w:r>
              </w:p>
            </w:sdtContent>
          </w:sdt>
          <w:p w:rsidR="00C81278" w:rsidRDefault="00C81278" w:rsidP="0084492C"/>
          <w:p w:rsidR="00EA017D" w:rsidRPr="00FD6BDE" w:rsidRDefault="00925027" w:rsidP="004530D4">
            <w:pPr>
              <w:spacing w:afterLines="50" w:after="156"/>
            </w:pPr>
            <w:r>
              <w:rPr>
                <w:rFonts w:eastAsia="微软雅黑" w:hint="eastAsia"/>
                <w:b/>
              </w:rPr>
              <w:t>财务数据与</w:t>
            </w:r>
            <w:r w:rsidR="009556E1" w:rsidRPr="00337816">
              <w:rPr>
                <w:rFonts w:eastAsia="微软雅黑" w:hint="eastAsia"/>
                <w:b/>
              </w:rPr>
              <w:t>估值</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28" w:type="dxa"/>
              </w:tblCellMar>
              <w:tblLook w:val="04A0" w:firstRow="1" w:lastRow="0" w:firstColumn="1" w:lastColumn="0" w:noHBand="0" w:noVBand="1"/>
            </w:tblPr>
            <w:tblGrid>
              <w:gridCol w:w="6651"/>
            </w:tblGrid>
            <w:tr w:rsidR="00351D85" w:rsidRPr="00351D85" w:rsidTr="00351D85">
              <w:tc>
                <w:tcPr>
                  <w:tcW w:w="6651" w:type="dxa"/>
                </w:tcPr>
                <w:p w:rsidR="00351D85" w:rsidRPr="00351D85" w:rsidRDefault="00351D85" w:rsidP="00351D85">
                  <w:pPr>
                    <w:spacing w:line="14" w:lineRule="exact"/>
                  </w:pPr>
                </w:p>
                <w:sdt>
                  <w:sdtPr>
                    <w:rPr>
                      <w:rFonts w:hint="eastAsia"/>
                    </w:rPr>
                    <w:alias w:val="财务数据与估值"/>
                    <w:tag w:val="BDCONTENTCONTROL_ValuationModel_TABLE"/>
                    <w:id w:val="1474482453"/>
                    <w:placeholder>
                      <w:docPart w:val="F5E00A1D15E5439F8EC8EAF1E12A1D29"/>
                    </w:placeholder>
                  </w:sdtPr>
                  <w:sdtEndPr/>
                  <w:sdtContent>
                    <w:p w:rsidR="00351D85" w:rsidRDefault="00351D85" w:rsidP="00351D85">
                      <w:pPr>
                        <w:spacing w:line="14" w:lineRule="exact"/>
                      </w:pPr>
                    </w:p>
                    <w:tbl>
                      <w:tblPr>
                        <w:tblStyle w:val="a6"/>
                        <w:tblW w:w="66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28" w:type="dxa"/>
                        </w:tblCellMar>
                        <w:tblLook w:val="04A0" w:firstRow="1" w:lastRow="0" w:firstColumn="1" w:lastColumn="0" w:noHBand="0" w:noVBand="1"/>
                      </w:tblPr>
                      <w:tblGrid>
                        <w:gridCol w:w="1480"/>
                        <w:gridCol w:w="1037"/>
                        <w:gridCol w:w="1037"/>
                        <w:gridCol w:w="1037"/>
                        <w:gridCol w:w="1037"/>
                        <w:gridCol w:w="1037"/>
                      </w:tblGrid>
                      <w:tr w:rsidR="007155C8" w:rsidRPr="00351D85" w:rsidTr="007155C8">
                        <w:trPr>
                          <w:trHeight w:val="283"/>
                        </w:trPr>
                        <w:tc>
                          <w:tcPr>
                            <w:tcW w:w="1480" w:type="dxa"/>
                            <w:tcBorders>
                              <w:top w:val="single" w:sz="4" w:space="0" w:color="0072BB"/>
                              <w:bottom w:val="single" w:sz="4" w:space="0" w:color="0072BB"/>
                            </w:tcBorders>
                            <w:shd w:val="clear" w:color="auto" w:fill="auto"/>
                            <w:vAlign w:val="bottom"/>
                          </w:tcPr>
                          <w:p w:rsidR="007155C8" w:rsidRPr="007155C8" w:rsidRDefault="007155C8" w:rsidP="007155C8">
                            <w:pPr>
                              <w:jc w:val="center"/>
                              <w:rPr>
                                <w:rFonts w:eastAsia="微软雅黑"/>
                              </w:rPr>
                            </w:pPr>
                            <w:r w:rsidRPr="007155C8">
                              <w:rPr>
                                <w:rFonts w:eastAsia="微软雅黑" w:hint="eastAsia"/>
                              </w:rPr>
                              <w:t>摘要（百万元）</w:t>
                            </w:r>
                          </w:p>
                        </w:tc>
                        <w:tc>
                          <w:tcPr>
                            <w:tcW w:w="1037" w:type="dxa"/>
                            <w:tcBorders>
                              <w:top w:val="single" w:sz="4" w:space="0" w:color="0072BB"/>
                              <w:bottom w:val="single" w:sz="4" w:space="0" w:color="0072BB"/>
                            </w:tcBorders>
                            <w:shd w:val="clear" w:color="auto" w:fill="auto"/>
                            <w:vAlign w:val="bottom"/>
                          </w:tcPr>
                          <w:p w:rsidR="007155C8" w:rsidRPr="007155C8" w:rsidRDefault="007155C8" w:rsidP="007155C8">
                            <w:pPr>
                              <w:jc w:val="center"/>
                              <w:rPr>
                                <w:rFonts w:eastAsia="微软雅黑"/>
                              </w:rPr>
                            </w:pPr>
                            <w:r w:rsidRPr="007155C8">
                              <w:rPr>
                                <w:rFonts w:eastAsia="微软雅黑"/>
                              </w:rPr>
                              <w:t>2014A</w:t>
                            </w:r>
                          </w:p>
                        </w:tc>
                        <w:tc>
                          <w:tcPr>
                            <w:tcW w:w="1037" w:type="dxa"/>
                            <w:tcBorders>
                              <w:top w:val="single" w:sz="4" w:space="0" w:color="0072BB"/>
                              <w:bottom w:val="single" w:sz="4" w:space="0" w:color="0072BB"/>
                            </w:tcBorders>
                            <w:shd w:val="clear" w:color="auto" w:fill="auto"/>
                            <w:vAlign w:val="bottom"/>
                          </w:tcPr>
                          <w:p w:rsidR="007155C8" w:rsidRPr="007155C8" w:rsidRDefault="007155C8" w:rsidP="007155C8">
                            <w:pPr>
                              <w:jc w:val="center"/>
                              <w:rPr>
                                <w:rFonts w:eastAsia="微软雅黑"/>
                              </w:rPr>
                            </w:pPr>
                            <w:r w:rsidRPr="007155C8">
                              <w:rPr>
                                <w:rFonts w:eastAsia="微软雅黑"/>
                              </w:rPr>
                              <w:t>2015A</w:t>
                            </w:r>
                          </w:p>
                        </w:tc>
                        <w:tc>
                          <w:tcPr>
                            <w:tcW w:w="1037" w:type="dxa"/>
                            <w:tcBorders>
                              <w:top w:val="single" w:sz="4" w:space="0" w:color="0072BB"/>
                              <w:bottom w:val="single" w:sz="4" w:space="0" w:color="0072BB"/>
                            </w:tcBorders>
                            <w:shd w:val="clear" w:color="auto" w:fill="auto"/>
                            <w:vAlign w:val="bottom"/>
                          </w:tcPr>
                          <w:p w:rsidR="007155C8" w:rsidRPr="007155C8" w:rsidRDefault="007155C8" w:rsidP="007155C8">
                            <w:pPr>
                              <w:jc w:val="center"/>
                              <w:rPr>
                                <w:rFonts w:eastAsia="微软雅黑"/>
                              </w:rPr>
                            </w:pPr>
                            <w:r w:rsidRPr="007155C8">
                              <w:rPr>
                                <w:rFonts w:eastAsia="微软雅黑"/>
                              </w:rPr>
                              <w:t>2016E</w:t>
                            </w:r>
                          </w:p>
                        </w:tc>
                        <w:tc>
                          <w:tcPr>
                            <w:tcW w:w="1037" w:type="dxa"/>
                            <w:tcBorders>
                              <w:top w:val="single" w:sz="4" w:space="0" w:color="0072BB"/>
                              <w:bottom w:val="single" w:sz="4" w:space="0" w:color="0072BB"/>
                            </w:tcBorders>
                            <w:shd w:val="clear" w:color="auto" w:fill="auto"/>
                            <w:vAlign w:val="bottom"/>
                          </w:tcPr>
                          <w:p w:rsidR="007155C8" w:rsidRPr="007155C8" w:rsidRDefault="007155C8" w:rsidP="007155C8">
                            <w:pPr>
                              <w:jc w:val="center"/>
                              <w:rPr>
                                <w:rFonts w:eastAsia="微软雅黑"/>
                              </w:rPr>
                            </w:pPr>
                            <w:r w:rsidRPr="007155C8">
                              <w:rPr>
                                <w:rFonts w:eastAsia="微软雅黑"/>
                              </w:rPr>
                              <w:t>2017E</w:t>
                            </w:r>
                          </w:p>
                        </w:tc>
                        <w:tc>
                          <w:tcPr>
                            <w:tcW w:w="1037" w:type="dxa"/>
                            <w:tcBorders>
                              <w:top w:val="single" w:sz="4" w:space="0" w:color="0072BB"/>
                              <w:bottom w:val="single" w:sz="4" w:space="0" w:color="0072BB"/>
                            </w:tcBorders>
                            <w:shd w:val="clear" w:color="auto" w:fill="auto"/>
                            <w:vAlign w:val="bottom"/>
                          </w:tcPr>
                          <w:p w:rsidR="007155C8" w:rsidRPr="007155C8" w:rsidRDefault="007155C8" w:rsidP="007155C8">
                            <w:pPr>
                              <w:jc w:val="center"/>
                              <w:rPr>
                                <w:rFonts w:eastAsia="微软雅黑"/>
                              </w:rPr>
                            </w:pPr>
                            <w:r w:rsidRPr="007155C8">
                              <w:rPr>
                                <w:rFonts w:eastAsia="微软雅黑"/>
                              </w:rPr>
                              <w:t>2018E</w:t>
                            </w:r>
                          </w:p>
                        </w:tc>
                      </w:tr>
                      <w:tr w:rsidR="007155C8" w:rsidRPr="00351D85" w:rsidTr="007155C8">
                        <w:trPr>
                          <w:trHeight w:val="283"/>
                        </w:trPr>
                        <w:tc>
                          <w:tcPr>
                            <w:tcW w:w="1480" w:type="dxa"/>
                            <w:tcBorders>
                              <w:top w:val="single" w:sz="4" w:space="0" w:color="0072BB"/>
                            </w:tcBorders>
                            <w:vAlign w:val="bottom"/>
                          </w:tcPr>
                          <w:p w:rsidR="007155C8" w:rsidRPr="007155C8" w:rsidRDefault="007155C8" w:rsidP="007155C8">
                            <w:pPr>
                              <w:jc w:val="right"/>
                              <w:rPr>
                                <w:rFonts w:eastAsia="微软雅黑"/>
                              </w:rPr>
                            </w:pPr>
                            <w:r w:rsidRPr="007155C8">
                              <w:rPr>
                                <w:rFonts w:eastAsia="微软雅黑" w:hint="eastAsia"/>
                              </w:rPr>
                              <w:t>保费收入</w:t>
                            </w:r>
                          </w:p>
                        </w:tc>
                        <w:tc>
                          <w:tcPr>
                            <w:tcW w:w="1037" w:type="dxa"/>
                            <w:tcBorders>
                              <w:top w:val="single" w:sz="4" w:space="0" w:color="0072BB"/>
                            </w:tcBorders>
                            <w:vAlign w:val="bottom"/>
                          </w:tcPr>
                          <w:p w:rsidR="007155C8" w:rsidRPr="007155C8" w:rsidRDefault="007155C8" w:rsidP="007155C8">
                            <w:pPr>
                              <w:jc w:val="center"/>
                              <w:rPr>
                                <w:rFonts w:eastAsia="微软雅黑"/>
                              </w:rPr>
                            </w:pPr>
                            <w:r w:rsidRPr="007155C8">
                              <w:rPr>
                                <w:rFonts w:eastAsia="微软雅黑"/>
                              </w:rPr>
                              <w:t>109,868</w:t>
                            </w:r>
                          </w:p>
                        </w:tc>
                        <w:tc>
                          <w:tcPr>
                            <w:tcW w:w="1037" w:type="dxa"/>
                            <w:tcBorders>
                              <w:top w:val="single" w:sz="4" w:space="0" w:color="0072BB"/>
                            </w:tcBorders>
                            <w:vAlign w:val="bottom"/>
                          </w:tcPr>
                          <w:p w:rsidR="007155C8" w:rsidRPr="007155C8" w:rsidRDefault="007155C8" w:rsidP="007155C8">
                            <w:pPr>
                              <w:jc w:val="center"/>
                              <w:rPr>
                                <w:rFonts w:eastAsia="微软雅黑"/>
                              </w:rPr>
                            </w:pPr>
                            <w:r w:rsidRPr="007155C8">
                              <w:rPr>
                                <w:rFonts w:eastAsia="微软雅黑"/>
                              </w:rPr>
                              <w:t>111,859</w:t>
                            </w:r>
                          </w:p>
                        </w:tc>
                        <w:tc>
                          <w:tcPr>
                            <w:tcW w:w="1037" w:type="dxa"/>
                            <w:tcBorders>
                              <w:top w:val="single" w:sz="4" w:space="0" w:color="0072BB"/>
                            </w:tcBorders>
                            <w:vAlign w:val="bottom"/>
                          </w:tcPr>
                          <w:p w:rsidR="007155C8" w:rsidRPr="007155C8" w:rsidRDefault="007155C8" w:rsidP="007155C8">
                            <w:pPr>
                              <w:jc w:val="center"/>
                              <w:rPr>
                                <w:rFonts w:eastAsia="微软雅黑"/>
                              </w:rPr>
                            </w:pPr>
                            <w:r w:rsidRPr="007155C8">
                              <w:rPr>
                                <w:rFonts w:eastAsia="微软雅黑"/>
                              </w:rPr>
                              <w:t>114,963</w:t>
                            </w:r>
                          </w:p>
                        </w:tc>
                        <w:tc>
                          <w:tcPr>
                            <w:tcW w:w="1037" w:type="dxa"/>
                            <w:tcBorders>
                              <w:top w:val="single" w:sz="4" w:space="0" w:color="0072BB"/>
                            </w:tcBorders>
                            <w:vAlign w:val="bottom"/>
                          </w:tcPr>
                          <w:p w:rsidR="007155C8" w:rsidRPr="007155C8" w:rsidRDefault="007155C8" w:rsidP="007155C8">
                            <w:pPr>
                              <w:jc w:val="center"/>
                              <w:rPr>
                                <w:rFonts w:eastAsia="微软雅黑"/>
                              </w:rPr>
                            </w:pPr>
                            <w:r w:rsidRPr="007155C8">
                              <w:rPr>
                                <w:rFonts w:eastAsia="微软雅黑"/>
                              </w:rPr>
                              <w:t>134,536</w:t>
                            </w:r>
                          </w:p>
                        </w:tc>
                        <w:tc>
                          <w:tcPr>
                            <w:tcW w:w="1037" w:type="dxa"/>
                            <w:tcBorders>
                              <w:top w:val="single" w:sz="4" w:space="0" w:color="0072BB"/>
                            </w:tcBorders>
                            <w:vAlign w:val="bottom"/>
                          </w:tcPr>
                          <w:p w:rsidR="007155C8" w:rsidRPr="007155C8" w:rsidRDefault="007155C8" w:rsidP="007155C8">
                            <w:pPr>
                              <w:jc w:val="center"/>
                              <w:rPr>
                                <w:rFonts w:eastAsia="微软雅黑"/>
                              </w:rPr>
                            </w:pPr>
                            <w:r w:rsidRPr="007155C8">
                              <w:rPr>
                                <w:rFonts w:eastAsia="微软雅黑"/>
                              </w:rPr>
                              <w:t>154,717</w:t>
                            </w:r>
                          </w:p>
                        </w:tc>
                      </w:tr>
                      <w:tr w:rsidR="007155C8" w:rsidRPr="00351D85" w:rsidTr="007155C8">
                        <w:trPr>
                          <w:trHeight w:val="283"/>
                        </w:trPr>
                        <w:tc>
                          <w:tcPr>
                            <w:tcW w:w="1480" w:type="dxa"/>
                            <w:vAlign w:val="bottom"/>
                          </w:tcPr>
                          <w:p w:rsidR="007155C8" w:rsidRPr="007155C8" w:rsidRDefault="007155C8" w:rsidP="007155C8">
                            <w:pPr>
                              <w:jc w:val="right"/>
                              <w:rPr>
                                <w:rFonts w:eastAsia="微软雅黑"/>
                              </w:rPr>
                            </w:pPr>
                            <w:r w:rsidRPr="007155C8">
                              <w:rPr>
                                <w:rFonts w:eastAsia="微软雅黑" w:hint="eastAsia"/>
                              </w:rPr>
                              <w:t>净利润</w:t>
                            </w:r>
                          </w:p>
                        </w:tc>
                        <w:tc>
                          <w:tcPr>
                            <w:tcW w:w="1037" w:type="dxa"/>
                            <w:vAlign w:val="bottom"/>
                          </w:tcPr>
                          <w:p w:rsidR="007155C8" w:rsidRPr="007155C8" w:rsidRDefault="007155C8" w:rsidP="007155C8">
                            <w:pPr>
                              <w:jc w:val="center"/>
                              <w:rPr>
                                <w:rFonts w:eastAsia="微软雅黑"/>
                              </w:rPr>
                            </w:pPr>
                            <w:r w:rsidRPr="007155C8">
                              <w:rPr>
                                <w:rFonts w:eastAsia="微软雅黑"/>
                              </w:rPr>
                              <w:t>6,406</w:t>
                            </w:r>
                          </w:p>
                        </w:tc>
                        <w:tc>
                          <w:tcPr>
                            <w:tcW w:w="1037" w:type="dxa"/>
                            <w:vAlign w:val="bottom"/>
                          </w:tcPr>
                          <w:p w:rsidR="007155C8" w:rsidRPr="007155C8" w:rsidRDefault="007155C8" w:rsidP="007155C8">
                            <w:pPr>
                              <w:jc w:val="center"/>
                              <w:rPr>
                                <w:rFonts w:eastAsia="微软雅黑"/>
                              </w:rPr>
                            </w:pPr>
                            <w:r w:rsidRPr="007155C8">
                              <w:rPr>
                                <w:rFonts w:eastAsia="微软雅黑"/>
                              </w:rPr>
                              <w:t>8,601</w:t>
                            </w:r>
                          </w:p>
                        </w:tc>
                        <w:tc>
                          <w:tcPr>
                            <w:tcW w:w="1037" w:type="dxa"/>
                            <w:vAlign w:val="bottom"/>
                          </w:tcPr>
                          <w:p w:rsidR="007155C8" w:rsidRPr="007155C8" w:rsidRDefault="007155C8" w:rsidP="007155C8">
                            <w:pPr>
                              <w:jc w:val="center"/>
                              <w:rPr>
                                <w:rFonts w:eastAsia="微软雅黑"/>
                              </w:rPr>
                            </w:pPr>
                            <w:r w:rsidRPr="007155C8">
                              <w:rPr>
                                <w:rFonts w:eastAsia="微软雅黑"/>
                              </w:rPr>
                              <w:t>6,290</w:t>
                            </w:r>
                          </w:p>
                        </w:tc>
                        <w:tc>
                          <w:tcPr>
                            <w:tcW w:w="1037" w:type="dxa"/>
                            <w:vAlign w:val="bottom"/>
                          </w:tcPr>
                          <w:p w:rsidR="007155C8" w:rsidRPr="007155C8" w:rsidRDefault="007155C8" w:rsidP="007155C8">
                            <w:pPr>
                              <w:jc w:val="center"/>
                              <w:rPr>
                                <w:rFonts w:eastAsia="微软雅黑"/>
                              </w:rPr>
                            </w:pPr>
                            <w:r w:rsidRPr="007155C8">
                              <w:rPr>
                                <w:rFonts w:eastAsia="微软雅黑"/>
                              </w:rPr>
                              <w:t>7,431</w:t>
                            </w:r>
                          </w:p>
                        </w:tc>
                        <w:tc>
                          <w:tcPr>
                            <w:tcW w:w="1037" w:type="dxa"/>
                            <w:vAlign w:val="bottom"/>
                          </w:tcPr>
                          <w:p w:rsidR="007155C8" w:rsidRPr="007155C8" w:rsidRDefault="007155C8" w:rsidP="007155C8">
                            <w:pPr>
                              <w:jc w:val="center"/>
                              <w:rPr>
                                <w:rFonts w:eastAsia="微软雅黑"/>
                              </w:rPr>
                            </w:pPr>
                            <w:r w:rsidRPr="007155C8">
                              <w:rPr>
                                <w:rFonts w:eastAsia="微软雅黑"/>
                              </w:rPr>
                              <w:t>8,974</w:t>
                            </w:r>
                          </w:p>
                        </w:tc>
                      </w:tr>
                      <w:tr w:rsidR="007155C8" w:rsidRPr="00351D85" w:rsidTr="007155C8">
                        <w:trPr>
                          <w:trHeight w:val="283"/>
                        </w:trPr>
                        <w:tc>
                          <w:tcPr>
                            <w:tcW w:w="1480" w:type="dxa"/>
                            <w:vAlign w:val="bottom"/>
                          </w:tcPr>
                          <w:p w:rsidR="007155C8" w:rsidRPr="007155C8" w:rsidRDefault="007155C8" w:rsidP="007155C8">
                            <w:pPr>
                              <w:jc w:val="right"/>
                              <w:rPr>
                                <w:rFonts w:eastAsia="微软雅黑"/>
                              </w:rPr>
                            </w:pPr>
                            <w:r w:rsidRPr="007155C8">
                              <w:rPr>
                                <w:rFonts w:eastAsia="微软雅黑" w:hint="eastAsia"/>
                              </w:rPr>
                              <w:t>BVPS</w:t>
                            </w:r>
                          </w:p>
                        </w:tc>
                        <w:tc>
                          <w:tcPr>
                            <w:tcW w:w="1037" w:type="dxa"/>
                            <w:vAlign w:val="bottom"/>
                          </w:tcPr>
                          <w:p w:rsidR="007155C8" w:rsidRPr="007155C8" w:rsidRDefault="007155C8" w:rsidP="007155C8">
                            <w:pPr>
                              <w:jc w:val="center"/>
                              <w:rPr>
                                <w:rFonts w:eastAsia="微软雅黑"/>
                              </w:rPr>
                            </w:pPr>
                            <w:r w:rsidRPr="007155C8">
                              <w:rPr>
                                <w:rFonts w:eastAsia="微软雅黑"/>
                              </w:rPr>
                              <w:t>12.6</w:t>
                            </w:r>
                          </w:p>
                        </w:tc>
                        <w:tc>
                          <w:tcPr>
                            <w:tcW w:w="1037" w:type="dxa"/>
                            <w:vAlign w:val="bottom"/>
                          </w:tcPr>
                          <w:p w:rsidR="007155C8" w:rsidRPr="007155C8" w:rsidRDefault="007155C8" w:rsidP="007155C8">
                            <w:pPr>
                              <w:jc w:val="center"/>
                              <w:rPr>
                                <w:rFonts w:eastAsia="微软雅黑"/>
                              </w:rPr>
                            </w:pPr>
                            <w:r w:rsidRPr="007155C8">
                              <w:rPr>
                                <w:rFonts w:eastAsia="微软雅黑"/>
                              </w:rPr>
                              <w:t>15.5</w:t>
                            </w:r>
                          </w:p>
                        </w:tc>
                        <w:tc>
                          <w:tcPr>
                            <w:tcW w:w="1037" w:type="dxa"/>
                            <w:vAlign w:val="bottom"/>
                          </w:tcPr>
                          <w:p w:rsidR="007155C8" w:rsidRPr="007155C8" w:rsidRDefault="007155C8" w:rsidP="007155C8">
                            <w:pPr>
                              <w:jc w:val="center"/>
                              <w:rPr>
                                <w:rFonts w:eastAsia="微软雅黑"/>
                              </w:rPr>
                            </w:pPr>
                            <w:r w:rsidRPr="007155C8">
                              <w:rPr>
                                <w:rFonts w:eastAsia="微软雅黑"/>
                              </w:rPr>
                              <w:t>18.5</w:t>
                            </w:r>
                          </w:p>
                        </w:tc>
                        <w:tc>
                          <w:tcPr>
                            <w:tcW w:w="1037" w:type="dxa"/>
                            <w:vAlign w:val="bottom"/>
                          </w:tcPr>
                          <w:p w:rsidR="007155C8" w:rsidRPr="007155C8" w:rsidRDefault="007155C8" w:rsidP="007155C8">
                            <w:pPr>
                              <w:jc w:val="center"/>
                              <w:rPr>
                                <w:rFonts w:eastAsia="微软雅黑"/>
                              </w:rPr>
                            </w:pPr>
                            <w:r w:rsidRPr="007155C8">
                              <w:rPr>
                                <w:rFonts w:eastAsia="微软雅黑"/>
                              </w:rPr>
                              <w:t>20.8</w:t>
                            </w:r>
                          </w:p>
                        </w:tc>
                        <w:tc>
                          <w:tcPr>
                            <w:tcW w:w="1037" w:type="dxa"/>
                            <w:vAlign w:val="bottom"/>
                          </w:tcPr>
                          <w:p w:rsidR="007155C8" w:rsidRPr="007155C8" w:rsidRDefault="007155C8" w:rsidP="007155C8">
                            <w:pPr>
                              <w:jc w:val="center"/>
                              <w:rPr>
                                <w:rFonts w:eastAsia="微软雅黑"/>
                              </w:rPr>
                            </w:pPr>
                            <w:r w:rsidRPr="007155C8">
                              <w:rPr>
                                <w:rFonts w:eastAsia="微软雅黑"/>
                              </w:rPr>
                              <w:t>22.8</w:t>
                            </w:r>
                          </w:p>
                        </w:tc>
                      </w:tr>
                      <w:tr w:rsidR="007155C8" w:rsidRPr="00351D85" w:rsidTr="007155C8">
                        <w:trPr>
                          <w:trHeight w:val="283"/>
                        </w:trPr>
                        <w:tc>
                          <w:tcPr>
                            <w:tcW w:w="1480" w:type="dxa"/>
                            <w:vAlign w:val="bottom"/>
                          </w:tcPr>
                          <w:p w:rsidR="007155C8" w:rsidRPr="007155C8" w:rsidRDefault="007155C8" w:rsidP="007155C8">
                            <w:pPr>
                              <w:jc w:val="right"/>
                              <w:rPr>
                                <w:rFonts w:eastAsia="微软雅黑"/>
                              </w:rPr>
                            </w:pPr>
                            <w:r w:rsidRPr="007155C8">
                              <w:rPr>
                                <w:rFonts w:eastAsia="微软雅黑" w:hint="eastAsia"/>
                              </w:rPr>
                              <w:t>EPS</w:t>
                            </w:r>
                            <w:r w:rsidRPr="007155C8">
                              <w:rPr>
                                <w:rFonts w:eastAsia="微软雅黑" w:hint="eastAsia"/>
                              </w:rPr>
                              <w:t>（元</w:t>
                            </w:r>
                            <w:r w:rsidRPr="007155C8">
                              <w:rPr>
                                <w:rFonts w:eastAsia="微软雅黑" w:hint="eastAsia"/>
                              </w:rPr>
                              <w:t>/</w:t>
                            </w:r>
                            <w:r w:rsidRPr="007155C8">
                              <w:rPr>
                                <w:rFonts w:eastAsia="微软雅黑" w:hint="eastAsia"/>
                              </w:rPr>
                              <w:t>股）</w:t>
                            </w:r>
                          </w:p>
                        </w:tc>
                        <w:tc>
                          <w:tcPr>
                            <w:tcW w:w="1037" w:type="dxa"/>
                            <w:vAlign w:val="bottom"/>
                          </w:tcPr>
                          <w:p w:rsidR="007155C8" w:rsidRPr="007155C8" w:rsidRDefault="007155C8" w:rsidP="007155C8">
                            <w:pPr>
                              <w:jc w:val="center"/>
                              <w:rPr>
                                <w:rFonts w:eastAsia="微软雅黑"/>
                              </w:rPr>
                            </w:pPr>
                            <w:r w:rsidRPr="007155C8">
                              <w:rPr>
                                <w:rFonts w:eastAsia="微软雅黑"/>
                              </w:rPr>
                              <w:t>2.05</w:t>
                            </w:r>
                          </w:p>
                        </w:tc>
                        <w:tc>
                          <w:tcPr>
                            <w:tcW w:w="1037" w:type="dxa"/>
                            <w:vAlign w:val="bottom"/>
                          </w:tcPr>
                          <w:p w:rsidR="007155C8" w:rsidRPr="007155C8" w:rsidRDefault="007155C8" w:rsidP="007155C8">
                            <w:pPr>
                              <w:jc w:val="center"/>
                              <w:rPr>
                                <w:rFonts w:eastAsia="微软雅黑"/>
                              </w:rPr>
                            </w:pPr>
                            <w:r w:rsidRPr="007155C8">
                              <w:rPr>
                                <w:rFonts w:eastAsia="微软雅黑"/>
                              </w:rPr>
                              <w:t>2.76</w:t>
                            </w:r>
                          </w:p>
                        </w:tc>
                        <w:tc>
                          <w:tcPr>
                            <w:tcW w:w="1037" w:type="dxa"/>
                            <w:vAlign w:val="bottom"/>
                          </w:tcPr>
                          <w:p w:rsidR="007155C8" w:rsidRPr="007155C8" w:rsidRDefault="007155C8" w:rsidP="007155C8">
                            <w:pPr>
                              <w:jc w:val="center"/>
                              <w:rPr>
                                <w:rFonts w:eastAsia="微软雅黑"/>
                              </w:rPr>
                            </w:pPr>
                            <w:r w:rsidRPr="007155C8">
                              <w:rPr>
                                <w:rFonts w:eastAsia="微软雅黑"/>
                              </w:rPr>
                              <w:t>2.02</w:t>
                            </w:r>
                          </w:p>
                        </w:tc>
                        <w:tc>
                          <w:tcPr>
                            <w:tcW w:w="1037" w:type="dxa"/>
                            <w:vAlign w:val="bottom"/>
                          </w:tcPr>
                          <w:p w:rsidR="007155C8" w:rsidRPr="007155C8" w:rsidRDefault="007155C8" w:rsidP="007155C8">
                            <w:pPr>
                              <w:jc w:val="center"/>
                              <w:rPr>
                                <w:rFonts w:eastAsia="微软雅黑"/>
                              </w:rPr>
                            </w:pPr>
                            <w:r w:rsidRPr="007155C8">
                              <w:rPr>
                                <w:rFonts w:eastAsia="微软雅黑"/>
                              </w:rPr>
                              <w:t>2.38</w:t>
                            </w:r>
                          </w:p>
                        </w:tc>
                        <w:tc>
                          <w:tcPr>
                            <w:tcW w:w="1037" w:type="dxa"/>
                            <w:vAlign w:val="bottom"/>
                          </w:tcPr>
                          <w:p w:rsidR="007155C8" w:rsidRPr="007155C8" w:rsidRDefault="007155C8" w:rsidP="007155C8">
                            <w:pPr>
                              <w:jc w:val="center"/>
                              <w:rPr>
                                <w:rFonts w:eastAsia="微软雅黑"/>
                              </w:rPr>
                            </w:pPr>
                            <w:r w:rsidRPr="007155C8">
                              <w:rPr>
                                <w:rFonts w:eastAsia="微软雅黑"/>
                              </w:rPr>
                              <w:t>2.88</w:t>
                            </w:r>
                          </w:p>
                        </w:tc>
                      </w:tr>
                      <w:tr w:rsidR="007155C8" w:rsidRPr="00351D85" w:rsidTr="00351D85">
                        <w:trPr>
                          <w:trHeight w:val="283"/>
                        </w:trPr>
                        <w:tc>
                          <w:tcPr>
                            <w:tcW w:w="1480" w:type="dxa"/>
                          </w:tcPr>
                          <w:p w:rsidR="007155C8" w:rsidRPr="00181947" w:rsidRDefault="007155C8" w:rsidP="007155C8">
                            <w:pPr>
                              <w:jc w:val="right"/>
                            </w:pPr>
                            <w:r w:rsidRPr="00181947">
                              <w:t>PE</w:t>
                            </w:r>
                          </w:p>
                        </w:tc>
                        <w:tc>
                          <w:tcPr>
                            <w:tcW w:w="1037" w:type="dxa"/>
                          </w:tcPr>
                          <w:p w:rsidR="007155C8" w:rsidRPr="00181947" w:rsidRDefault="007155C8" w:rsidP="007155C8">
                            <w:pPr>
                              <w:jc w:val="center"/>
                            </w:pPr>
                            <w:r w:rsidRPr="00181947">
                              <w:t>21.49</w:t>
                            </w:r>
                          </w:p>
                        </w:tc>
                        <w:tc>
                          <w:tcPr>
                            <w:tcW w:w="1037" w:type="dxa"/>
                          </w:tcPr>
                          <w:p w:rsidR="007155C8" w:rsidRPr="00181947" w:rsidRDefault="007155C8" w:rsidP="007155C8">
                            <w:pPr>
                              <w:jc w:val="center"/>
                            </w:pPr>
                            <w:r w:rsidRPr="00181947">
                              <w:t>16.01</w:t>
                            </w:r>
                          </w:p>
                        </w:tc>
                        <w:tc>
                          <w:tcPr>
                            <w:tcW w:w="1037" w:type="dxa"/>
                          </w:tcPr>
                          <w:p w:rsidR="007155C8" w:rsidRPr="00181947" w:rsidRDefault="007155C8" w:rsidP="007155C8">
                            <w:pPr>
                              <w:jc w:val="center"/>
                            </w:pPr>
                            <w:r w:rsidRPr="00181947">
                              <w:t>21.89</w:t>
                            </w:r>
                          </w:p>
                        </w:tc>
                        <w:tc>
                          <w:tcPr>
                            <w:tcW w:w="1037" w:type="dxa"/>
                          </w:tcPr>
                          <w:p w:rsidR="007155C8" w:rsidRPr="00181947" w:rsidRDefault="007155C8" w:rsidP="007155C8">
                            <w:pPr>
                              <w:jc w:val="center"/>
                            </w:pPr>
                            <w:r w:rsidRPr="00181947">
                              <w:t>18.53</w:t>
                            </w:r>
                          </w:p>
                        </w:tc>
                        <w:tc>
                          <w:tcPr>
                            <w:tcW w:w="1037" w:type="dxa"/>
                          </w:tcPr>
                          <w:p w:rsidR="007155C8" w:rsidRPr="00181947" w:rsidRDefault="007155C8" w:rsidP="007155C8">
                            <w:pPr>
                              <w:jc w:val="center"/>
                            </w:pPr>
                            <w:r w:rsidRPr="00181947">
                              <w:t>15.34</w:t>
                            </w:r>
                          </w:p>
                        </w:tc>
                      </w:tr>
                      <w:tr w:rsidR="007155C8" w:rsidRPr="00351D85" w:rsidTr="00351D85">
                        <w:trPr>
                          <w:trHeight w:val="283"/>
                        </w:trPr>
                        <w:tc>
                          <w:tcPr>
                            <w:tcW w:w="1480" w:type="dxa"/>
                          </w:tcPr>
                          <w:p w:rsidR="007155C8" w:rsidRPr="00181947" w:rsidRDefault="007155C8" w:rsidP="007155C8">
                            <w:pPr>
                              <w:jc w:val="right"/>
                            </w:pPr>
                            <w:r w:rsidRPr="00181947">
                              <w:t>PB</w:t>
                            </w:r>
                          </w:p>
                        </w:tc>
                        <w:tc>
                          <w:tcPr>
                            <w:tcW w:w="1037" w:type="dxa"/>
                          </w:tcPr>
                          <w:p w:rsidR="007155C8" w:rsidRPr="00181947" w:rsidRDefault="007155C8" w:rsidP="007155C8">
                            <w:pPr>
                              <w:jc w:val="center"/>
                            </w:pPr>
                            <w:r w:rsidRPr="00181947">
                              <w:t>3.50</w:t>
                            </w:r>
                          </w:p>
                        </w:tc>
                        <w:tc>
                          <w:tcPr>
                            <w:tcW w:w="1037" w:type="dxa"/>
                          </w:tcPr>
                          <w:p w:rsidR="007155C8" w:rsidRPr="00181947" w:rsidRDefault="007155C8" w:rsidP="007155C8">
                            <w:pPr>
                              <w:jc w:val="center"/>
                            </w:pPr>
                            <w:r w:rsidRPr="00181947">
                              <w:t>2.85</w:t>
                            </w:r>
                          </w:p>
                        </w:tc>
                        <w:tc>
                          <w:tcPr>
                            <w:tcW w:w="1037" w:type="dxa"/>
                          </w:tcPr>
                          <w:p w:rsidR="007155C8" w:rsidRPr="00181947" w:rsidRDefault="007155C8" w:rsidP="007155C8">
                            <w:pPr>
                              <w:jc w:val="center"/>
                            </w:pPr>
                            <w:r w:rsidRPr="00181947">
                              <w:t>2.38</w:t>
                            </w:r>
                          </w:p>
                        </w:tc>
                        <w:tc>
                          <w:tcPr>
                            <w:tcW w:w="1037" w:type="dxa"/>
                          </w:tcPr>
                          <w:p w:rsidR="007155C8" w:rsidRPr="00181947" w:rsidRDefault="007155C8" w:rsidP="007155C8">
                            <w:pPr>
                              <w:jc w:val="center"/>
                            </w:pPr>
                            <w:r w:rsidRPr="00181947">
                              <w:t>2.13</w:t>
                            </w:r>
                          </w:p>
                        </w:tc>
                        <w:tc>
                          <w:tcPr>
                            <w:tcW w:w="1037" w:type="dxa"/>
                          </w:tcPr>
                          <w:p w:rsidR="007155C8" w:rsidRPr="00181947" w:rsidRDefault="007155C8" w:rsidP="007155C8">
                            <w:pPr>
                              <w:jc w:val="center"/>
                            </w:pPr>
                            <w:r w:rsidRPr="00181947">
                              <w:t>1.93</w:t>
                            </w:r>
                          </w:p>
                        </w:tc>
                      </w:tr>
                      <w:tr w:rsidR="007155C8" w:rsidRPr="00351D85" w:rsidTr="00351D85">
                        <w:trPr>
                          <w:trHeight w:val="283"/>
                        </w:trPr>
                        <w:tc>
                          <w:tcPr>
                            <w:tcW w:w="1480" w:type="dxa"/>
                            <w:tcBorders>
                              <w:bottom w:val="single" w:sz="4" w:space="0" w:color="0072BB"/>
                            </w:tcBorders>
                          </w:tcPr>
                          <w:p w:rsidR="007155C8" w:rsidRPr="00181947" w:rsidRDefault="007155C8" w:rsidP="007155C8">
                            <w:pPr>
                              <w:jc w:val="right"/>
                            </w:pPr>
                            <w:r w:rsidRPr="00181947">
                              <w:t>ROE</w:t>
                            </w:r>
                          </w:p>
                        </w:tc>
                        <w:tc>
                          <w:tcPr>
                            <w:tcW w:w="1037" w:type="dxa"/>
                            <w:tcBorders>
                              <w:bottom w:val="single" w:sz="4" w:space="0" w:color="0072BB"/>
                            </w:tcBorders>
                          </w:tcPr>
                          <w:p w:rsidR="007155C8" w:rsidRPr="00181947" w:rsidRDefault="007155C8" w:rsidP="007155C8">
                            <w:pPr>
                              <w:jc w:val="center"/>
                            </w:pPr>
                            <w:r w:rsidRPr="00181947">
                              <w:t>14.6%</w:t>
                            </w:r>
                          </w:p>
                        </w:tc>
                        <w:tc>
                          <w:tcPr>
                            <w:tcW w:w="1037" w:type="dxa"/>
                            <w:tcBorders>
                              <w:bottom w:val="single" w:sz="4" w:space="0" w:color="0072BB"/>
                            </w:tcBorders>
                          </w:tcPr>
                          <w:p w:rsidR="007155C8" w:rsidRPr="00181947" w:rsidRDefault="007155C8" w:rsidP="007155C8">
                            <w:pPr>
                              <w:jc w:val="center"/>
                            </w:pPr>
                            <w:r w:rsidRPr="00181947">
                              <w:t>16.20%</w:t>
                            </w:r>
                          </w:p>
                        </w:tc>
                        <w:tc>
                          <w:tcPr>
                            <w:tcW w:w="1037" w:type="dxa"/>
                            <w:tcBorders>
                              <w:bottom w:val="single" w:sz="4" w:space="0" w:color="0072BB"/>
                            </w:tcBorders>
                          </w:tcPr>
                          <w:p w:rsidR="007155C8" w:rsidRPr="00181947" w:rsidRDefault="007155C8" w:rsidP="007155C8">
                            <w:pPr>
                              <w:jc w:val="center"/>
                            </w:pPr>
                            <w:r w:rsidRPr="00181947">
                              <w:t>10.3%</w:t>
                            </w:r>
                          </w:p>
                        </w:tc>
                        <w:tc>
                          <w:tcPr>
                            <w:tcW w:w="1037" w:type="dxa"/>
                            <w:tcBorders>
                              <w:bottom w:val="single" w:sz="4" w:space="0" w:color="0072BB"/>
                            </w:tcBorders>
                          </w:tcPr>
                          <w:p w:rsidR="007155C8" w:rsidRPr="00181947" w:rsidRDefault="007155C8" w:rsidP="007155C8">
                            <w:pPr>
                              <w:jc w:val="center"/>
                            </w:pPr>
                            <w:r w:rsidRPr="00181947">
                              <w:t>10.9%</w:t>
                            </w:r>
                          </w:p>
                        </w:tc>
                        <w:tc>
                          <w:tcPr>
                            <w:tcW w:w="1037" w:type="dxa"/>
                            <w:tcBorders>
                              <w:bottom w:val="single" w:sz="4" w:space="0" w:color="0072BB"/>
                            </w:tcBorders>
                          </w:tcPr>
                          <w:p w:rsidR="007155C8" w:rsidRDefault="007155C8" w:rsidP="007155C8">
                            <w:pPr>
                              <w:jc w:val="center"/>
                            </w:pPr>
                            <w:r w:rsidRPr="00181947">
                              <w:t>12.0%</w:t>
                            </w:r>
                          </w:p>
                        </w:tc>
                      </w:tr>
                    </w:tbl>
                    <w:p w:rsidR="00351D85" w:rsidRPr="00351D85" w:rsidRDefault="00F05780" w:rsidP="00351D85">
                      <w:pPr>
                        <w:spacing w:line="14" w:lineRule="exact"/>
                      </w:pPr>
                    </w:p>
                  </w:sdtContent>
                </w:sdt>
                <w:p w:rsidR="00351D85" w:rsidRPr="00351D85" w:rsidRDefault="00351D85" w:rsidP="00351D85">
                  <w:pPr>
                    <w:spacing w:line="14" w:lineRule="exact"/>
                  </w:pPr>
                </w:p>
              </w:tc>
            </w:tr>
          </w:tbl>
          <w:p w:rsidR="00351D85" w:rsidRPr="00351D85" w:rsidRDefault="00351D85" w:rsidP="00351D85">
            <w:pPr>
              <w:spacing w:line="14" w:lineRule="exact"/>
            </w:pPr>
          </w:p>
          <w:p w:rsidR="00EA017D" w:rsidRPr="007C01A5" w:rsidRDefault="007C01A5" w:rsidP="00BA19E6">
            <w:pPr>
              <w:widowControl/>
              <w:jc w:val="left"/>
            </w:pPr>
            <w:r w:rsidRPr="00BA19E6">
              <w:rPr>
                <w:rFonts w:eastAsia="微软雅黑" w:hint="eastAsia"/>
                <w:i/>
                <w:color w:val="0072BB"/>
                <w:sz w:val="15"/>
                <w:szCs w:val="18"/>
              </w:rPr>
              <w:t>数据来源：</w:t>
            </w:r>
            <w:r w:rsidR="00474785">
              <w:rPr>
                <w:rFonts w:eastAsia="微软雅黑" w:hint="eastAsia"/>
                <w:i/>
                <w:color w:val="0072BB"/>
                <w:sz w:val="15"/>
                <w:szCs w:val="18"/>
              </w:rPr>
              <w:t>贝格数据</w:t>
            </w:r>
            <w:r w:rsidR="00BA19E6">
              <w:rPr>
                <w:rFonts w:eastAsia="微软雅黑" w:hint="eastAsia"/>
                <w:i/>
                <w:color w:val="0072BB"/>
                <w:sz w:val="15"/>
                <w:szCs w:val="18"/>
              </w:rPr>
              <w:t>华金证券研究所</w:t>
            </w:r>
          </w:p>
        </w:tc>
        <w:tc>
          <w:tcPr>
            <w:tcW w:w="3767" w:type="dxa"/>
            <w:tcBorders>
              <w:top w:val="single" w:sz="4" w:space="0" w:color="0072BB"/>
              <w:left w:val="single" w:sz="4" w:space="0" w:color="0072BB"/>
            </w:tcBorders>
            <w:tcMar>
              <w:left w:w="170" w:type="dxa"/>
            </w:tcMar>
          </w:tcPr>
          <w:p w:rsidR="008436F3" w:rsidRPr="00C450A6" w:rsidRDefault="00F05780" w:rsidP="00691C76">
            <w:pPr>
              <w:spacing w:line="320" w:lineRule="exact"/>
              <w:jc w:val="right"/>
              <w:rPr>
                <w:rFonts w:eastAsia="微软雅黑"/>
                <w:szCs w:val="21"/>
              </w:rPr>
            </w:pPr>
            <w:sdt>
              <w:sdtPr>
                <w:rPr>
                  <w:rFonts w:eastAsia="微软雅黑" w:hint="eastAsia"/>
                  <w:szCs w:val="21"/>
                </w:rPr>
                <w:alias w:val="所属一级行业名称"/>
                <w:tag w:val="BDCONTENTCONTROL_4e71bee3-682f-4c15-8d03-42e156093633"/>
                <w:id w:val="-959649506"/>
                <w:placeholder>
                  <w:docPart w:val="2B134EB4F2A14BD6B63EC1C1C585E4A5"/>
                </w:placeholder>
              </w:sdtPr>
              <w:sdtEndPr/>
              <w:sdtContent>
                <w:r w:rsidR="00D05253">
                  <w:rPr>
                    <w:rFonts w:eastAsia="微软雅黑" w:hint="eastAsia"/>
                    <w:szCs w:val="21"/>
                  </w:rPr>
                  <w:t>非银行金融</w:t>
                </w:r>
              </w:sdtContent>
            </w:sdt>
            <w:r w:rsidR="00760C50">
              <w:rPr>
                <w:rFonts w:eastAsia="微软雅黑" w:hint="eastAsia"/>
                <w:szCs w:val="21"/>
              </w:rPr>
              <w:t xml:space="preserve"> | </w:t>
            </w:r>
            <w:sdt>
              <w:sdtPr>
                <w:rPr>
                  <w:rFonts w:eastAsia="微软雅黑" w:hint="eastAsia"/>
                  <w:szCs w:val="21"/>
                </w:rPr>
                <w:alias w:val="所属三级行业名称"/>
                <w:tag w:val="BDCONTENTCONTROL_daffc264-f2f9-4e56-ba9c-616788b2e6c2"/>
                <w:id w:val="-667790224"/>
                <w:placeholder>
                  <w:docPart w:val="B4A35977D2304E67A9D8E10E5C02A854"/>
                </w:placeholder>
              </w:sdtPr>
              <w:sdtEndPr/>
              <w:sdtContent>
                <w:r w:rsidR="00D05253">
                  <w:rPr>
                    <w:rFonts w:eastAsia="微软雅黑" w:hint="eastAsia"/>
                    <w:szCs w:val="21"/>
                  </w:rPr>
                  <w:t>保险</w:t>
                </w:r>
              </w:sdtContent>
            </w:sdt>
            <w:r w:rsidR="00BE2D60">
              <w:rPr>
                <w:rFonts w:eastAsia="微软雅黑" w:hint="eastAsia"/>
                <w:szCs w:val="21"/>
              </w:rPr>
              <w:t>III</w:t>
            </w:r>
          </w:p>
          <w:tbl>
            <w:tblPr>
              <w:tblStyle w:val="a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90"/>
              <w:gridCol w:w="1899"/>
            </w:tblGrid>
            <w:tr w:rsidR="008436F3" w:rsidRPr="0070041C" w:rsidTr="00760C50">
              <w:tc>
                <w:tcPr>
                  <w:tcW w:w="2279" w:type="pct"/>
                  <w:shd w:val="clear" w:color="auto" w:fill="auto"/>
                  <w:tcMar>
                    <w:left w:w="28" w:type="dxa"/>
                    <w:right w:w="28" w:type="dxa"/>
                  </w:tcMar>
                  <w:vAlign w:val="center"/>
                </w:tcPr>
                <w:p w:rsidR="008436F3" w:rsidRPr="0070041C" w:rsidRDefault="008436F3" w:rsidP="00760C50">
                  <w:pPr>
                    <w:spacing w:line="460" w:lineRule="exact"/>
                    <w:jc w:val="left"/>
                    <w:rPr>
                      <w:rFonts w:eastAsia="微软雅黑"/>
                    </w:rPr>
                  </w:pPr>
                  <w:r w:rsidRPr="0070041C">
                    <w:rPr>
                      <w:rFonts w:eastAsia="微软雅黑" w:hint="eastAsia"/>
                    </w:rPr>
                    <w:t>投资评级</w:t>
                  </w:r>
                </w:p>
              </w:tc>
              <w:tc>
                <w:tcPr>
                  <w:tcW w:w="2721" w:type="pct"/>
                  <w:shd w:val="clear" w:color="auto" w:fill="auto"/>
                  <w:tcMar>
                    <w:left w:w="28" w:type="dxa"/>
                    <w:right w:w="28" w:type="dxa"/>
                  </w:tcMar>
                  <w:vAlign w:val="center"/>
                </w:tcPr>
                <w:p w:rsidR="008436F3" w:rsidRPr="00970324" w:rsidRDefault="00F05780" w:rsidP="00DB5654">
                  <w:pPr>
                    <w:spacing w:line="460" w:lineRule="exact"/>
                    <w:jc w:val="right"/>
                    <w:rPr>
                      <w:rFonts w:eastAsia="微软雅黑"/>
                      <w:sz w:val="30"/>
                      <w:szCs w:val="30"/>
                    </w:rPr>
                  </w:pPr>
                  <w:sdt>
                    <w:sdtPr>
                      <w:rPr>
                        <w:rFonts w:eastAsia="微软雅黑" w:hint="eastAsia"/>
                        <w:sz w:val="30"/>
                        <w:szCs w:val="30"/>
                      </w:rPr>
                      <w:alias w:val="投资评级"/>
                      <w:tag w:val="BDCONTENTCONTROL_fd077053-10ab-49e3-8d15-5ebef61f49c3"/>
                      <w:id w:val="590903769"/>
                      <w:placeholder>
                        <w:docPart w:val="DE6409F66B9E4291AAF0D0566043D761"/>
                      </w:placeholder>
                      <w:text/>
                    </w:sdtPr>
                    <w:sdtEndPr/>
                    <w:sdtContent>
                      <w:r w:rsidR="00D05253">
                        <w:rPr>
                          <w:rFonts w:eastAsia="微软雅黑" w:hint="eastAsia"/>
                          <w:sz w:val="30"/>
                          <w:szCs w:val="30"/>
                        </w:rPr>
                        <w:t>买入</w:t>
                      </w:r>
                    </w:sdtContent>
                  </w:sdt>
                  <w:r w:rsidR="008436F3" w:rsidRPr="00970324">
                    <w:rPr>
                      <w:rFonts w:eastAsia="微软雅黑" w:hint="eastAsia"/>
                      <w:sz w:val="30"/>
                      <w:szCs w:val="30"/>
                    </w:rPr>
                    <w:t>-</w:t>
                  </w:r>
                  <w:sdt>
                    <w:sdtPr>
                      <w:rPr>
                        <w:rFonts w:eastAsia="微软雅黑" w:hint="eastAsia"/>
                        <w:sz w:val="30"/>
                        <w:szCs w:val="30"/>
                      </w:rPr>
                      <w:alias w:val="风险评级"/>
                      <w:tag w:val="BDCONTENTCONTROL_e672bb32-0c5e-48e6-9968-79914972eb2d"/>
                      <w:id w:val="1120649287"/>
                      <w:placeholder>
                        <w:docPart w:val="68CD36428DD640ABB085649198642AE5"/>
                      </w:placeholder>
                      <w:text/>
                    </w:sdtPr>
                    <w:sdtEndPr/>
                    <w:sdtContent>
                      <w:r w:rsidR="00D05253">
                        <w:rPr>
                          <w:rFonts w:eastAsia="微软雅黑"/>
                          <w:sz w:val="30"/>
                          <w:szCs w:val="30"/>
                        </w:rPr>
                        <w:t>A</w:t>
                      </w:r>
                    </w:sdtContent>
                  </w:sdt>
                  <w:r w:rsidR="00760C50">
                    <w:rPr>
                      <w:rFonts w:eastAsia="微软雅黑" w:hint="eastAsia"/>
                      <w:sz w:val="30"/>
                      <w:szCs w:val="30"/>
                    </w:rPr>
                    <w:t>(</w:t>
                  </w:r>
                  <w:sdt>
                    <w:sdtPr>
                      <w:rPr>
                        <w:rFonts w:eastAsia="微软雅黑" w:hint="eastAsia"/>
                        <w:sz w:val="30"/>
                        <w:szCs w:val="30"/>
                      </w:rPr>
                      <w:alias w:val="评级变动"/>
                      <w:tag w:val="BDCONTENTCONTROL_7b97d5fc-00a6-4827-8f68-01d061d43ce3"/>
                      <w:id w:val="1066916039"/>
                      <w:placeholder>
                        <w:docPart w:val="35D0D7D6310B4DC085D2D6FDA45D7EC5"/>
                      </w:placeholder>
                      <w:text/>
                    </w:sdtPr>
                    <w:sdtEndPr/>
                    <w:sdtContent>
                      <w:r w:rsidR="00D05253">
                        <w:rPr>
                          <w:rFonts w:eastAsia="微软雅黑" w:hint="eastAsia"/>
                          <w:sz w:val="30"/>
                          <w:szCs w:val="30"/>
                        </w:rPr>
                        <w:t>首次</w:t>
                      </w:r>
                    </w:sdtContent>
                  </w:sdt>
                  <w:r w:rsidR="00760C50">
                    <w:rPr>
                      <w:rFonts w:eastAsia="微软雅黑" w:hint="eastAsia"/>
                      <w:sz w:val="30"/>
                      <w:szCs w:val="30"/>
                    </w:rPr>
                    <w:t>)</w:t>
                  </w:r>
                </w:p>
              </w:tc>
            </w:tr>
            <w:tr w:rsidR="008436F3" w:rsidRPr="00B32701" w:rsidTr="00760C50">
              <w:tc>
                <w:tcPr>
                  <w:tcW w:w="2279" w:type="pct"/>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6</w:t>
                  </w:r>
                  <w:r w:rsidRPr="00AA641C">
                    <w:rPr>
                      <w:rFonts w:eastAsia="微软雅黑" w:hint="eastAsia"/>
                      <w:szCs w:val="18"/>
                    </w:rPr>
                    <w:t>个月目标价</w:t>
                  </w:r>
                </w:p>
              </w:tc>
              <w:tc>
                <w:tcPr>
                  <w:tcW w:w="2721" w:type="pct"/>
                  <w:tcMar>
                    <w:left w:w="28" w:type="dxa"/>
                    <w:right w:w="28" w:type="dxa"/>
                  </w:tcMar>
                  <w:vAlign w:val="center"/>
                </w:tcPr>
                <w:p w:rsidR="008436F3" w:rsidRPr="00AA641C" w:rsidRDefault="00F05780" w:rsidP="006545A7">
                  <w:pPr>
                    <w:jc w:val="right"/>
                    <w:rPr>
                      <w:rFonts w:eastAsia="微软雅黑"/>
                      <w:szCs w:val="18"/>
                    </w:rPr>
                  </w:pPr>
                  <w:sdt>
                    <w:sdtPr>
                      <w:rPr>
                        <w:rFonts w:eastAsia="微软雅黑" w:hint="eastAsia"/>
                        <w:szCs w:val="18"/>
                      </w:rPr>
                      <w:alias w:val="目标价"/>
                      <w:tag w:val="BDCONTENTCONTROL_ff2831b4-5c5e-44dc-b2e2-6203e48b0b2e"/>
                      <w:id w:val="161288851"/>
                      <w:placeholder>
                        <w:docPart w:val="4F1663A1A3A141BAA1D97E4967DDAFBA"/>
                      </w:placeholder>
                      <w:text/>
                    </w:sdtPr>
                    <w:sdtEndPr/>
                    <w:sdtContent>
                      <w:r w:rsidR="00D05253">
                        <w:rPr>
                          <w:rFonts w:eastAsia="微软雅黑"/>
                          <w:szCs w:val="18"/>
                        </w:rPr>
                        <w:t>56.1</w:t>
                      </w:r>
                    </w:sdtContent>
                  </w:sdt>
                  <w:r w:rsidR="008436F3" w:rsidRPr="00AA641C">
                    <w:rPr>
                      <w:rFonts w:eastAsia="微软雅黑" w:hint="eastAsia"/>
                      <w:szCs w:val="18"/>
                    </w:rPr>
                    <w:t>元</w:t>
                  </w:r>
                </w:p>
              </w:tc>
            </w:tr>
            <w:tr w:rsidR="008436F3" w:rsidRPr="00B32701" w:rsidTr="00760C50">
              <w:tc>
                <w:tcPr>
                  <w:tcW w:w="2279" w:type="pct"/>
                  <w:tcBorders>
                    <w:bottom w:val="single" w:sz="4" w:space="0" w:color="0072BB"/>
                  </w:tcBorders>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股价</w:t>
                  </w:r>
                  <w:r w:rsidRPr="00AA641C">
                    <w:rPr>
                      <w:rFonts w:eastAsia="微软雅黑" w:hint="eastAsia"/>
                      <w:szCs w:val="18"/>
                    </w:rPr>
                    <w:t>(</w:t>
                  </w:r>
                  <w:sdt>
                    <w:sdtPr>
                      <w:rPr>
                        <w:rFonts w:eastAsia="微软雅黑" w:hint="eastAsia"/>
                        <w:szCs w:val="18"/>
                      </w:rPr>
                      <w:alias w:val="交易日期"/>
                      <w:tag w:val="BDCONTENTCONTROL_1e5332b4-b31a-4569-a38c-b53cfb694f67"/>
                      <w:id w:val="-604509096"/>
                      <w:placeholder>
                        <w:docPart w:val="9508ACFDAB664F94908B81FA289A0254"/>
                      </w:placeholder>
                    </w:sdtPr>
                    <w:sdtEndPr/>
                    <w:sdtContent>
                      <w:r w:rsidR="00D05253">
                        <w:rPr>
                          <w:rFonts w:eastAsia="微软雅黑"/>
                          <w:szCs w:val="18"/>
                        </w:rPr>
                        <w:t>2016-12-16</w:t>
                      </w:r>
                    </w:sdtContent>
                  </w:sdt>
                  <w:r w:rsidRPr="00AA641C">
                    <w:rPr>
                      <w:rFonts w:eastAsia="微软雅黑" w:hint="eastAsia"/>
                      <w:szCs w:val="18"/>
                    </w:rPr>
                    <w:t>)</w:t>
                  </w:r>
                </w:p>
              </w:tc>
              <w:tc>
                <w:tcPr>
                  <w:tcW w:w="2721" w:type="pct"/>
                  <w:tcBorders>
                    <w:bottom w:val="single" w:sz="4" w:space="0" w:color="0072BB"/>
                  </w:tcBorders>
                  <w:tcMar>
                    <w:left w:w="28" w:type="dxa"/>
                    <w:right w:w="28" w:type="dxa"/>
                  </w:tcMar>
                  <w:vAlign w:val="center"/>
                </w:tcPr>
                <w:p w:rsidR="008436F3" w:rsidRPr="00AA641C" w:rsidRDefault="00F05780" w:rsidP="00C145EA">
                  <w:pPr>
                    <w:jc w:val="right"/>
                    <w:rPr>
                      <w:rFonts w:eastAsia="微软雅黑"/>
                      <w:szCs w:val="18"/>
                    </w:rPr>
                  </w:pPr>
                  <w:sdt>
                    <w:sdtPr>
                      <w:rPr>
                        <w:rFonts w:eastAsia="微软雅黑" w:hint="eastAsia"/>
                        <w:szCs w:val="18"/>
                      </w:rPr>
                      <w:alias w:val="股价"/>
                      <w:tag w:val="BDCONTENTCONTROL_cada7067-c52d-41de-b828-95383d8f8c23"/>
                      <w:id w:val="942498069"/>
                      <w:placeholder>
                        <w:docPart w:val="396207C2C3314E4F91089E2132BB37D7"/>
                      </w:placeholder>
                    </w:sdtPr>
                    <w:sdtEndPr/>
                    <w:sdtContent>
                      <w:r w:rsidR="00D05253">
                        <w:rPr>
                          <w:rFonts w:eastAsia="微软雅黑" w:hint="eastAsia"/>
                          <w:szCs w:val="18"/>
                        </w:rPr>
                        <w:t>43.87</w:t>
                      </w:r>
                      <w:r w:rsidR="00D05253">
                        <w:rPr>
                          <w:rFonts w:eastAsia="微软雅黑" w:hint="eastAsia"/>
                          <w:szCs w:val="18"/>
                        </w:rPr>
                        <w:t>元</w:t>
                      </w:r>
                    </w:sdtContent>
                  </w:sdt>
                </w:p>
              </w:tc>
            </w:tr>
          </w:tbl>
          <w:p w:rsidR="008436F3" w:rsidRPr="00B32701" w:rsidRDefault="008436F3" w:rsidP="004D4486">
            <w:pPr>
              <w:spacing w:line="120" w:lineRule="exact"/>
            </w:pPr>
          </w:p>
          <w:tbl>
            <w:tblPr>
              <w:tblStyle w:val="a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32"/>
              <w:gridCol w:w="1757"/>
            </w:tblGrid>
            <w:tr w:rsidR="008436F3" w:rsidRPr="00F75635" w:rsidTr="004530D4">
              <w:tc>
                <w:tcPr>
                  <w:tcW w:w="5000" w:type="pct"/>
                  <w:gridSpan w:val="2"/>
                  <w:shd w:val="clear" w:color="auto" w:fill="014099"/>
                  <w:tcMar>
                    <w:left w:w="28" w:type="dxa"/>
                    <w:right w:w="28" w:type="dxa"/>
                  </w:tcMar>
                  <w:vAlign w:val="center"/>
                </w:tcPr>
                <w:p w:rsidR="008436F3" w:rsidRPr="00BE2F2A" w:rsidRDefault="008436F3" w:rsidP="006545A7">
                  <w:pPr>
                    <w:rPr>
                      <w:rFonts w:eastAsia="微软雅黑"/>
                      <w:b/>
                      <w:color w:val="FFFFFF" w:themeColor="background1"/>
                      <w:szCs w:val="18"/>
                    </w:rPr>
                  </w:pPr>
                  <w:r w:rsidRPr="00BE2F2A">
                    <w:rPr>
                      <w:rFonts w:eastAsia="微软雅黑" w:hint="eastAsia"/>
                      <w:b/>
                      <w:color w:val="FFFFFF" w:themeColor="background1"/>
                      <w:szCs w:val="18"/>
                    </w:rPr>
                    <w:t>交易数据</w:t>
                  </w:r>
                </w:p>
              </w:tc>
            </w:tr>
            <w:tr w:rsidR="008436F3" w:rsidRPr="00B32701" w:rsidTr="00BE2F2A">
              <w:tc>
                <w:tcPr>
                  <w:tcW w:w="2482" w:type="pct"/>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总市值（百万元）</w:t>
                  </w:r>
                </w:p>
              </w:tc>
              <w:sdt>
                <w:sdtPr>
                  <w:rPr>
                    <w:rFonts w:eastAsia="微软雅黑"/>
                    <w:szCs w:val="18"/>
                  </w:rPr>
                  <w:alias w:val="总市值（百万元）"/>
                  <w:tag w:val="BDCONTENTCONTROL_2fb2af40-f7d8-445d-a1d5-d55b9151d378"/>
                  <w:id w:val="-2106098626"/>
                  <w:placeholder>
                    <w:docPart w:val="D2C96D96C6684AC0B78987A07EE4E158"/>
                  </w:placeholder>
                </w:sdtPr>
                <w:sdtEndPr/>
                <w:sdtContent>
                  <w:tc>
                    <w:tcPr>
                      <w:tcW w:w="2518" w:type="pct"/>
                      <w:tcMar>
                        <w:left w:w="28" w:type="dxa"/>
                        <w:right w:w="28" w:type="dxa"/>
                      </w:tcMar>
                      <w:vAlign w:val="center"/>
                    </w:tcPr>
                    <w:p w:rsidR="008436F3" w:rsidRPr="00AA641C" w:rsidRDefault="00D05253" w:rsidP="0098368D">
                      <w:pPr>
                        <w:jc w:val="right"/>
                        <w:rPr>
                          <w:rFonts w:eastAsia="微软雅黑"/>
                          <w:szCs w:val="18"/>
                        </w:rPr>
                      </w:pPr>
                      <w:r>
                        <w:rPr>
                          <w:rFonts w:eastAsia="微软雅黑"/>
                          <w:szCs w:val="18"/>
                        </w:rPr>
                        <w:t>136,854.51</w:t>
                      </w:r>
                    </w:p>
                  </w:tc>
                </w:sdtContent>
              </w:sdt>
            </w:tr>
            <w:tr w:rsidR="008436F3" w:rsidRPr="00B32701" w:rsidTr="00EF6A1C">
              <w:tc>
                <w:tcPr>
                  <w:tcW w:w="2482" w:type="pct"/>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流通市值（百万元）</w:t>
                  </w:r>
                </w:p>
              </w:tc>
              <w:sdt>
                <w:sdtPr>
                  <w:rPr>
                    <w:rFonts w:eastAsia="微软雅黑"/>
                    <w:szCs w:val="18"/>
                  </w:rPr>
                  <w:alias w:val="流通市值（百万元）"/>
                  <w:tag w:val="BDCONTENTCONTROL_ce9821f5-cfc2-45ed-a8e8-37ba4051a25b"/>
                  <w:id w:val="880589301"/>
                  <w:placeholder>
                    <w:docPart w:val="05C0F804D96947998FD05A99C9F602E4"/>
                  </w:placeholder>
                </w:sdtPr>
                <w:sdtEndPr/>
                <w:sdtContent>
                  <w:tc>
                    <w:tcPr>
                      <w:tcW w:w="2518" w:type="pct"/>
                      <w:tcMar>
                        <w:left w:w="28" w:type="dxa"/>
                        <w:right w:w="28" w:type="dxa"/>
                      </w:tcMar>
                      <w:vAlign w:val="center"/>
                    </w:tcPr>
                    <w:p w:rsidR="008436F3" w:rsidRPr="00AA641C" w:rsidRDefault="00D05253" w:rsidP="0098368D">
                      <w:pPr>
                        <w:jc w:val="right"/>
                        <w:rPr>
                          <w:rFonts w:eastAsia="微软雅黑"/>
                          <w:szCs w:val="18"/>
                        </w:rPr>
                      </w:pPr>
                      <w:r>
                        <w:rPr>
                          <w:rFonts w:eastAsia="微软雅黑"/>
                          <w:szCs w:val="18"/>
                        </w:rPr>
                        <w:t>91,488.22</w:t>
                      </w:r>
                    </w:p>
                  </w:tc>
                </w:sdtContent>
              </w:sdt>
            </w:tr>
            <w:tr w:rsidR="008436F3" w:rsidRPr="00B32701" w:rsidTr="00EF6A1C">
              <w:tc>
                <w:tcPr>
                  <w:tcW w:w="2482" w:type="pct"/>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总股本（百万股）</w:t>
                  </w:r>
                </w:p>
              </w:tc>
              <w:sdt>
                <w:sdtPr>
                  <w:rPr>
                    <w:rFonts w:eastAsia="微软雅黑"/>
                    <w:szCs w:val="18"/>
                  </w:rPr>
                  <w:alias w:val="总股本百万股)"/>
                  <w:tag w:val="BDCONTENTCONTROL_68cee075-9d64-46bb-8fa9-6c89f9f4fd28"/>
                  <w:id w:val="419215442"/>
                  <w:placeholder>
                    <w:docPart w:val="A612C242C6F2483685FF6799ADDA76A8"/>
                  </w:placeholder>
                </w:sdtPr>
                <w:sdtEndPr/>
                <w:sdtContent>
                  <w:tc>
                    <w:tcPr>
                      <w:tcW w:w="2518" w:type="pct"/>
                      <w:tcMar>
                        <w:left w:w="28" w:type="dxa"/>
                        <w:right w:w="28" w:type="dxa"/>
                      </w:tcMar>
                      <w:vAlign w:val="center"/>
                    </w:tcPr>
                    <w:p w:rsidR="008436F3" w:rsidRPr="00AA641C" w:rsidRDefault="00D05253" w:rsidP="00C145EA">
                      <w:pPr>
                        <w:jc w:val="right"/>
                        <w:rPr>
                          <w:rFonts w:eastAsia="微软雅黑"/>
                          <w:szCs w:val="18"/>
                        </w:rPr>
                      </w:pPr>
                      <w:r>
                        <w:rPr>
                          <w:rFonts w:eastAsia="微软雅黑"/>
                          <w:szCs w:val="18"/>
                        </w:rPr>
                        <w:t>3,119.55</w:t>
                      </w:r>
                    </w:p>
                  </w:tc>
                </w:sdtContent>
              </w:sdt>
            </w:tr>
            <w:tr w:rsidR="008436F3" w:rsidRPr="00B32701" w:rsidTr="00AB30DD">
              <w:tc>
                <w:tcPr>
                  <w:tcW w:w="2482" w:type="pct"/>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流通股本（百万股）</w:t>
                  </w:r>
                </w:p>
              </w:tc>
              <w:sdt>
                <w:sdtPr>
                  <w:rPr>
                    <w:rFonts w:eastAsia="微软雅黑"/>
                    <w:szCs w:val="18"/>
                  </w:rPr>
                  <w:alias w:val="流通股本(百万股)"/>
                  <w:tag w:val="BDCONTENTCONTROL_03745823-50e0-4748-bd08-77d02c1a18c3"/>
                  <w:id w:val="1648013197"/>
                  <w:placeholder>
                    <w:docPart w:val="ACE9C05BB2BF4D938A0A7DCD0A299C61"/>
                  </w:placeholder>
                </w:sdtPr>
                <w:sdtEndPr/>
                <w:sdtContent>
                  <w:tc>
                    <w:tcPr>
                      <w:tcW w:w="2518" w:type="pct"/>
                      <w:tcMar>
                        <w:left w:w="28" w:type="dxa"/>
                        <w:right w:w="28" w:type="dxa"/>
                      </w:tcMar>
                      <w:vAlign w:val="center"/>
                    </w:tcPr>
                    <w:p w:rsidR="008436F3" w:rsidRPr="00AA641C" w:rsidRDefault="00D05253" w:rsidP="00C145EA">
                      <w:pPr>
                        <w:jc w:val="right"/>
                        <w:rPr>
                          <w:rFonts w:eastAsia="微软雅黑"/>
                          <w:szCs w:val="18"/>
                        </w:rPr>
                      </w:pPr>
                      <w:r>
                        <w:rPr>
                          <w:rFonts w:eastAsia="微软雅黑"/>
                          <w:szCs w:val="18"/>
                        </w:rPr>
                        <w:t>2,085.44</w:t>
                      </w:r>
                    </w:p>
                  </w:tc>
                </w:sdtContent>
              </w:sdt>
            </w:tr>
            <w:tr w:rsidR="008436F3" w:rsidRPr="00B32701" w:rsidTr="00AB30DD">
              <w:tc>
                <w:tcPr>
                  <w:tcW w:w="2482" w:type="pct"/>
                  <w:tcBorders>
                    <w:bottom w:val="single" w:sz="4" w:space="0" w:color="0072BB"/>
                  </w:tcBorders>
                  <w:tcMar>
                    <w:left w:w="28" w:type="dxa"/>
                    <w:right w:w="28" w:type="dxa"/>
                  </w:tcMar>
                  <w:vAlign w:val="center"/>
                </w:tcPr>
                <w:p w:rsidR="008436F3" w:rsidRPr="00AA641C" w:rsidRDefault="008436F3" w:rsidP="006545A7">
                  <w:pPr>
                    <w:rPr>
                      <w:rFonts w:eastAsia="微软雅黑"/>
                      <w:szCs w:val="18"/>
                    </w:rPr>
                  </w:pPr>
                  <w:r w:rsidRPr="00AA641C">
                    <w:rPr>
                      <w:rFonts w:eastAsia="微软雅黑" w:hint="eastAsia"/>
                      <w:szCs w:val="18"/>
                    </w:rPr>
                    <w:t>12</w:t>
                  </w:r>
                  <w:r w:rsidRPr="00AA641C">
                    <w:rPr>
                      <w:rFonts w:eastAsia="微软雅黑" w:hint="eastAsia"/>
                      <w:szCs w:val="18"/>
                    </w:rPr>
                    <w:t>个月价格区间</w:t>
                  </w:r>
                </w:p>
              </w:tc>
              <w:sdt>
                <w:sdtPr>
                  <w:rPr>
                    <w:rFonts w:eastAsia="微软雅黑"/>
                    <w:szCs w:val="18"/>
                  </w:rPr>
                  <w:alias w:val="12个月价格区间"/>
                  <w:tag w:val="BDCONTENTCONTROL_2ec65af7-9847-428f-b620-7fc5d6f3998e"/>
                  <w:id w:val="1469790081"/>
                  <w:placeholder>
                    <w:docPart w:val="693C50A4D5E345B7AD3220326091A622"/>
                  </w:placeholder>
                </w:sdtPr>
                <w:sdtEndPr/>
                <w:sdtContent>
                  <w:tc>
                    <w:tcPr>
                      <w:tcW w:w="2518" w:type="pct"/>
                      <w:tcBorders>
                        <w:bottom w:val="single" w:sz="4" w:space="0" w:color="0072BB"/>
                      </w:tcBorders>
                      <w:tcMar>
                        <w:left w:w="28" w:type="dxa"/>
                        <w:right w:w="28" w:type="dxa"/>
                      </w:tcMar>
                      <w:vAlign w:val="center"/>
                    </w:tcPr>
                    <w:p w:rsidR="008436F3" w:rsidRPr="00AA641C" w:rsidRDefault="00D05253" w:rsidP="00411DF8">
                      <w:pPr>
                        <w:jc w:val="right"/>
                        <w:rPr>
                          <w:rFonts w:eastAsia="微软雅黑"/>
                          <w:szCs w:val="18"/>
                        </w:rPr>
                      </w:pPr>
                      <w:r>
                        <w:rPr>
                          <w:rFonts w:eastAsia="微软雅黑" w:hint="eastAsia"/>
                          <w:szCs w:val="18"/>
                        </w:rPr>
                        <w:t>33.01/57.60</w:t>
                      </w:r>
                      <w:r>
                        <w:rPr>
                          <w:rFonts w:eastAsia="微软雅黑" w:hint="eastAsia"/>
                          <w:szCs w:val="18"/>
                        </w:rPr>
                        <w:t>元</w:t>
                      </w:r>
                    </w:p>
                  </w:tc>
                </w:sdtContent>
              </w:sdt>
            </w:tr>
          </w:tbl>
          <w:p w:rsidR="008436F3" w:rsidRPr="005C6DBC" w:rsidRDefault="008436F3" w:rsidP="00DB56F5">
            <w:pPr>
              <w:spacing w:line="120" w:lineRule="exact"/>
              <w:rPr>
                <w:rFonts w:eastAsia="微软雅黑"/>
                <w:b/>
              </w:rPr>
            </w:pPr>
          </w:p>
          <w:tbl>
            <w:tblPr>
              <w:tblStyle w:val="a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9"/>
            </w:tblGrid>
            <w:tr w:rsidR="00B37A3E" w:rsidTr="004530D4">
              <w:tc>
                <w:tcPr>
                  <w:tcW w:w="5000" w:type="pct"/>
                  <w:shd w:val="clear" w:color="auto" w:fill="014099"/>
                  <w:tcMar>
                    <w:left w:w="28" w:type="dxa"/>
                    <w:right w:w="28" w:type="dxa"/>
                  </w:tcMar>
                  <w:vAlign w:val="center"/>
                </w:tcPr>
                <w:p w:rsidR="00B37A3E" w:rsidRPr="00BE2F2A" w:rsidRDefault="00CD7834" w:rsidP="006545A7">
                  <w:pPr>
                    <w:rPr>
                      <w:rFonts w:eastAsia="微软雅黑"/>
                      <w:b/>
                      <w:color w:val="FFFFFF" w:themeColor="background1"/>
                    </w:rPr>
                  </w:pPr>
                  <w:r>
                    <w:rPr>
                      <w:rFonts w:eastAsia="微软雅黑" w:hint="eastAsia"/>
                      <w:b/>
                      <w:color w:val="FFFFFF" w:themeColor="background1"/>
                    </w:rPr>
                    <w:t>一年</w:t>
                  </w:r>
                  <w:r w:rsidR="007D2719" w:rsidRPr="00BE2F2A">
                    <w:rPr>
                      <w:rFonts w:eastAsia="微软雅黑" w:hint="eastAsia"/>
                      <w:b/>
                      <w:color w:val="FFFFFF" w:themeColor="background1"/>
                    </w:rPr>
                    <w:t>股价表现</w:t>
                  </w:r>
                </w:p>
              </w:tc>
            </w:tr>
            <w:tr w:rsidR="00B37A3E" w:rsidTr="005778F5">
              <w:trPr>
                <w:trHeight w:hRule="exact" w:val="2189"/>
              </w:trPr>
              <w:sdt>
                <w:sdtPr>
                  <w:alias w:val="A股相对市场表现"/>
                  <w:tag w:val="BDCONTENTCONTROL_13f3546e-b676-4278-be26-872bd1866f3d"/>
                  <w:id w:val="876346306"/>
                  <w:placeholder>
                    <w:docPart w:val="F5E00A1D15E5439F8EC8EAF1E12A1D29"/>
                  </w:placeholder>
                </w:sdtPr>
                <w:sdtEndPr/>
                <w:sdtContent>
                  <w:tc>
                    <w:tcPr>
                      <w:tcW w:w="5000" w:type="pct"/>
                      <w:tcBorders>
                        <w:bottom w:val="single" w:sz="4" w:space="0" w:color="0072BB"/>
                      </w:tcBorders>
                      <w:tcMar>
                        <w:left w:w="28" w:type="dxa"/>
                        <w:right w:w="28" w:type="dxa"/>
                      </w:tcMar>
                    </w:tcPr>
                    <w:p w:rsidR="00B37A3E" w:rsidRPr="00C145EA" w:rsidRDefault="00C145EA" w:rsidP="00C145EA">
                      <w:r>
                        <w:rPr>
                          <w:noProof/>
                        </w:rPr>
                        <w:drawing>
                          <wp:inline distT="0" distB="0" distL="0" distR="0">
                            <wp:extent cx="2133600" cy="1276350"/>
                            <wp:effectExtent l="0" t="0" r="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sdtContent>
              </w:sdt>
            </w:tr>
            <w:tr w:rsidR="00B37A3E" w:rsidTr="005778F5">
              <w:trPr>
                <w:trHeight w:hRule="exact" w:val="255"/>
              </w:trPr>
              <w:tc>
                <w:tcPr>
                  <w:tcW w:w="5000" w:type="pct"/>
                  <w:tcBorders>
                    <w:top w:val="single" w:sz="4" w:space="0" w:color="0072BB"/>
                  </w:tcBorders>
                  <w:tcMar>
                    <w:left w:w="28" w:type="dxa"/>
                    <w:right w:w="28" w:type="dxa"/>
                  </w:tcMar>
                  <w:vAlign w:val="center"/>
                </w:tcPr>
                <w:p w:rsidR="00B37A3E" w:rsidRPr="00474785" w:rsidRDefault="007D2719" w:rsidP="006545A7">
                  <w:pPr>
                    <w:spacing w:line="200" w:lineRule="exact"/>
                    <w:rPr>
                      <w:rFonts w:eastAsia="微软雅黑"/>
                      <w:i/>
                      <w:color w:val="0072BB"/>
                      <w:sz w:val="15"/>
                      <w:szCs w:val="15"/>
                    </w:rPr>
                  </w:pPr>
                  <w:r w:rsidRPr="00474785">
                    <w:rPr>
                      <w:rFonts w:eastAsia="微软雅黑" w:hint="eastAsia"/>
                      <w:i/>
                      <w:color w:val="0072BB"/>
                      <w:sz w:val="15"/>
                      <w:szCs w:val="15"/>
                    </w:rPr>
                    <w:t>资料来源：贝格数据</w:t>
                  </w:r>
                </w:p>
              </w:tc>
            </w:tr>
          </w:tbl>
          <w:p w:rsidR="00422160" w:rsidRDefault="00422160" w:rsidP="00F812DB">
            <w:pPr>
              <w:spacing w:line="120" w:lineRule="exact"/>
              <w:rPr>
                <w:rFonts w:eastAsia="微软雅黑"/>
              </w:rPr>
            </w:pPr>
          </w:p>
          <w:sdt>
            <w:sdtPr>
              <w:rPr>
                <w:rFonts w:eastAsia="微软雅黑" w:hint="eastAsia"/>
              </w:rPr>
              <w:alias w:val="股价相对表现"/>
              <w:tag w:val="BDCONTENTCONTROL_224cd635-0e94-4093-988c-3536ed1a8543"/>
              <w:id w:val="951989233"/>
              <w:placeholder>
                <w:docPart w:val="F5E00A1D15E5439F8EC8EAF1E12A1D29"/>
              </w:placeholder>
            </w:sdtPr>
            <w:sdtEndPr/>
            <w:sdtContent>
              <w:p w:rsidR="00422160" w:rsidRDefault="00422160" w:rsidP="00422160">
                <w:pPr>
                  <w:spacing w:line="14" w:lineRule="exact"/>
                  <w:rPr>
                    <w:rFonts w:eastAsia="微软雅黑"/>
                  </w:rPr>
                </w:pPr>
              </w:p>
              <w:tbl>
                <w:tblPr>
                  <w:tblW w:w="3497" w:type="dxa"/>
                  <w:tblBorders>
                    <w:top w:val="single" w:sz="4" w:space="0" w:color="0072BB"/>
                    <w:bottom w:val="single" w:sz="4" w:space="0" w:color="0072BB"/>
                  </w:tblBorders>
                  <w:tblLayout w:type="fixed"/>
                  <w:tblCellMar>
                    <w:left w:w="0" w:type="dxa"/>
                    <w:right w:w="28" w:type="dxa"/>
                  </w:tblCellMar>
                  <w:tblLook w:val="0000" w:firstRow="0" w:lastRow="0" w:firstColumn="0" w:lastColumn="0" w:noHBand="0" w:noVBand="0"/>
                </w:tblPr>
                <w:tblGrid>
                  <w:gridCol w:w="998"/>
                  <w:gridCol w:w="833"/>
                  <w:gridCol w:w="833"/>
                  <w:gridCol w:w="833"/>
                </w:tblGrid>
                <w:tr w:rsidR="00422160" w:rsidTr="00C82546">
                  <w:trPr>
                    <w:trHeight w:val="317"/>
                  </w:trPr>
                  <w:tc>
                    <w:tcPr>
                      <w:tcW w:w="998" w:type="dxa"/>
                      <w:vAlign w:val="center"/>
                    </w:tcPr>
                    <w:p w:rsidR="00422160" w:rsidRDefault="00D05253" w:rsidP="00422160">
                      <w:pPr>
                        <w:rPr>
                          <w:rFonts w:eastAsia="微软雅黑"/>
                        </w:rPr>
                      </w:pPr>
                      <w:r>
                        <w:rPr>
                          <w:rFonts w:eastAsia="微软雅黑" w:hint="eastAsia"/>
                        </w:rPr>
                        <w:t>升幅</w:t>
                      </w:r>
                      <w:r>
                        <w:rPr>
                          <w:rFonts w:eastAsia="微软雅黑" w:hint="eastAsia"/>
                        </w:rPr>
                        <w:t>%</w:t>
                      </w:r>
                    </w:p>
                  </w:tc>
                  <w:tc>
                    <w:tcPr>
                      <w:tcW w:w="833" w:type="dxa"/>
                      <w:vAlign w:val="center"/>
                    </w:tcPr>
                    <w:p w:rsidR="00422160" w:rsidRDefault="00D05253" w:rsidP="00422160">
                      <w:pPr>
                        <w:jc w:val="right"/>
                        <w:rPr>
                          <w:rFonts w:eastAsia="微软雅黑"/>
                        </w:rPr>
                      </w:pPr>
                      <w:r>
                        <w:rPr>
                          <w:rFonts w:eastAsia="微软雅黑"/>
                        </w:rPr>
                        <w:t>1M</w:t>
                      </w:r>
                    </w:p>
                  </w:tc>
                  <w:tc>
                    <w:tcPr>
                      <w:tcW w:w="833" w:type="dxa"/>
                      <w:vAlign w:val="center"/>
                    </w:tcPr>
                    <w:p w:rsidR="00422160" w:rsidRDefault="00D05253" w:rsidP="00422160">
                      <w:pPr>
                        <w:jc w:val="right"/>
                        <w:rPr>
                          <w:rFonts w:eastAsia="微软雅黑"/>
                        </w:rPr>
                      </w:pPr>
                      <w:r>
                        <w:rPr>
                          <w:rFonts w:eastAsia="微软雅黑"/>
                        </w:rPr>
                        <w:t>3M</w:t>
                      </w:r>
                    </w:p>
                  </w:tc>
                  <w:tc>
                    <w:tcPr>
                      <w:tcW w:w="833" w:type="dxa"/>
                      <w:vAlign w:val="center"/>
                    </w:tcPr>
                    <w:p w:rsidR="00422160" w:rsidRDefault="00D05253" w:rsidP="00422160">
                      <w:pPr>
                        <w:jc w:val="right"/>
                        <w:rPr>
                          <w:rFonts w:eastAsia="微软雅黑"/>
                        </w:rPr>
                      </w:pPr>
                      <w:r>
                        <w:rPr>
                          <w:rFonts w:eastAsia="微软雅黑"/>
                        </w:rPr>
                        <w:t>12M</w:t>
                      </w:r>
                    </w:p>
                  </w:tc>
                </w:tr>
                <w:tr w:rsidR="00422160" w:rsidTr="00C82546">
                  <w:trPr>
                    <w:trHeight w:val="317"/>
                  </w:trPr>
                  <w:tc>
                    <w:tcPr>
                      <w:tcW w:w="998" w:type="dxa"/>
                      <w:vAlign w:val="center"/>
                    </w:tcPr>
                    <w:p w:rsidR="00422160" w:rsidRDefault="00D05253" w:rsidP="00422160">
                      <w:pPr>
                        <w:rPr>
                          <w:rFonts w:eastAsia="微软雅黑"/>
                        </w:rPr>
                      </w:pPr>
                      <w:r>
                        <w:rPr>
                          <w:rFonts w:eastAsia="微软雅黑" w:hint="eastAsia"/>
                        </w:rPr>
                        <w:t>相对收益</w:t>
                      </w:r>
                    </w:p>
                  </w:tc>
                  <w:tc>
                    <w:tcPr>
                      <w:tcW w:w="833" w:type="dxa"/>
                      <w:vAlign w:val="center"/>
                    </w:tcPr>
                    <w:p w:rsidR="00422160" w:rsidRDefault="00D05253" w:rsidP="00422160">
                      <w:pPr>
                        <w:jc w:val="right"/>
                        <w:rPr>
                          <w:rFonts w:eastAsia="微软雅黑"/>
                        </w:rPr>
                      </w:pPr>
                      <w:r>
                        <w:rPr>
                          <w:rFonts w:eastAsia="微软雅黑"/>
                        </w:rPr>
                        <w:t>1.58</w:t>
                      </w:r>
                    </w:p>
                  </w:tc>
                  <w:tc>
                    <w:tcPr>
                      <w:tcW w:w="833" w:type="dxa"/>
                      <w:vAlign w:val="center"/>
                    </w:tcPr>
                    <w:p w:rsidR="00422160" w:rsidRDefault="00D05253" w:rsidP="00422160">
                      <w:pPr>
                        <w:jc w:val="right"/>
                        <w:rPr>
                          <w:rFonts w:eastAsia="微软雅黑"/>
                        </w:rPr>
                      </w:pPr>
                      <w:r>
                        <w:rPr>
                          <w:rFonts w:eastAsia="微软雅黑"/>
                        </w:rPr>
                        <w:t>2.82</w:t>
                      </w:r>
                    </w:p>
                  </w:tc>
                  <w:tc>
                    <w:tcPr>
                      <w:tcW w:w="833" w:type="dxa"/>
                      <w:vAlign w:val="center"/>
                    </w:tcPr>
                    <w:p w:rsidR="00422160" w:rsidRDefault="00D05253" w:rsidP="00422160">
                      <w:pPr>
                        <w:jc w:val="right"/>
                        <w:rPr>
                          <w:rFonts w:eastAsia="微软雅黑"/>
                        </w:rPr>
                      </w:pPr>
                      <w:r>
                        <w:rPr>
                          <w:rFonts w:eastAsia="微软雅黑"/>
                        </w:rPr>
                        <w:t>-4.17</w:t>
                      </w:r>
                    </w:p>
                  </w:tc>
                </w:tr>
                <w:tr w:rsidR="008119E3" w:rsidTr="00C82546">
                  <w:trPr>
                    <w:trHeight w:val="317"/>
                  </w:trPr>
                  <w:tc>
                    <w:tcPr>
                      <w:tcW w:w="998" w:type="dxa"/>
                      <w:vAlign w:val="center"/>
                    </w:tcPr>
                    <w:p w:rsidR="008119E3" w:rsidRDefault="00D05253" w:rsidP="00422160">
                      <w:pPr>
                        <w:rPr>
                          <w:rFonts w:eastAsia="微软雅黑"/>
                        </w:rPr>
                      </w:pPr>
                      <w:r>
                        <w:rPr>
                          <w:rFonts w:eastAsia="微软雅黑" w:hint="eastAsia"/>
                        </w:rPr>
                        <w:t>绝对收益</w:t>
                      </w:r>
                    </w:p>
                  </w:tc>
                  <w:tc>
                    <w:tcPr>
                      <w:tcW w:w="833" w:type="dxa"/>
                      <w:vAlign w:val="center"/>
                    </w:tcPr>
                    <w:p w:rsidR="008119E3" w:rsidRDefault="00D05253" w:rsidP="00422160">
                      <w:pPr>
                        <w:jc w:val="right"/>
                        <w:rPr>
                          <w:rFonts w:eastAsia="微软雅黑"/>
                        </w:rPr>
                      </w:pPr>
                      <w:r>
                        <w:rPr>
                          <w:rFonts w:eastAsia="微软雅黑"/>
                        </w:rPr>
                        <w:t>-1.04</w:t>
                      </w:r>
                    </w:p>
                  </w:tc>
                  <w:tc>
                    <w:tcPr>
                      <w:tcW w:w="833" w:type="dxa"/>
                      <w:vAlign w:val="center"/>
                    </w:tcPr>
                    <w:p w:rsidR="008119E3" w:rsidRDefault="00D05253" w:rsidP="00422160">
                      <w:pPr>
                        <w:jc w:val="right"/>
                        <w:rPr>
                          <w:rFonts w:eastAsia="微软雅黑"/>
                        </w:rPr>
                      </w:pPr>
                      <w:r>
                        <w:rPr>
                          <w:rFonts w:eastAsia="微软雅黑"/>
                        </w:rPr>
                        <w:t>6.82</w:t>
                      </w:r>
                    </w:p>
                  </w:tc>
                  <w:tc>
                    <w:tcPr>
                      <w:tcW w:w="833" w:type="dxa"/>
                      <w:vAlign w:val="center"/>
                    </w:tcPr>
                    <w:p w:rsidR="008119E3" w:rsidRDefault="00D05253" w:rsidP="00422160">
                      <w:pPr>
                        <w:jc w:val="right"/>
                        <w:rPr>
                          <w:rFonts w:eastAsia="微软雅黑"/>
                        </w:rPr>
                      </w:pPr>
                      <w:r>
                        <w:rPr>
                          <w:rFonts w:eastAsia="微软雅黑"/>
                        </w:rPr>
                        <w:t>-15.21</w:t>
                      </w:r>
                    </w:p>
                  </w:tc>
                </w:tr>
              </w:tbl>
              <w:p w:rsidR="00422160" w:rsidRDefault="00F05780" w:rsidP="00D05253">
                <w:pPr>
                  <w:spacing w:line="14" w:lineRule="exact"/>
                  <w:rPr>
                    <w:rFonts w:eastAsia="微软雅黑"/>
                  </w:rPr>
                </w:pPr>
              </w:p>
            </w:sdtContent>
          </w:sdt>
          <w:p w:rsidR="008436F3" w:rsidRDefault="008436F3" w:rsidP="006C78A3">
            <w:pPr>
              <w:spacing w:line="120" w:lineRule="exact"/>
              <w:rPr>
                <w:rFonts w:eastAsia="微软雅黑"/>
              </w:rPr>
            </w:pPr>
          </w:p>
          <w:sdt>
            <w:sdtPr>
              <w:rPr>
                <w:rFonts w:eastAsia="微软雅黑" w:hint="eastAsia"/>
              </w:rPr>
              <w:alias w:val="作者展示"/>
              <w:tag w:val="BDCONTENTCONTROL_e0755c92-3198-4ec0-8c8f-ce93bed18c2c"/>
              <w:id w:val="-1053996576"/>
              <w:placeholder>
                <w:docPart w:val="F5E00A1D15E5439F8EC8EAF1E12A1D29"/>
              </w:placeholder>
            </w:sdtPr>
            <w:sdtEndPr/>
            <w:sdtContent>
              <w:p w:rsidR="00D05253" w:rsidRDefault="00D05253" w:rsidP="00D05253">
                <w:pPr>
                  <w:spacing w:line="14" w:lineRule="exact"/>
                  <w:rPr>
                    <w:rFonts w:eastAsia="微软雅黑"/>
                  </w:rPr>
                </w:pPr>
              </w:p>
              <w:tbl>
                <w:tblPr>
                  <w:tblW w:w="5000" w:type="pct"/>
                  <w:tblLayout w:type="fixed"/>
                  <w:tblCellMar>
                    <w:left w:w="28" w:type="dxa"/>
                    <w:right w:w="28" w:type="dxa"/>
                  </w:tblCellMar>
                  <w:tblLook w:val="0000" w:firstRow="0" w:lastRow="0" w:firstColumn="0" w:lastColumn="0" w:noHBand="0" w:noVBand="0"/>
                </w:tblPr>
                <w:tblGrid>
                  <w:gridCol w:w="1744"/>
                  <w:gridCol w:w="1745"/>
                </w:tblGrid>
                <w:tr w:rsidR="00D05253" w:rsidTr="00D05253">
                  <w:tc>
                    <w:tcPr>
                      <w:tcW w:w="1744" w:type="dxa"/>
                    </w:tcPr>
                    <w:p w:rsidR="00D05253" w:rsidRDefault="00D05253" w:rsidP="00D05253">
                      <w:pPr>
                        <w:pStyle w:val="HJReportFirPageAuthorName"/>
                      </w:pPr>
                      <w:r>
                        <w:rPr>
                          <w:rFonts w:hint="eastAsia"/>
                        </w:rPr>
                        <w:t>分析师</w:t>
                      </w:r>
                    </w:p>
                  </w:tc>
                  <w:tc>
                    <w:tcPr>
                      <w:tcW w:w="1745" w:type="dxa"/>
                      <w:vAlign w:val="bottom"/>
                    </w:tcPr>
                    <w:p w:rsidR="00D05253" w:rsidRDefault="00D05253" w:rsidP="00D05253">
                      <w:pPr>
                        <w:pStyle w:val="HJReportFirPageAuthorPosition"/>
                      </w:pPr>
                      <w:r>
                        <w:rPr>
                          <w:rFonts w:hint="eastAsia"/>
                        </w:rPr>
                        <w:t>王刚</w:t>
                      </w:r>
                    </w:p>
                  </w:tc>
                </w:tr>
                <w:tr w:rsidR="00D05253" w:rsidTr="006C20F8">
                  <w:tc>
                    <w:tcPr>
                      <w:tcW w:w="3489" w:type="dxa"/>
                      <w:gridSpan w:val="2"/>
                    </w:tcPr>
                    <w:p w:rsidR="00D05253" w:rsidRDefault="00D05253" w:rsidP="00D05253">
                      <w:pPr>
                        <w:pStyle w:val="HJReportFirPageAuthorEmail"/>
                      </w:pPr>
                      <w:r>
                        <w:rPr>
                          <w:rFonts w:hint="eastAsia"/>
                        </w:rPr>
                        <w:t>SAC</w:t>
                      </w:r>
                      <w:r>
                        <w:rPr>
                          <w:rFonts w:hint="eastAsia"/>
                        </w:rPr>
                        <w:t>执业证书编号：</w:t>
                      </w:r>
                      <w:r>
                        <w:rPr>
                          <w:rFonts w:hint="eastAsia"/>
                        </w:rPr>
                        <w:t>S0910515070001</w:t>
                      </w:r>
                    </w:p>
                    <w:p w:rsidR="00D05253" w:rsidRDefault="00D05253" w:rsidP="00D05253">
                      <w:pPr>
                        <w:pStyle w:val="HJReportFirPageAuthorEmail"/>
                      </w:pPr>
                      <w:r>
                        <w:t>wanggang@huajinsc.cn</w:t>
                      </w:r>
                    </w:p>
                    <w:p w:rsidR="00D05253" w:rsidRDefault="00D05253" w:rsidP="00D05253">
                      <w:pPr>
                        <w:pStyle w:val="HJReportFirPageAuthorEmail"/>
                      </w:pPr>
                      <w:r>
                        <w:t>021-20655693</w:t>
                      </w:r>
                    </w:p>
                  </w:tc>
                </w:tr>
                <w:tr w:rsidR="00D05253" w:rsidTr="00D05253">
                  <w:tc>
                    <w:tcPr>
                      <w:tcW w:w="1744" w:type="dxa"/>
                    </w:tcPr>
                    <w:p w:rsidR="00D05253" w:rsidRDefault="00D05253" w:rsidP="00D05253">
                      <w:pPr>
                        <w:pStyle w:val="HJReportFirPageAuthorName"/>
                      </w:pPr>
                      <w:r>
                        <w:rPr>
                          <w:rFonts w:hint="eastAsia"/>
                        </w:rPr>
                        <w:t>报告联系人</w:t>
                      </w:r>
                    </w:p>
                  </w:tc>
                  <w:tc>
                    <w:tcPr>
                      <w:tcW w:w="1745" w:type="dxa"/>
                      <w:vAlign w:val="bottom"/>
                    </w:tcPr>
                    <w:p w:rsidR="00D05253" w:rsidRDefault="00D05253" w:rsidP="00D05253">
                      <w:pPr>
                        <w:pStyle w:val="HJReportFirPageAuthorPosition"/>
                      </w:pPr>
                      <w:r>
                        <w:rPr>
                          <w:rFonts w:hint="eastAsia"/>
                        </w:rPr>
                        <w:t>郑春明</w:t>
                      </w:r>
                    </w:p>
                  </w:tc>
                </w:tr>
                <w:tr w:rsidR="00D05253" w:rsidTr="00506FD8">
                  <w:tc>
                    <w:tcPr>
                      <w:tcW w:w="3489" w:type="dxa"/>
                      <w:gridSpan w:val="2"/>
                    </w:tcPr>
                    <w:p w:rsidR="00D05253" w:rsidRDefault="00D05253" w:rsidP="00D05253">
                      <w:pPr>
                        <w:pStyle w:val="HJReportFirPageAuthorEmail"/>
                      </w:pPr>
                      <w:r>
                        <w:t>zhengchunming@huajinsc.cn</w:t>
                      </w:r>
                    </w:p>
                    <w:p w:rsidR="00D05253" w:rsidRDefault="00D05253" w:rsidP="00D05253">
                      <w:pPr>
                        <w:pStyle w:val="HJReportFirPageAuthorEmail"/>
                      </w:pPr>
                      <w:r>
                        <w:t>021-20655654</w:t>
                      </w:r>
                    </w:p>
                  </w:tc>
                </w:tr>
              </w:tbl>
              <w:p w:rsidR="00B077DD" w:rsidRDefault="00F05780" w:rsidP="00D05253">
                <w:pPr>
                  <w:spacing w:line="14" w:lineRule="exact"/>
                  <w:rPr>
                    <w:rFonts w:eastAsia="微软雅黑"/>
                  </w:rPr>
                </w:pPr>
              </w:p>
            </w:sdtContent>
          </w:sdt>
          <w:p w:rsidR="008436F3" w:rsidRDefault="008436F3">
            <w:pPr>
              <w:rPr>
                <w:rFonts w:eastAsia="微软雅黑"/>
              </w:rPr>
            </w:pPr>
          </w:p>
          <w:sdt>
            <w:sdtPr>
              <w:alias w:val="公司相关报告"/>
              <w:tag w:val="BDCONTENTCONTROL_0e4f9f21-9268-46da-a937-983805b82df8"/>
              <w:id w:val="992527840"/>
              <w:placeholder>
                <w:docPart w:val="F5E00A1D15E5439F8EC8EAF1E12A1D29"/>
              </w:placeholder>
            </w:sdtPr>
            <w:sdtEndPr/>
            <w:sdtContent>
              <w:p w:rsidR="00AE7A64" w:rsidRDefault="00AE7A64" w:rsidP="00AE7A64">
                <w:pPr>
                  <w:spacing w:line="14" w:lineRule="exact"/>
                </w:pPr>
              </w:p>
              <w:tbl>
                <w:tblPr>
                  <w:tblW w:w="0" w:type="auto"/>
                  <w:tblLayout w:type="fixed"/>
                  <w:tblCellMar>
                    <w:left w:w="0" w:type="dxa"/>
                    <w:right w:w="28" w:type="dxa"/>
                  </w:tblCellMar>
                  <w:tblLook w:val="0000" w:firstRow="0" w:lastRow="0" w:firstColumn="0" w:lastColumn="0" w:noHBand="0" w:noVBand="0"/>
                </w:tblPr>
                <w:tblGrid>
                  <w:gridCol w:w="3487"/>
                </w:tblGrid>
                <w:tr w:rsidR="00AE7A64" w:rsidTr="004530D4">
                  <w:tc>
                    <w:tcPr>
                      <w:tcW w:w="3487" w:type="dxa"/>
                      <w:shd w:val="clear" w:color="auto" w:fill="014099"/>
                    </w:tcPr>
                    <w:p w:rsidR="00AE7A64" w:rsidRPr="00AE7A64" w:rsidRDefault="006F4921" w:rsidP="003F4DF4">
                      <w:pPr>
                        <w:rPr>
                          <w:rFonts w:eastAsia="微软雅黑"/>
                          <w:b/>
                          <w:color w:val="FFFFFF" w:themeColor="background1"/>
                        </w:rPr>
                      </w:pPr>
                      <w:r>
                        <w:rPr>
                          <w:rFonts w:eastAsia="微软雅黑" w:hint="eastAsia"/>
                          <w:b/>
                          <w:color w:val="FFFFFF" w:themeColor="background1"/>
                        </w:rPr>
                        <w:t>相关报告</w:t>
                      </w:r>
                    </w:p>
                  </w:tc>
                </w:tr>
                <w:tr w:rsidR="00AE7A64" w:rsidTr="00C82546">
                  <w:trPr>
                    <w:trHeight w:val="397"/>
                  </w:trPr>
                  <w:tc>
                    <w:tcPr>
                      <w:tcW w:w="3487" w:type="dxa"/>
                      <w:vAlign w:val="center"/>
                    </w:tcPr>
                    <w:p w:rsidR="00AE7A64" w:rsidRPr="00AE7A64" w:rsidRDefault="00AE7A64" w:rsidP="00AE7A64">
                      <w:pPr>
                        <w:rPr>
                          <w:rFonts w:eastAsia="微软雅黑"/>
                        </w:rPr>
                      </w:pPr>
                    </w:p>
                  </w:tc>
                </w:tr>
                <w:tr w:rsidR="00AE7A64" w:rsidTr="00C82546">
                  <w:trPr>
                    <w:trHeight w:val="397"/>
                  </w:trPr>
                  <w:tc>
                    <w:tcPr>
                      <w:tcW w:w="3487" w:type="dxa"/>
                      <w:vAlign w:val="center"/>
                    </w:tcPr>
                    <w:p w:rsidR="00AE7A64" w:rsidRPr="00AE7A64" w:rsidRDefault="00AE7A64" w:rsidP="00AE7A64">
                      <w:pPr>
                        <w:rPr>
                          <w:rFonts w:eastAsia="微软雅黑"/>
                        </w:rPr>
                      </w:pPr>
                    </w:p>
                  </w:tc>
                </w:tr>
                <w:tr w:rsidR="00AE7A64" w:rsidTr="00C82546">
                  <w:trPr>
                    <w:trHeight w:val="397"/>
                  </w:trPr>
                  <w:tc>
                    <w:tcPr>
                      <w:tcW w:w="3487" w:type="dxa"/>
                      <w:vAlign w:val="center"/>
                    </w:tcPr>
                    <w:p w:rsidR="00AE7A64" w:rsidRPr="00AE7A64" w:rsidRDefault="00AE7A64" w:rsidP="00AE7A64">
                      <w:pPr>
                        <w:rPr>
                          <w:rFonts w:eastAsia="微软雅黑"/>
                        </w:rPr>
                      </w:pPr>
                    </w:p>
                  </w:tc>
                </w:tr>
                <w:tr w:rsidR="00AE7A64" w:rsidTr="00C82546">
                  <w:trPr>
                    <w:trHeight w:val="397"/>
                  </w:trPr>
                  <w:tc>
                    <w:tcPr>
                      <w:tcW w:w="3487" w:type="dxa"/>
                      <w:vAlign w:val="center"/>
                    </w:tcPr>
                    <w:p w:rsidR="00AE7A64" w:rsidRPr="00AE7A64" w:rsidRDefault="00AE7A64" w:rsidP="00AE7A64">
                      <w:pPr>
                        <w:rPr>
                          <w:rFonts w:eastAsia="微软雅黑"/>
                        </w:rPr>
                      </w:pPr>
                    </w:p>
                  </w:tc>
                </w:tr>
                <w:tr w:rsidR="00AE7A64" w:rsidTr="00C82546">
                  <w:trPr>
                    <w:trHeight w:val="397"/>
                  </w:trPr>
                  <w:tc>
                    <w:tcPr>
                      <w:tcW w:w="3487" w:type="dxa"/>
                      <w:vAlign w:val="center"/>
                    </w:tcPr>
                    <w:p w:rsidR="00AE7A64" w:rsidRPr="00AE7A64" w:rsidRDefault="00AE7A64" w:rsidP="00AE7A64">
                      <w:pPr>
                        <w:rPr>
                          <w:rFonts w:eastAsia="微软雅黑"/>
                        </w:rPr>
                      </w:pPr>
                    </w:p>
                  </w:tc>
                </w:tr>
              </w:tbl>
              <w:p w:rsidR="008436F3" w:rsidRPr="00B32701" w:rsidRDefault="00F05780" w:rsidP="006F4921">
                <w:pPr>
                  <w:spacing w:line="14" w:lineRule="exact"/>
                </w:pPr>
              </w:p>
            </w:sdtContent>
          </w:sdt>
        </w:tc>
      </w:tr>
    </w:tbl>
    <w:tbl>
      <w:tblPr>
        <w:tblW w:w="11168" w:type="dxa"/>
        <w:jc w:val="center"/>
        <w:tblLayout w:type="fixed"/>
        <w:tblLook w:val="01E0" w:firstRow="1" w:lastRow="1" w:firstColumn="1" w:lastColumn="1" w:noHBand="0" w:noVBand="0"/>
      </w:tblPr>
      <w:tblGrid>
        <w:gridCol w:w="11168"/>
      </w:tblGrid>
      <w:tr w:rsidR="008F0106" w:rsidRPr="00501B80" w:rsidTr="00FD0867">
        <w:trPr>
          <w:trHeight w:val="510"/>
          <w:jc w:val="center"/>
        </w:trPr>
        <w:tc>
          <w:tcPr>
            <w:tcW w:w="11168" w:type="dxa"/>
          </w:tcPr>
          <w:tbl>
            <w:tblPr>
              <w:tblW w:w="11276" w:type="dxa"/>
              <w:jc w:val="center"/>
              <w:tblLayout w:type="fixed"/>
              <w:tblLook w:val="01E0" w:firstRow="1" w:lastRow="1" w:firstColumn="1" w:lastColumn="1" w:noHBand="0" w:noVBand="0"/>
            </w:tblPr>
            <w:tblGrid>
              <w:gridCol w:w="108"/>
              <w:gridCol w:w="5952"/>
              <w:gridCol w:w="238"/>
              <w:gridCol w:w="4870"/>
              <w:gridCol w:w="108"/>
            </w:tblGrid>
            <w:tr w:rsidR="00F07CC4" w:rsidRPr="00501B80" w:rsidTr="00AF579E">
              <w:trPr>
                <w:gridBefore w:val="1"/>
                <w:wBefore w:w="108" w:type="dxa"/>
                <w:trHeight w:val="510"/>
                <w:jc w:val="center"/>
              </w:trPr>
              <w:tc>
                <w:tcPr>
                  <w:tcW w:w="11168" w:type="dxa"/>
                  <w:gridSpan w:val="4"/>
                </w:tcPr>
                <w:p w:rsidR="00F07CC4" w:rsidRPr="00770DD9" w:rsidRDefault="00F07CC4" w:rsidP="00F07CC4">
                  <w:pPr>
                    <w:keepNext/>
                    <w:spacing w:line="360" w:lineRule="exact"/>
                    <w:rPr>
                      <w:rFonts w:eastAsia="微软雅黑"/>
                      <w:sz w:val="24"/>
                      <w:szCs w:val="24"/>
                    </w:rPr>
                  </w:pPr>
                  <w:r w:rsidRPr="00770DD9">
                    <w:rPr>
                      <w:rFonts w:eastAsia="微软雅黑" w:hint="eastAsia"/>
                      <w:color w:val="0072BB"/>
                      <w:sz w:val="24"/>
                      <w:szCs w:val="24"/>
                    </w:rPr>
                    <w:lastRenderedPageBreak/>
                    <w:t>财务报表预测和估值数据汇总</w:t>
                  </w:r>
                </w:p>
              </w:tc>
            </w:tr>
            <w:tr w:rsidR="00AF579E" w:rsidRPr="006A3DB7" w:rsidTr="00AF579E">
              <w:trPr>
                <w:gridAfter w:val="1"/>
                <w:wAfter w:w="108" w:type="dxa"/>
                <w:trHeight w:val="107"/>
                <w:jc w:val="center"/>
              </w:trPr>
              <w:tc>
                <w:tcPr>
                  <w:tcW w:w="6060" w:type="dxa"/>
                  <w:gridSpan w:val="2"/>
                  <w:tcBorders>
                    <w:top w:val="single" w:sz="4" w:space="0" w:color="0072BB"/>
                  </w:tcBorders>
                  <w:shd w:val="clear" w:color="auto" w:fill="auto"/>
                  <w:vAlign w:val="center"/>
                </w:tcPr>
                <w:p w:rsidR="00AF579E" w:rsidRPr="001E6F3A" w:rsidRDefault="00AF579E" w:rsidP="00AF579E">
                  <w:pPr>
                    <w:spacing w:line="240" w:lineRule="exact"/>
                    <w:rPr>
                      <w:rFonts w:eastAsia="微软雅黑"/>
                      <w:b/>
                      <w:szCs w:val="18"/>
                    </w:rPr>
                  </w:pPr>
                  <w:r w:rsidRPr="001E6F3A">
                    <w:rPr>
                      <w:rFonts w:eastAsia="微软雅黑" w:hint="eastAsia"/>
                      <w:b/>
                      <w:szCs w:val="18"/>
                    </w:rPr>
                    <w:t>利润表</w:t>
                  </w:r>
                </w:p>
              </w:tc>
              <w:tc>
                <w:tcPr>
                  <w:tcW w:w="238" w:type="dxa"/>
                  <w:tcBorders>
                    <w:top w:val="single" w:sz="4" w:space="0" w:color="0072BB"/>
                  </w:tcBorders>
                  <w:shd w:val="clear" w:color="auto" w:fill="auto"/>
                  <w:vAlign w:val="center"/>
                </w:tcPr>
                <w:p w:rsidR="00AF579E" w:rsidRPr="001E6F3A" w:rsidRDefault="00AF579E" w:rsidP="00AF579E">
                  <w:pPr>
                    <w:spacing w:line="240" w:lineRule="exact"/>
                    <w:rPr>
                      <w:rFonts w:eastAsia="微软雅黑"/>
                      <w:b/>
                      <w:szCs w:val="18"/>
                    </w:rPr>
                  </w:pPr>
                </w:p>
              </w:tc>
              <w:tc>
                <w:tcPr>
                  <w:tcW w:w="4870" w:type="dxa"/>
                  <w:tcBorders>
                    <w:top w:val="single" w:sz="4" w:space="0" w:color="0072BB"/>
                  </w:tcBorders>
                  <w:shd w:val="clear" w:color="auto" w:fill="auto"/>
                  <w:vAlign w:val="center"/>
                </w:tcPr>
                <w:p w:rsidR="00AF579E" w:rsidRPr="001E6F3A" w:rsidRDefault="00AF579E" w:rsidP="00AF579E">
                  <w:pPr>
                    <w:spacing w:line="240" w:lineRule="exact"/>
                    <w:rPr>
                      <w:rFonts w:eastAsia="微软雅黑"/>
                      <w:b/>
                      <w:szCs w:val="18"/>
                    </w:rPr>
                  </w:pPr>
                  <w:r>
                    <w:rPr>
                      <w:rFonts w:eastAsia="微软雅黑" w:hint="eastAsia"/>
                      <w:b/>
                      <w:szCs w:val="18"/>
                    </w:rPr>
                    <w:t>资产负债表</w:t>
                  </w:r>
                </w:p>
              </w:tc>
            </w:tr>
            <w:tr w:rsidR="00AF579E" w:rsidRPr="008E4DB1" w:rsidTr="00AF579E">
              <w:trPr>
                <w:gridAfter w:val="1"/>
                <w:wAfter w:w="108" w:type="dxa"/>
                <w:trHeight w:val="227"/>
                <w:jc w:val="center"/>
              </w:trPr>
              <w:tc>
                <w:tcPr>
                  <w:tcW w:w="11168" w:type="dxa"/>
                  <w:gridSpan w:val="4"/>
                  <w:tcBorders>
                    <w:top w:val="single" w:sz="4" w:space="0" w:color="0072BB"/>
                  </w:tcBorders>
                  <w:shd w:val="clear" w:color="auto" w:fill="auto"/>
                  <w:vAlign w:val="bottom"/>
                </w:tcPr>
                <w:sdt>
                  <w:sdtPr>
                    <w:tag w:val="BDCONTENTCONTROL_ValuationModel_Endpage_TABLE"/>
                    <w:id w:val="-809707070"/>
                    <w:placeholder>
                      <w:docPart w:val="E09E605B6C1A473DA875E45ED0602FAE"/>
                    </w:placeholder>
                  </w:sdtPr>
                  <w:sdtEndPr/>
                  <w:sdtContent>
                    <w:p w:rsidR="00AF579E" w:rsidRPr="00DC6D4F" w:rsidRDefault="00AF579E" w:rsidP="00AF579E">
                      <w:pPr>
                        <w:spacing w:line="14" w:lineRule="exact"/>
                      </w:pPr>
                    </w:p>
                    <w:tbl>
                      <w:tblPr>
                        <w:tblW w:w="11169" w:type="dxa"/>
                        <w:jc w:val="center"/>
                        <w:tblLayout w:type="fixed"/>
                        <w:tblLook w:val="01E0" w:firstRow="1" w:lastRow="1" w:firstColumn="1" w:lastColumn="1" w:noHBand="0" w:noVBand="0"/>
                      </w:tblPr>
                      <w:tblGrid>
                        <w:gridCol w:w="2693"/>
                        <w:gridCol w:w="839"/>
                        <w:gridCol w:w="839"/>
                        <w:gridCol w:w="839"/>
                        <w:gridCol w:w="845"/>
                        <w:gridCol w:w="238"/>
                        <w:gridCol w:w="1888"/>
                        <w:gridCol w:w="747"/>
                        <w:gridCol w:w="747"/>
                        <w:gridCol w:w="747"/>
                        <w:gridCol w:w="747"/>
                      </w:tblGrid>
                      <w:tr w:rsidR="00AF579E" w:rsidRPr="008E4DB1" w:rsidTr="00EA7EBD">
                        <w:trPr>
                          <w:trHeight w:hRule="exact" w:val="227"/>
                          <w:jc w:val="center"/>
                        </w:trPr>
                        <w:tc>
                          <w:tcPr>
                            <w:tcW w:w="2693" w:type="dxa"/>
                            <w:tcBorders>
                              <w:top w:val="single" w:sz="4" w:space="0" w:color="0072BB"/>
                              <w:bottom w:val="single" w:sz="4" w:space="0" w:color="0072BB"/>
                            </w:tcBorders>
                            <w:shd w:val="clear" w:color="auto" w:fill="auto"/>
                            <w:vAlign w:val="bottom"/>
                          </w:tcPr>
                          <w:p w:rsidR="00AF579E" w:rsidRPr="001E6F3A" w:rsidRDefault="00AF579E" w:rsidP="00AF579E">
                            <w:pPr>
                              <w:spacing w:line="240" w:lineRule="exact"/>
                              <w:jc w:val="left"/>
                              <w:rPr>
                                <w:rFonts w:eastAsia="微软雅黑"/>
                                <w:b/>
                                <w:sz w:val="15"/>
                              </w:rPr>
                            </w:pPr>
                            <w:r w:rsidRPr="001E6F3A">
                              <w:rPr>
                                <w:rFonts w:eastAsia="微软雅黑" w:hint="eastAsia"/>
                                <w:b/>
                                <w:sz w:val="15"/>
                              </w:rPr>
                              <w:t>（百万元）</w:t>
                            </w:r>
                          </w:p>
                        </w:tc>
                        <w:tc>
                          <w:tcPr>
                            <w:tcW w:w="839"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2015</w:t>
                            </w:r>
                            <w:r>
                              <w:rPr>
                                <w:rFonts w:eastAsia="微软雅黑" w:hint="eastAsia"/>
                                <w:b/>
                                <w:sz w:val="15"/>
                              </w:rPr>
                              <w:t>A</w:t>
                            </w:r>
                          </w:p>
                        </w:tc>
                        <w:tc>
                          <w:tcPr>
                            <w:tcW w:w="839"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2016</w:t>
                            </w:r>
                            <w:r>
                              <w:rPr>
                                <w:rFonts w:eastAsia="微软雅黑" w:hint="eastAsia"/>
                                <w:b/>
                                <w:sz w:val="15"/>
                              </w:rPr>
                              <w:t>E</w:t>
                            </w:r>
                          </w:p>
                        </w:tc>
                        <w:tc>
                          <w:tcPr>
                            <w:tcW w:w="839"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2017</w:t>
                            </w:r>
                            <w:r>
                              <w:rPr>
                                <w:rFonts w:eastAsia="微软雅黑" w:hint="eastAsia"/>
                                <w:b/>
                                <w:sz w:val="15"/>
                              </w:rPr>
                              <w:t>E</w:t>
                            </w:r>
                          </w:p>
                        </w:tc>
                        <w:tc>
                          <w:tcPr>
                            <w:tcW w:w="845"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2018</w:t>
                            </w:r>
                            <w:r>
                              <w:rPr>
                                <w:rFonts w:eastAsia="微软雅黑" w:hint="eastAsia"/>
                                <w:b/>
                                <w:sz w:val="15"/>
                              </w:rPr>
                              <w:t>E</w:t>
                            </w:r>
                          </w:p>
                        </w:tc>
                        <w:tc>
                          <w:tcPr>
                            <w:tcW w:w="238" w:type="dxa"/>
                            <w:tcMar>
                              <w:left w:w="28" w:type="dxa"/>
                              <w:right w:w="28" w:type="dxa"/>
                            </w:tcMar>
                          </w:tcPr>
                          <w:p w:rsidR="00AF579E" w:rsidRPr="001E6F3A" w:rsidRDefault="00AF579E" w:rsidP="00AF579E">
                            <w:pPr>
                              <w:spacing w:line="240" w:lineRule="exact"/>
                              <w:rPr>
                                <w:rFonts w:eastAsia="微软雅黑"/>
                                <w:b/>
                                <w:sz w:val="15"/>
                              </w:rPr>
                            </w:pPr>
                          </w:p>
                        </w:tc>
                        <w:tc>
                          <w:tcPr>
                            <w:tcW w:w="1888" w:type="dxa"/>
                            <w:tcBorders>
                              <w:top w:val="single" w:sz="4" w:space="0" w:color="0072BB"/>
                              <w:bottom w:val="single" w:sz="4" w:space="0" w:color="0072BB"/>
                            </w:tcBorders>
                            <w:shd w:val="clear" w:color="auto" w:fill="auto"/>
                            <w:tcMar>
                              <w:left w:w="28" w:type="dxa"/>
                              <w:right w:w="28" w:type="dxa"/>
                            </w:tcMar>
                            <w:vAlign w:val="bottom"/>
                          </w:tcPr>
                          <w:p w:rsidR="00AF579E" w:rsidRPr="001E6F3A" w:rsidRDefault="00AF579E" w:rsidP="00AF579E">
                            <w:pPr>
                              <w:spacing w:line="240" w:lineRule="exact"/>
                              <w:rPr>
                                <w:rFonts w:eastAsia="微软雅黑"/>
                                <w:b/>
                                <w:sz w:val="15"/>
                              </w:rPr>
                            </w:pPr>
                            <w:r w:rsidRPr="001E6F3A">
                              <w:rPr>
                                <w:rFonts w:eastAsia="微软雅黑" w:hint="eastAsia"/>
                                <w:b/>
                                <w:sz w:val="15"/>
                              </w:rPr>
                              <w:t>（</w:t>
                            </w:r>
                            <w:r>
                              <w:rPr>
                                <w:rFonts w:eastAsia="微软雅黑" w:hint="eastAsia"/>
                                <w:b/>
                                <w:sz w:val="15"/>
                              </w:rPr>
                              <w:t>百万元</w:t>
                            </w:r>
                            <w:r w:rsidRPr="001E6F3A">
                              <w:rPr>
                                <w:rFonts w:eastAsia="微软雅黑" w:hint="eastAsia"/>
                                <w:b/>
                                <w:sz w:val="15"/>
                              </w:rPr>
                              <w:t>）</w:t>
                            </w:r>
                          </w:p>
                        </w:tc>
                        <w:tc>
                          <w:tcPr>
                            <w:tcW w:w="747"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2015</w:t>
                            </w:r>
                            <w:r>
                              <w:rPr>
                                <w:rFonts w:eastAsia="微软雅黑" w:hint="eastAsia"/>
                                <w:b/>
                                <w:sz w:val="15"/>
                              </w:rPr>
                              <w:t>A</w:t>
                            </w:r>
                          </w:p>
                        </w:tc>
                        <w:tc>
                          <w:tcPr>
                            <w:tcW w:w="747"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2016</w:t>
                            </w:r>
                            <w:r>
                              <w:rPr>
                                <w:rFonts w:eastAsia="微软雅黑" w:hint="eastAsia"/>
                                <w:b/>
                                <w:sz w:val="15"/>
                              </w:rPr>
                              <w:t>E</w:t>
                            </w:r>
                          </w:p>
                        </w:tc>
                        <w:tc>
                          <w:tcPr>
                            <w:tcW w:w="747"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2017</w:t>
                            </w:r>
                            <w:r>
                              <w:rPr>
                                <w:rFonts w:eastAsia="微软雅黑" w:hint="eastAsia"/>
                                <w:b/>
                                <w:sz w:val="15"/>
                              </w:rPr>
                              <w:t>E</w:t>
                            </w:r>
                          </w:p>
                        </w:tc>
                        <w:tc>
                          <w:tcPr>
                            <w:tcW w:w="747" w:type="dxa"/>
                            <w:tcBorders>
                              <w:top w:val="single" w:sz="4" w:space="0" w:color="0072BB"/>
                              <w:bottom w:val="single" w:sz="4" w:space="0" w:color="0072BB"/>
                            </w:tcBorders>
                            <w:shd w:val="clear" w:color="auto" w:fill="auto"/>
                            <w:tcMar>
                              <w:left w:w="28" w:type="dxa"/>
                              <w:right w:w="28" w:type="dxa"/>
                            </w:tcMar>
                            <w:vAlign w:val="center"/>
                          </w:tcPr>
                          <w:p w:rsidR="00AF579E" w:rsidRPr="001E6F3A" w:rsidRDefault="00AF579E" w:rsidP="00AF579E">
                            <w:pPr>
                              <w:spacing w:line="240" w:lineRule="exact"/>
                              <w:jc w:val="left"/>
                              <w:rPr>
                                <w:rFonts w:eastAsia="微软雅黑"/>
                                <w:b/>
                                <w:sz w:val="15"/>
                              </w:rPr>
                            </w:pPr>
                            <w:r>
                              <w:rPr>
                                <w:rFonts w:eastAsia="微软雅黑"/>
                                <w:b/>
                                <w:sz w:val="15"/>
                              </w:rPr>
                              <w:t>2018</w:t>
                            </w:r>
                            <w:r>
                              <w:rPr>
                                <w:rFonts w:eastAsia="微软雅黑" w:hint="eastAsia"/>
                                <w:b/>
                                <w:sz w:val="15"/>
                              </w:rPr>
                              <w:t>E</w:t>
                            </w:r>
                          </w:p>
                        </w:tc>
                      </w:tr>
                      <w:tr w:rsidR="00AF579E" w:rsidRPr="008E4DB1" w:rsidTr="00EA7EBD">
                        <w:trPr>
                          <w:trHeight w:hRule="exact" w:val="215"/>
                          <w:jc w:val="center"/>
                        </w:trPr>
                        <w:tc>
                          <w:tcPr>
                            <w:tcW w:w="2693" w:type="dxa"/>
                            <w:tcBorders>
                              <w:top w:val="single" w:sz="4" w:space="0" w:color="0072BB"/>
                            </w:tcBorders>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一、营业收入</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158453</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147406</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166341</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186120</w:t>
                            </w:r>
                          </w:p>
                        </w:tc>
                        <w:tc>
                          <w:tcPr>
                            <w:tcW w:w="238" w:type="dxa"/>
                            <w:tcMar>
                              <w:left w:w="28" w:type="dxa"/>
                              <w:right w:w="28" w:type="dxa"/>
                            </w:tcMar>
                            <w:vAlign w:val="center"/>
                          </w:tcPr>
                          <w:p w:rsidR="00AF579E" w:rsidRPr="00902640" w:rsidRDefault="00AF579E" w:rsidP="00AF579E">
                            <w:pPr>
                              <w:spacing w:line="0" w:lineRule="atLeast"/>
                              <w:ind w:rightChars="-85" w:right="-153"/>
                              <w:jc w:val="right"/>
                              <w:rPr>
                                <w:rFonts w:eastAsia="微软雅黑"/>
                                <w:sz w:val="15"/>
                              </w:rPr>
                            </w:pPr>
                          </w:p>
                        </w:tc>
                        <w:tc>
                          <w:tcPr>
                            <w:tcW w:w="1888" w:type="dxa"/>
                            <w:tcBorders>
                              <w:top w:val="single" w:sz="4" w:space="0" w:color="0072BB"/>
                            </w:tcBorders>
                            <w:shd w:val="clear" w:color="auto" w:fill="auto"/>
                            <w:tcMar>
                              <w:left w:w="28" w:type="dxa"/>
                              <w:right w:w="28" w:type="dxa"/>
                            </w:tcMar>
                            <w:vAlign w:val="center"/>
                          </w:tcPr>
                          <w:p w:rsidR="00AF579E" w:rsidRPr="002B016C" w:rsidRDefault="00AF579E" w:rsidP="00AF579E">
                            <w:pPr>
                              <w:spacing w:line="0" w:lineRule="atLeast"/>
                              <w:ind w:rightChars="-85" w:right="-153"/>
                              <w:rPr>
                                <w:rFonts w:eastAsia="微软雅黑"/>
                                <w:b/>
                                <w:sz w:val="15"/>
                              </w:rPr>
                            </w:pPr>
                            <w:r w:rsidRPr="002B016C">
                              <w:rPr>
                                <w:rFonts w:eastAsia="微软雅黑" w:hint="eastAsia"/>
                                <w:b/>
                                <w:sz w:val="15"/>
                              </w:rPr>
                              <w:t>资产：</w:t>
                            </w:r>
                          </w:p>
                        </w:tc>
                        <w:tc>
                          <w:tcPr>
                            <w:tcW w:w="747" w:type="dxa"/>
                            <w:tcBorders>
                              <w:top w:val="single" w:sz="4" w:space="0" w:color="0072BB"/>
                            </w:tcBorders>
                            <w:shd w:val="clear" w:color="auto" w:fill="auto"/>
                            <w:tcMar>
                              <w:left w:w="28" w:type="dxa"/>
                              <w:right w:w="28" w:type="dxa"/>
                            </w:tcMar>
                            <w:vAlign w:val="center"/>
                          </w:tcPr>
                          <w:p w:rsidR="00AF579E" w:rsidRPr="00C46C10" w:rsidRDefault="00AF579E" w:rsidP="00AF579E">
                            <w:pPr>
                              <w:spacing w:line="0" w:lineRule="atLeast"/>
                              <w:jc w:val="left"/>
                              <w:rPr>
                                <w:rFonts w:eastAsia="微软雅黑"/>
                                <w:sz w:val="15"/>
                              </w:rPr>
                            </w:pPr>
                          </w:p>
                        </w:tc>
                        <w:tc>
                          <w:tcPr>
                            <w:tcW w:w="747" w:type="dxa"/>
                            <w:tcBorders>
                              <w:top w:val="single" w:sz="4" w:space="0" w:color="0072BB"/>
                            </w:tcBorders>
                            <w:shd w:val="clear" w:color="auto" w:fill="auto"/>
                            <w:tcMar>
                              <w:left w:w="28" w:type="dxa"/>
                              <w:right w:w="28" w:type="dxa"/>
                            </w:tcMar>
                            <w:vAlign w:val="center"/>
                          </w:tcPr>
                          <w:p w:rsidR="00AF579E" w:rsidRPr="00C46C10" w:rsidRDefault="00AF579E" w:rsidP="00AF579E">
                            <w:pPr>
                              <w:spacing w:line="0" w:lineRule="atLeast"/>
                              <w:jc w:val="left"/>
                              <w:rPr>
                                <w:rFonts w:eastAsia="微软雅黑"/>
                                <w:sz w:val="15"/>
                              </w:rPr>
                            </w:pPr>
                          </w:p>
                        </w:tc>
                        <w:tc>
                          <w:tcPr>
                            <w:tcW w:w="747" w:type="dxa"/>
                            <w:tcBorders>
                              <w:top w:val="single" w:sz="4" w:space="0" w:color="0072BB"/>
                            </w:tcBorders>
                            <w:shd w:val="clear" w:color="auto" w:fill="auto"/>
                            <w:tcMar>
                              <w:left w:w="28" w:type="dxa"/>
                              <w:right w:w="28" w:type="dxa"/>
                            </w:tcMar>
                            <w:vAlign w:val="center"/>
                          </w:tcPr>
                          <w:p w:rsidR="00AF579E" w:rsidRPr="00C46C10" w:rsidRDefault="00AF579E" w:rsidP="00AF579E">
                            <w:pPr>
                              <w:spacing w:line="0" w:lineRule="atLeast"/>
                              <w:jc w:val="left"/>
                              <w:rPr>
                                <w:rFonts w:eastAsia="微软雅黑"/>
                                <w:sz w:val="15"/>
                              </w:rPr>
                            </w:pPr>
                          </w:p>
                        </w:tc>
                        <w:tc>
                          <w:tcPr>
                            <w:tcW w:w="747" w:type="dxa"/>
                            <w:tcBorders>
                              <w:top w:val="single" w:sz="4" w:space="0" w:color="0072BB"/>
                            </w:tcBorders>
                            <w:shd w:val="clear" w:color="auto" w:fill="auto"/>
                            <w:tcMar>
                              <w:left w:w="28" w:type="dxa"/>
                              <w:right w:w="28" w:type="dxa"/>
                            </w:tcMar>
                            <w:vAlign w:val="center"/>
                          </w:tcPr>
                          <w:p w:rsidR="00AF579E" w:rsidRPr="00C46C10" w:rsidRDefault="00AF579E" w:rsidP="00AF579E">
                            <w:pPr>
                              <w:spacing w:line="0" w:lineRule="atLeast"/>
                              <w:jc w:val="left"/>
                              <w:rPr>
                                <w:rFonts w:eastAsia="微软雅黑"/>
                                <w:sz w:val="15"/>
                              </w:rPr>
                            </w:pP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已赚保费</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111220</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113901</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133796</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153866</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货币资金</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13765</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12784</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12880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12469</w:t>
                            </w: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 xml:space="preserve">   </w:t>
                            </w:r>
                            <w:r w:rsidRPr="00884D52">
                              <w:rPr>
                                <w:rFonts w:eastAsia="微软雅黑" w:hint="eastAsia"/>
                                <w:sz w:val="15"/>
                              </w:rPr>
                              <w:t>保险业务收入</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111859</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114963</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134536</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154717</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交易性金融资产</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13625</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35242</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73928</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110892</w:t>
                            </w: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 xml:space="preserve">   </w:t>
                            </w:r>
                            <w:r w:rsidRPr="00884D52">
                              <w:rPr>
                                <w:rFonts w:eastAsia="微软雅黑" w:hint="eastAsia"/>
                                <w:sz w:val="15"/>
                              </w:rPr>
                              <w:t>减</w:t>
                            </w:r>
                            <w:r w:rsidRPr="00884D52">
                              <w:rPr>
                                <w:rFonts w:eastAsia="微软雅黑" w:hint="eastAsia"/>
                                <w:sz w:val="15"/>
                              </w:rPr>
                              <w:t>:</w:t>
                            </w:r>
                            <w:r w:rsidRPr="00884D52">
                              <w:rPr>
                                <w:rFonts w:eastAsia="微软雅黑" w:hint="eastAsia"/>
                                <w:sz w:val="15"/>
                              </w:rPr>
                              <w:t>提取未到期责任准备金</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-51</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243</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67</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77</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可供出售金融资产</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216897</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282845</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359201</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462293</w:t>
                            </w: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投资收益</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46214</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32704</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31687</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31391</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持有到期投资</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177502</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174861</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174308</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172735</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二、营业支出</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147174</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139622</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157276</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175121</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固定资产</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6827</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8456</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10115</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12314</w:t>
                            </w: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退保金</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54336</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42262</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57802</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62996</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定期存款</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127762</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113642</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93470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80009</w:t>
                            </w: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赔付支出</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24836</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37045</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30937</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29948</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资产总计</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660560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710619</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744199</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789515</w:t>
                            </w: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提取保险责任准备金</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40178</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32183</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36248</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46160</w:t>
                            </w:r>
                          </w:p>
                        </w:tc>
                        <w:tc>
                          <w:tcPr>
                            <w:tcW w:w="238" w:type="dxa"/>
                            <w:tcMar>
                              <w:left w:w="28" w:type="dxa"/>
                              <w:right w:w="28" w:type="dxa"/>
                            </w:tcMar>
                            <w:vAlign w:val="center"/>
                          </w:tcPr>
                          <w:p w:rsidR="00AF579E" w:rsidRPr="002B016C" w:rsidRDefault="00AF579E" w:rsidP="00AF579E">
                            <w:pPr>
                              <w:spacing w:line="0" w:lineRule="atLeast"/>
                              <w:ind w:rightChars="-85" w:right="-153" w:firstLineChars="100" w:firstLine="150"/>
                              <w:jc w:val="right"/>
                              <w:rPr>
                                <w:rFonts w:eastAsia="微软雅黑"/>
                                <w:b/>
                                <w:sz w:val="15"/>
                              </w:rPr>
                            </w:pPr>
                          </w:p>
                        </w:tc>
                        <w:tc>
                          <w:tcPr>
                            <w:tcW w:w="1888" w:type="dxa"/>
                            <w:shd w:val="clear" w:color="auto" w:fill="auto"/>
                            <w:tcMar>
                              <w:left w:w="28" w:type="dxa"/>
                              <w:right w:w="28" w:type="dxa"/>
                            </w:tcMar>
                            <w:vAlign w:val="center"/>
                          </w:tcPr>
                          <w:p w:rsidR="00AF579E" w:rsidRPr="002B016C" w:rsidRDefault="00AF579E" w:rsidP="00AF579E">
                            <w:pPr>
                              <w:spacing w:line="0" w:lineRule="atLeast"/>
                              <w:ind w:rightChars="-85" w:right="-153"/>
                              <w:rPr>
                                <w:rFonts w:eastAsia="微软雅黑"/>
                                <w:b/>
                                <w:sz w:val="15"/>
                              </w:rPr>
                            </w:pPr>
                            <w:r w:rsidRPr="002B016C">
                              <w:rPr>
                                <w:rFonts w:eastAsia="微软雅黑" w:hint="eastAsia"/>
                                <w:b/>
                                <w:sz w:val="15"/>
                              </w:rPr>
                              <w:t>负债：</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r>
                      <w:tr w:rsidR="00AF579E" w:rsidRPr="008E4DB1" w:rsidTr="00EA7EBD">
                        <w:trPr>
                          <w:trHeight w:hRule="exact" w:val="215"/>
                          <w:jc w:val="center"/>
                        </w:trPr>
                        <w:tc>
                          <w:tcPr>
                            <w:tcW w:w="2693" w:type="dxa"/>
                            <w:shd w:val="clear" w:color="auto" w:fill="auto"/>
                            <w:vAlign w:val="center"/>
                          </w:tcPr>
                          <w:p w:rsidR="00AF579E" w:rsidRPr="00C46C10" w:rsidRDefault="00AF579E" w:rsidP="00AF579E">
                            <w:pPr>
                              <w:spacing w:line="0" w:lineRule="atLeast"/>
                              <w:jc w:val="left"/>
                              <w:rPr>
                                <w:rFonts w:eastAsia="微软雅黑"/>
                                <w:sz w:val="15"/>
                              </w:rPr>
                            </w:pPr>
                            <w:r w:rsidRPr="00884D52">
                              <w:rPr>
                                <w:rFonts w:eastAsia="微软雅黑" w:hint="eastAsia"/>
                                <w:sz w:val="15"/>
                              </w:rPr>
                              <w:t>业务及管理费</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12839</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12679</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17428</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19501</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预收保费</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2823</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9113</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20435</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55893</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三、营业利润</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11279</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7784</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9065</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10999</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保护储金及投资款</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26881</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27544</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27350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27591</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加：营业外收入</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610</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298</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348</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364</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寿险责任准备金</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491441</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542537</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593887</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652866</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减：营业外支出</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107</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99</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106</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107</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长期健康险责任准备金</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31358</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37412</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45230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54322</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四、利润总额</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11782</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7983</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9307</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11256</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应付债券</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19000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21533</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22969</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25266</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减：所得税</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3180</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1690</w:t>
                            </w:r>
                          </w:p>
                        </w:tc>
                        <w:tc>
                          <w:tcPr>
                            <w:tcW w:w="839"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1861</w:t>
                            </w:r>
                          </w:p>
                        </w:tc>
                        <w:tc>
                          <w:tcPr>
                            <w:tcW w:w="845"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2251</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负债合计</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602719</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645837</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672938</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711129</w:t>
                            </w:r>
                          </w:p>
                        </w:tc>
                      </w:tr>
                      <w:tr w:rsidR="00AF579E" w:rsidRPr="008E4DB1" w:rsidTr="00EA7EBD">
                        <w:trPr>
                          <w:trHeight w:hRule="exact" w:val="215"/>
                          <w:jc w:val="center"/>
                        </w:trPr>
                        <w:tc>
                          <w:tcPr>
                            <w:tcW w:w="2693" w:type="dxa"/>
                            <w:tcBorders>
                              <w:bottom w:val="single" w:sz="4" w:space="0" w:color="0070C0"/>
                            </w:tcBorders>
                            <w:shd w:val="clear" w:color="auto" w:fill="auto"/>
                            <w:vAlign w:val="center"/>
                          </w:tcPr>
                          <w:p w:rsidR="00AF579E" w:rsidRPr="00884D52" w:rsidRDefault="00AF579E" w:rsidP="00AF579E">
                            <w:pPr>
                              <w:spacing w:line="0" w:lineRule="atLeast"/>
                              <w:jc w:val="left"/>
                              <w:rPr>
                                <w:rFonts w:eastAsia="微软雅黑"/>
                                <w:b/>
                                <w:sz w:val="15"/>
                              </w:rPr>
                            </w:pPr>
                            <w:r w:rsidRPr="00884D52">
                              <w:rPr>
                                <w:rFonts w:eastAsia="微软雅黑" w:hint="eastAsia"/>
                                <w:b/>
                                <w:sz w:val="15"/>
                              </w:rPr>
                              <w:t>归属于母公司所有者的净利润</w:t>
                            </w:r>
                          </w:p>
                        </w:tc>
                        <w:tc>
                          <w:tcPr>
                            <w:tcW w:w="839"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8601</w:t>
                            </w:r>
                          </w:p>
                        </w:tc>
                        <w:tc>
                          <w:tcPr>
                            <w:tcW w:w="839"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6290</w:t>
                            </w:r>
                          </w:p>
                        </w:tc>
                        <w:tc>
                          <w:tcPr>
                            <w:tcW w:w="839"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7431</w:t>
                            </w:r>
                          </w:p>
                        </w:tc>
                        <w:tc>
                          <w:tcPr>
                            <w:tcW w:w="845"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8974</w:t>
                            </w: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所有者权益：</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r>
                      <w:tr w:rsidR="00AF579E" w:rsidRPr="008E4DB1" w:rsidTr="00EA7EBD">
                        <w:trPr>
                          <w:trHeight w:hRule="exact" w:val="215"/>
                          <w:jc w:val="center"/>
                        </w:trPr>
                        <w:tc>
                          <w:tcPr>
                            <w:tcW w:w="2693" w:type="dxa"/>
                            <w:tcBorders>
                              <w:top w:val="single" w:sz="4" w:space="0" w:color="0070C0"/>
                            </w:tcBorders>
                            <w:shd w:val="clear" w:color="auto" w:fill="auto"/>
                            <w:vAlign w:val="center"/>
                          </w:tcPr>
                          <w:p w:rsidR="00AF579E" w:rsidRPr="00884D52" w:rsidRDefault="00AF579E" w:rsidP="00AF579E">
                            <w:pPr>
                              <w:spacing w:line="0" w:lineRule="atLeast"/>
                              <w:jc w:val="left"/>
                              <w:rPr>
                                <w:rFonts w:eastAsia="微软雅黑"/>
                                <w:sz w:val="15"/>
                              </w:rPr>
                            </w:pPr>
                          </w:p>
                        </w:tc>
                        <w:tc>
                          <w:tcPr>
                            <w:tcW w:w="839" w:type="dxa"/>
                            <w:tcBorders>
                              <w:top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tcBorders>
                              <w:top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tcBorders>
                              <w:top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45" w:type="dxa"/>
                            <w:tcBorders>
                              <w:top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238" w:type="dxa"/>
                            <w:tcMar>
                              <w:left w:w="28" w:type="dxa"/>
                              <w:right w:w="28" w:type="dxa"/>
                            </w:tcMar>
                            <w:vAlign w:val="center"/>
                          </w:tcPr>
                          <w:p w:rsidR="00AF579E" w:rsidRPr="002B016C" w:rsidRDefault="00AF579E" w:rsidP="00AF579E">
                            <w:pPr>
                              <w:spacing w:line="0" w:lineRule="atLeast"/>
                              <w:ind w:rightChars="-85" w:right="-153" w:firstLineChars="100" w:firstLine="150"/>
                              <w:jc w:val="right"/>
                              <w:rPr>
                                <w:rFonts w:eastAsia="微软雅黑"/>
                                <w:b/>
                                <w:sz w:val="15"/>
                              </w:rPr>
                            </w:pPr>
                          </w:p>
                        </w:tc>
                        <w:tc>
                          <w:tcPr>
                            <w:tcW w:w="1888" w:type="dxa"/>
                            <w:shd w:val="clear" w:color="auto" w:fill="auto"/>
                            <w:tcMar>
                              <w:left w:w="28" w:type="dxa"/>
                              <w:right w:w="28" w:type="dxa"/>
                            </w:tcMar>
                            <w:vAlign w:val="center"/>
                          </w:tcPr>
                          <w:p w:rsidR="00AF579E" w:rsidRPr="002B016C" w:rsidRDefault="00AF579E" w:rsidP="00AF579E">
                            <w:pPr>
                              <w:spacing w:line="0" w:lineRule="atLeast"/>
                              <w:ind w:rightChars="-85" w:right="-153"/>
                              <w:rPr>
                                <w:rFonts w:eastAsia="微软雅黑"/>
                                <w:b/>
                                <w:sz w:val="15"/>
                              </w:rPr>
                            </w:pPr>
                            <w:r w:rsidRPr="002B016C">
                              <w:rPr>
                                <w:rFonts w:eastAsia="微软雅黑" w:hint="eastAsia"/>
                                <w:b/>
                                <w:sz w:val="15"/>
                              </w:rPr>
                              <w:t>股本</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3120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3120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3120</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3120</w:t>
                            </w:r>
                          </w:p>
                        </w:tc>
                      </w:tr>
                      <w:tr w:rsidR="00AF579E" w:rsidRPr="008E4DB1" w:rsidTr="00EA7EBD">
                        <w:trPr>
                          <w:trHeight w:hRule="exact" w:val="215"/>
                          <w:jc w:val="center"/>
                        </w:trPr>
                        <w:tc>
                          <w:tcPr>
                            <w:tcW w:w="2693" w:type="dxa"/>
                            <w:shd w:val="clear" w:color="auto" w:fill="auto"/>
                            <w:vAlign w:val="center"/>
                          </w:tcPr>
                          <w:p w:rsidR="00AF579E" w:rsidRPr="00884D52" w:rsidRDefault="00AF579E" w:rsidP="00AF579E">
                            <w:pPr>
                              <w:spacing w:line="0" w:lineRule="atLeast"/>
                              <w:jc w:val="left"/>
                              <w:rPr>
                                <w:rFonts w:eastAsia="微软雅黑"/>
                                <w:sz w:val="15"/>
                              </w:rPr>
                            </w:pPr>
                          </w:p>
                        </w:tc>
                        <w:tc>
                          <w:tcPr>
                            <w:tcW w:w="839" w:type="dxa"/>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45" w:type="dxa"/>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238" w:type="dxa"/>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资本公积金</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23964</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24473</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24732</w:t>
                            </w:r>
                          </w:p>
                        </w:tc>
                        <w:tc>
                          <w:tcPr>
                            <w:tcW w:w="747" w:type="dxa"/>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25126</w:t>
                            </w:r>
                          </w:p>
                        </w:tc>
                      </w:tr>
                      <w:tr w:rsidR="00AF579E" w:rsidRPr="008E4DB1" w:rsidTr="00EA7EBD">
                        <w:trPr>
                          <w:trHeight w:hRule="exact" w:val="215"/>
                          <w:jc w:val="center"/>
                        </w:trPr>
                        <w:tc>
                          <w:tcPr>
                            <w:tcW w:w="2693" w:type="dxa"/>
                            <w:tcBorders>
                              <w:bottom w:val="single" w:sz="4" w:space="0" w:color="0070C0"/>
                            </w:tcBorders>
                            <w:shd w:val="clear" w:color="auto" w:fill="auto"/>
                            <w:vAlign w:val="center"/>
                          </w:tcPr>
                          <w:p w:rsidR="00AF579E" w:rsidRPr="00C46C10" w:rsidRDefault="00AF579E" w:rsidP="00AF579E">
                            <w:pPr>
                              <w:spacing w:line="0" w:lineRule="atLeast"/>
                              <w:jc w:val="left"/>
                              <w:rPr>
                                <w:rFonts w:eastAsia="微软雅黑"/>
                                <w:sz w:val="15"/>
                              </w:rPr>
                            </w:pPr>
                          </w:p>
                        </w:tc>
                        <w:tc>
                          <w:tcPr>
                            <w:tcW w:w="839" w:type="dxa"/>
                            <w:tcBorders>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tcBorders>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tcBorders>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45" w:type="dxa"/>
                            <w:tcBorders>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238" w:type="dxa"/>
                            <w:tcBorders>
                              <w:bottom w:val="single" w:sz="4" w:space="0" w:color="0070C0"/>
                            </w:tcBorders>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tcBorders>
                              <w:bottom w:val="single" w:sz="4" w:space="0" w:color="0070C0"/>
                            </w:tcBorders>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r w:rsidRPr="00884D52">
                              <w:rPr>
                                <w:rFonts w:eastAsia="微软雅黑" w:hint="eastAsia"/>
                                <w:sz w:val="15"/>
                              </w:rPr>
                              <w:t>所有者权益合计</w:t>
                            </w:r>
                          </w:p>
                        </w:tc>
                        <w:tc>
                          <w:tcPr>
                            <w:tcW w:w="747"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57841</w:t>
                            </w:r>
                          </w:p>
                        </w:tc>
                        <w:tc>
                          <w:tcPr>
                            <w:tcW w:w="747"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64782</w:t>
                            </w:r>
                          </w:p>
                        </w:tc>
                        <w:tc>
                          <w:tcPr>
                            <w:tcW w:w="747"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71260</w:t>
                            </w:r>
                          </w:p>
                        </w:tc>
                        <w:tc>
                          <w:tcPr>
                            <w:tcW w:w="747" w:type="dxa"/>
                            <w:tcBorders>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r w:rsidRPr="002B016C">
                              <w:rPr>
                                <w:rFonts w:eastAsia="微软雅黑" w:hint="eastAsia"/>
                                <w:sz w:val="15"/>
                              </w:rPr>
                              <w:t>78386</w:t>
                            </w:r>
                          </w:p>
                        </w:tc>
                      </w:tr>
                      <w:tr w:rsidR="00AF579E" w:rsidRPr="008E4DB1" w:rsidTr="00EA7EBD">
                        <w:trPr>
                          <w:trHeight w:hRule="exact" w:val="215"/>
                          <w:jc w:val="center"/>
                        </w:trPr>
                        <w:tc>
                          <w:tcPr>
                            <w:tcW w:w="2693" w:type="dxa"/>
                            <w:tcBorders>
                              <w:top w:val="single" w:sz="4" w:space="0" w:color="0070C0"/>
                              <w:bottom w:val="single" w:sz="4" w:space="0" w:color="0070C0"/>
                            </w:tcBorders>
                            <w:shd w:val="clear" w:color="auto" w:fill="auto"/>
                            <w:vAlign w:val="center"/>
                          </w:tcPr>
                          <w:p w:rsidR="00AF579E" w:rsidRPr="00C46C10" w:rsidRDefault="00AF579E" w:rsidP="00AF579E">
                            <w:pPr>
                              <w:spacing w:line="0" w:lineRule="atLeast"/>
                              <w:jc w:val="left"/>
                              <w:rPr>
                                <w:rFonts w:eastAsia="微软雅黑"/>
                                <w:sz w:val="15"/>
                              </w:rPr>
                            </w:pPr>
                          </w:p>
                        </w:tc>
                        <w:tc>
                          <w:tcPr>
                            <w:tcW w:w="839" w:type="dxa"/>
                            <w:tcBorders>
                              <w:top w:val="single" w:sz="4" w:space="0" w:color="0070C0"/>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tcBorders>
                              <w:top w:val="single" w:sz="4" w:space="0" w:color="0070C0"/>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39" w:type="dxa"/>
                            <w:tcBorders>
                              <w:top w:val="single" w:sz="4" w:space="0" w:color="0070C0"/>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845" w:type="dxa"/>
                            <w:tcBorders>
                              <w:top w:val="single" w:sz="4" w:space="0" w:color="0070C0"/>
                              <w:bottom w:val="single" w:sz="4" w:space="0" w:color="0070C0"/>
                            </w:tcBorders>
                            <w:shd w:val="clear" w:color="auto" w:fill="auto"/>
                            <w:tcMar>
                              <w:left w:w="28" w:type="dxa"/>
                              <w:right w:w="28" w:type="dxa"/>
                            </w:tcMar>
                            <w:vAlign w:val="center"/>
                          </w:tcPr>
                          <w:p w:rsidR="00AF579E" w:rsidRPr="00C46C10" w:rsidRDefault="00AF579E" w:rsidP="00AF579E">
                            <w:pPr>
                              <w:spacing w:line="0" w:lineRule="atLeast"/>
                              <w:jc w:val="center"/>
                              <w:rPr>
                                <w:rFonts w:eastAsia="微软雅黑"/>
                                <w:sz w:val="15"/>
                              </w:rPr>
                            </w:pPr>
                          </w:p>
                        </w:tc>
                        <w:tc>
                          <w:tcPr>
                            <w:tcW w:w="238" w:type="dxa"/>
                            <w:tcBorders>
                              <w:top w:val="single" w:sz="4" w:space="0" w:color="0070C0"/>
                              <w:bottom w:val="single" w:sz="4" w:space="0" w:color="0070C0"/>
                            </w:tcBorders>
                            <w:tcMar>
                              <w:left w:w="28" w:type="dxa"/>
                              <w:right w:w="28" w:type="dxa"/>
                            </w:tcMar>
                            <w:vAlign w:val="center"/>
                          </w:tcPr>
                          <w:p w:rsidR="00AF579E" w:rsidRPr="00902640" w:rsidRDefault="00AF579E" w:rsidP="00AF579E">
                            <w:pPr>
                              <w:spacing w:line="0" w:lineRule="atLeast"/>
                              <w:ind w:rightChars="-85" w:right="-153" w:firstLineChars="100" w:firstLine="150"/>
                              <w:jc w:val="right"/>
                              <w:rPr>
                                <w:rFonts w:eastAsia="微软雅黑"/>
                                <w:sz w:val="15"/>
                              </w:rPr>
                            </w:pPr>
                          </w:p>
                        </w:tc>
                        <w:tc>
                          <w:tcPr>
                            <w:tcW w:w="1888" w:type="dxa"/>
                            <w:tcBorders>
                              <w:top w:val="single" w:sz="4" w:space="0" w:color="0070C0"/>
                              <w:bottom w:val="single" w:sz="4" w:space="0" w:color="0070C0"/>
                            </w:tcBorders>
                            <w:shd w:val="clear" w:color="auto" w:fill="auto"/>
                            <w:tcMar>
                              <w:left w:w="28" w:type="dxa"/>
                              <w:right w:w="28" w:type="dxa"/>
                            </w:tcMar>
                            <w:vAlign w:val="center"/>
                          </w:tcPr>
                          <w:p w:rsidR="00AF579E" w:rsidRPr="00884D52" w:rsidRDefault="00AF579E" w:rsidP="00AF579E">
                            <w:pPr>
                              <w:spacing w:line="0" w:lineRule="atLeast"/>
                              <w:ind w:rightChars="-85" w:right="-153"/>
                              <w:rPr>
                                <w:rFonts w:eastAsia="微软雅黑"/>
                                <w:sz w:val="15"/>
                              </w:rPr>
                            </w:pPr>
                          </w:p>
                        </w:tc>
                        <w:tc>
                          <w:tcPr>
                            <w:tcW w:w="747" w:type="dxa"/>
                            <w:tcBorders>
                              <w:top w:val="single" w:sz="4" w:space="0" w:color="0070C0"/>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tcBorders>
                              <w:top w:val="single" w:sz="4" w:space="0" w:color="0070C0"/>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tcBorders>
                              <w:top w:val="single" w:sz="4" w:space="0" w:color="0070C0"/>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c>
                          <w:tcPr>
                            <w:tcW w:w="747" w:type="dxa"/>
                            <w:tcBorders>
                              <w:top w:val="single" w:sz="4" w:space="0" w:color="0070C0"/>
                              <w:bottom w:val="single" w:sz="4" w:space="0" w:color="0070C0"/>
                            </w:tcBorders>
                            <w:shd w:val="clear" w:color="auto" w:fill="auto"/>
                            <w:tcMar>
                              <w:left w:w="28" w:type="dxa"/>
                              <w:right w:w="28" w:type="dxa"/>
                            </w:tcMar>
                            <w:vAlign w:val="center"/>
                          </w:tcPr>
                          <w:p w:rsidR="00AF579E" w:rsidRPr="002B016C" w:rsidRDefault="00AF579E" w:rsidP="00AF579E">
                            <w:pPr>
                              <w:spacing w:line="0" w:lineRule="atLeast"/>
                              <w:ind w:rightChars="-85" w:right="-153"/>
                              <w:jc w:val="left"/>
                              <w:rPr>
                                <w:rFonts w:eastAsia="微软雅黑"/>
                                <w:sz w:val="15"/>
                              </w:rPr>
                            </w:pPr>
                          </w:p>
                        </w:tc>
                      </w:tr>
                    </w:tbl>
                    <w:p w:rsidR="00AF579E" w:rsidRPr="00DC6D4F" w:rsidRDefault="00F05780" w:rsidP="00AF579E">
                      <w:pPr>
                        <w:spacing w:line="14" w:lineRule="exact"/>
                      </w:pPr>
                    </w:p>
                  </w:sdtContent>
                </w:sdt>
              </w:tc>
            </w:tr>
          </w:tbl>
          <w:p w:rsidR="00AF579E" w:rsidRDefault="00AF579E" w:rsidP="00AF579E">
            <w:pPr>
              <w:widowControl/>
              <w:jc w:val="left"/>
              <w:rPr>
                <w:rFonts w:eastAsia="微软雅黑"/>
                <w:b/>
              </w:rPr>
            </w:pPr>
            <w:r>
              <w:rPr>
                <w:rFonts w:eastAsia="微软雅黑" w:hint="eastAsia"/>
                <w:i/>
                <w:color w:val="0072BB"/>
                <w:sz w:val="15"/>
                <w:szCs w:val="18"/>
              </w:rPr>
              <w:t>资料</w:t>
            </w:r>
            <w:r w:rsidRPr="00D4126A">
              <w:rPr>
                <w:rFonts w:eastAsia="微软雅黑" w:hint="eastAsia"/>
                <w:i/>
                <w:color w:val="0072BB"/>
                <w:sz w:val="15"/>
                <w:szCs w:val="18"/>
              </w:rPr>
              <w:t>来源：</w:t>
            </w:r>
            <w:r>
              <w:rPr>
                <w:rFonts w:eastAsia="微软雅黑" w:hint="eastAsia"/>
                <w:i/>
                <w:color w:val="0072BB"/>
                <w:sz w:val="15"/>
                <w:szCs w:val="18"/>
              </w:rPr>
              <w:t>贝格数据华金证券研究所</w:t>
            </w:r>
          </w:p>
          <w:p w:rsidR="008F0106" w:rsidRPr="00AF579E" w:rsidRDefault="008F0106" w:rsidP="00AF579E">
            <w:pPr>
              <w:widowControl/>
              <w:jc w:val="left"/>
              <w:rPr>
                <w:rFonts w:eastAsia="微软雅黑"/>
                <w:sz w:val="24"/>
                <w:szCs w:val="24"/>
              </w:rPr>
            </w:pPr>
          </w:p>
        </w:tc>
      </w:tr>
    </w:tbl>
    <w:p w:rsidR="00363539" w:rsidRPr="006A36D2" w:rsidRDefault="00363539" w:rsidP="00363539">
      <w:pPr>
        <w:spacing w:line="360" w:lineRule="exact"/>
        <w:rPr>
          <w:rFonts w:eastAsia="微软雅黑"/>
        </w:rPr>
      </w:pPr>
      <w:r w:rsidRPr="006A36D2">
        <w:rPr>
          <w:rFonts w:eastAsia="微软雅黑" w:hint="eastAsia"/>
          <w:b/>
        </w:rPr>
        <w:t>公司评级体系</w:t>
      </w:r>
    </w:p>
    <w:p w:rsidR="00363539" w:rsidRPr="006A36D2" w:rsidRDefault="00363539" w:rsidP="00363539">
      <w:pPr>
        <w:spacing w:line="360" w:lineRule="exact"/>
        <w:ind w:firstLineChars="200" w:firstLine="360"/>
        <w:rPr>
          <w:rFonts w:eastAsia="微软雅黑"/>
        </w:rPr>
      </w:pPr>
      <w:r w:rsidRPr="006A36D2">
        <w:rPr>
          <w:rFonts w:eastAsia="微软雅黑" w:hint="eastAsia"/>
        </w:rPr>
        <w:t>收益评级：</w:t>
      </w:r>
    </w:p>
    <w:p w:rsidR="00363539" w:rsidRPr="006A36D2" w:rsidRDefault="00363539" w:rsidP="00363539">
      <w:pPr>
        <w:spacing w:line="360" w:lineRule="exact"/>
        <w:ind w:firstLineChars="200" w:firstLine="360"/>
        <w:rPr>
          <w:rFonts w:eastAsia="微软雅黑"/>
        </w:rPr>
      </w:pPr>
      <w:r w:rsidRPr="006A36D2">
        <w:rPr>
          <w:rFonts w:eastAsia="微软雅黑" w:hint="eastAsia"/>
        </w:rPr>
        <w:t>买入—未来</w:t>
      </w:r>
      <w:r w:rsidRPr="006A36D2">
        <w:rPr>
          <w:rFonts w:eastAsia="微软雅黑" w:hint="eastAsia"/>
        </w:rPr>
        <w:t>6</w:t>
      </w:r>
      <w:r w:rsidRPr="006A36D2">
        <w:rPr>
          <w:rFonts w:eastAsia="微软雅黑" w:hint="eastAsia"/>
        </w:rPr>
        <w:t>个月的投资收益率领先沪深</w:t>
      </w:r>
      <w:r w:rsidRPr="006A36D2">
        <w:rPr>
          <w:rFonts w:eastAsia="微软雅黑" w:hint="eastAsia"/>
        </w:rPr>
        <w:t>300</w:t>
      </w:r>
      <w:r w:rsidRPr="006A36D2">
        <w:rPr>
          <w:rFonts w:eastAsia="微软雅黑" w:hint="eastAsia"/>
        </w:rPr>
        <w:t>指数</w:t>
      </w:r>
      <w:r w:rsidRPr="006A36D2">
        <w:rPr>
          <w:rFonts w:eastAsia="微软雅黑" w:hint="eastAsia"/>
        </w:rPr>
        <w:t>15%</w:t>
      </w:r>
      <w:r w:rsidRPr="006A36D2">
        <w:rPr>
          <w:rFonts w:eastAsia="微软雅黑" w:hint="eastAsia"/>
        </w:rPr>
        <w:t>以上；</w:t>
      </w:r>
    </w:p>
    <w:p w:rsidR="00363539" w:rsidRPr="006A36D2" w:rsidRDefault="00363539" w:rsidP="00363539">
      <w:pPr>
        <w:spacing w:line="360" w:lineRule="exact"/>
        <w:ind w:firstLineChars="200" w:firstLine="360"/>
        <w:rPr>
          <w:rFonts w:eastAsia="微软雅黑"/>
        </w:rPr>
      </w:pPr>
      <w:r w:rsidRPr="006A36D2">
        <w:rPr>
          <w:rFonts w:eastAsia="微软雅黑" w:hint="eastAsia"/>
        </w:rPr>
        <w:t>增持—未来</w:t>
      </w:r>
      <w:r w:rsidRPr="006A36D2">
        <w:rPr>
          <w:rFonts w:eastAsia="微软雅黑" w:hint="eastAsia"/>
        </w:rPr>
        <w:t>6</w:t>
      </w:r>
      <w:r w:rsidRPr="006A36D2">
        <w:rPr>
          <w:rFonts w:eastAsia="微软雅黑" w:hint="eastAsia"/>
        </w:rPr>
        <w:t>个月的投资收益率领先沪深</w:t>
      </w:r>
      <w:r w:rsidRPr="006A36D2">
        <w:rPr>
          <w:rFonts w:eastAsia="微软雅黑" w:hint="eastAsia"/>
        </w:rPr>
        <w:t>300</w:t>
      </w:r>
      <w:r w:rsidRPr="006A36D2">
        <w:rPr>
          <w:rFonts w:eastAsia="微软雅黑" w:hint="eastAsia"/>
        </w:rPr>
        <w:t>指数</w:t>
      </w:r>
      <w:r w:rsidRPr="006A36D2">
        <w:rPr>
          <w:rFonts w:eastAsia="微软雅黑" w:hint="eastAsia"/>
        </w:rPr>
        <w:t>5%</w:t>
      </w:r>
      <w:r w:rsidRPr="006A36D2">
        <w:rPr>
          <w:rFonts w:eastAsia="微软雅黑" w:hint="eastAsia"/>
        </w:rPr>
        <w:t>至</w:t>
      </w:r>
      <w:r w:rsidRPr="006A36D2">
        <w:rPr>
          <w:rFonts w:eastAsia="微软雅黑" w:hint="eastAsia"/>
        </w:rPr>
        <w:t>15%</w:t>
      </w:r>
      <w:r w:rsidRPr="006A36D2">
        <w:rPr>
          <w:rFonts w:eastAsia="微软雅黑" w:hint="eastAsia"/>
        </w:rPr>
        <w:t>；</w:t>
      </w:r>
    </w:p>
    <w:p w:rsidR="00363539" w:rsidRPr="006A36D2" w:rsidRDefault="00363539" w:rsidP="00363539">
      <w:pPr>
        <w:spacing w:line="360" w:lineRule="exact"/>
        <w:ind w:firstLineChars="200" w:firstLine="360"/>
        <w:rPr>
          <w:rFonts w:eastAsia="微软雅黑"/>
        </w:rPr>
      </w:pPr>
      <w:r w:rsidRPr="006A36D2">
        <w:rPr>
          <w:rFonts w:eastAsia="微软雅黑" w:hint="eastAsia"/>
        </w:rPr>
        <w:t>中性—未来</w:t>
      </w:r>
      <w:r w:rsidRPr="006A36D2">
        <w:rPr>
          <w:rFonts w:eastAsia="微软雅黑" w:hint="eastAsia"/>
        </w:rPr>
        <w:t>6</w:t>
      </w:r>
      <w:r w:rsidRPr="006A36D2">
        <w:rPr>
          <w:rFonts w:eastAsia="微软雅黑" w:hint="eastAsia"/>
        </w:rPr>
        <w:t>个月的投资收益率与沪深</w:t>
      </w:r>
      <w:r w:rsidRPr="006A36D2">
        <w:rPr>
          <w:rFonts w:eastAsia="微软雅黑" w:hint="eastAsia"/>
        </w:rPr>
        <w:t>300</w:t>
      </w:r>
      <w:r w:rsidRPr="006A36D2">
        <w:rPr>
          <w:rFonts w:eastAsia="微软雅黑" w:hint="eastAsia"/>
        </w:rPr>
        <w:t>指数的变动幅度相差</w:t>
      </w:r>
      <w:r w:rsidRPr="006A36D2">
        <w:rPr>
          <w:rFonts w:eastAsia="微软雅黑" w:hint="eastAsia"/>
        </w:rPr>
        <w:t>-5%</w:t>
      </w:r>
      <w:r w:rsidRPr="006A36D2">
        <w:rPr>
          <w:rFonts w:eastAsia="微软雅黑" w:hint="eastAsia"/>
        </w:rPr>
        <w:t>至</w:t>
      </w:r>
      <w:r w:rsidRPr="006A36D2">
        <w:rPr>
          <w:rFonts w:eastAsia="微软雅黑" w:hint="eastAsia"/>
        </w:rPr>
        <w:t>5%</w:t>
      </w:r>
      <w:r w:rsidRPr="006A36D2">
        <w:rPr>
          <w:rFonts w:eastAsia="微软雅黑" w:hint="eastAsia"/>
        </w:rPr>
        <w:t>；</w:t>
      </w:r>
    </w:p>
    <w:p w:rsidR="00363539" w:rsidRPr="006A36D2" w:rsidRDefault="00363539" w:rsidP="00363539">
      <w:pPr>
        <w:spacing w:line="360" w:lineRule="exact"/>
        <w:ind w:firstLineChars="200" w:firstLine="360"/>
        <w:rPr>
          <w:rFonts w:eastAsia="微软雅黑"/>
        </w:rPr>
      </w:pPr>
      <w:r w:rsidRPr="006A36D2">
        <w:rPr>
          <w:rFonts w:eastAsia="微软雅黑" w:hint="eastAsia"/>
        </w:rPr>
        <w:t>减持—未来</w:t>
      </w:r>
      <w:r w:rsidRPr="006A36D2">
        <w:rPr>
          <w:rFonts w:eastAsia="微软雅黑" w:hint="eastAsia"/>
        </w:rPr>
        <w:t>6</w:t>
      </w:r>
      <w:r w:rsidRPr="006A36D2">
        <w:rPr>
          <w:rFonts w:eastAsia="微软雅黑" w:hint="eastAsia"/>
        </w:rPr>
        <w:t>个月的投资收益率落后沪深</w:t>
      </w:r>
      <w:r w:rsidRPr="006A36D2">
        <w:rPr>
          <w:rFonts w:eastAsia="微软雅黑" w:hint="eastAsia"/>
        </w:rPr>
        <w:t>300</w:t>
      </w:r>
      <w:r w:rsidRPr="006A36D2">
        <w:rPr>
          <w:rFonts w:eastAsia="微软雅黑" w:hint="eastAsia"/>
        </w:rPr>
        <w:t>指数</w:t>
      </w:r>
      <w:r w:rsidRPr="006A36D2">
        <w:rPr>
          <w:rFonts w:eastAsia="微软雅黑" w:hint="eastAsia"/>
        </w:rPr>
        <w:t>5%</w:t>
      </w:r>
      <w:r w:rsidRPr="006A36D2">
        <w:rPr>
          <w:rFonts w:eastAsia="微软雅黑" w:hint="eastAsia"/>
        </w:rPr>
        <w:t>至</w:t>
      </w:r>
      <w:r w:rsidRPr="006A36D2">
        <w:rPr>
          <w:rFonts w:eastAsia="微软雅黑" w:hint="eastAsia"/>
        </w:rPr>
        <w:t>15%</w:t>
      </w:r>
      <w:r w:rsidRPr="006A36D2">
        <w:rPr>
          <w:rFonts w:eastAsia="微软雅黑" w:hint="eastAsia"/>
        </w:rPr>
        <w:t>；</w:t>
      </w:r>
    </w:p>
    <w:p w:rsidR="00363539" w:rsidRPr="006A36D2" w:rsidRDefault="00363539" w:rsidP="00363539">
      <w:pPr>
        <w:spacing w:line="360" w:lineRule="exact"/>
        <w:ind w:firstLineChars="200" w:firstLine="360"/>
        <w:rPr>
          <w:rFonts w:eastAsia="微软雅黑"/>
        </w:rPr>
      </w:pPr>
      <w:r w:rsidRPr="006A36D2">
        <w:rPr>
          <w:rFonts w:eastAsia="微软雅黑" w:hint="eastAsia"/>
        </w:rPr>
        <w:t>卖出—未来</w:t>
      </w:r>
      <w:r w:rsidRPr="006A36D2">
        <w:rPr>
          <w:rFonts w:eastAsia="微软雅黑" w:hint="eastAsia"/>
        </w:rPr>
        <w:t>6</w:t>
      </w:r>
      <w:r w:rsidRPr="006A36D2">
        <w:rPr>
          <w:rFonts w:eastAsia="微软雅黑" w:hint="eastAsia"/>
        </w:rPr>
        <w:t>个月的投资收益率落后沪深</w:t>
      </w:r>
      <w:r w:rsidRPr="006A36D2">
        <w:rPr>
          <w:rFonts w:eastAsia="微软雅黑" w:hint="eastAsia"/>
        </w:rPr>
        <w:t>300</w:t>
      </w:r>
      <w:r w:rsidRPr="006A36D2">
        <w:rPr>
          <w:rFonts w:eastAsia="微软雅黑" w:hint="eastAsia"/>
        </w:rPr>
        <w:t>指数</w:t>
      </w:r>
      <w:r w:rsidRPr="006A36D2">
        <w:rPr>
          <w:rFonts w:eastAsia="微软雅黑" w:hint="eastAsia"/>
        </w:rPr>
        <w:t>15%</w:t>
      </w:r>
      <w:r w:rsidRPr="006A36D2">
        <w:rPr>
          <w:rFonts w:eastAsia="微软雅黑" w:hint="eastAsia"/>
        </w:rPr>
        <w:t>以上；</w:t>
      </w:r>
    </w:p>
    <w:p w:rsidR="00363539" w:rsidRPr="006A36D2" w:rsidRDefault="00363539" w:rsidP="00363539">
      <w:pPr>
        <w:spacing w:line="360" w:lineRule="exact"/>
        <w:ind w:firstLineChars="200" w:firstLine="360"/>
        <w:rPr>
          <w:rFonts w:eastAsia="微软雅黑"/>
        </w:rPr>
      </w:pPr>
      <w:r w:rsidRPr="006A36D2">
        <w:rPr>
          <w:rFonts w:eastAsia="微软雅黑" w:hint="eastAsia"/>
        </w:rPr>
        <w:t>风险评级：</w:t>
      </w:r>
    </w:p>
    <w:p w:rsidR="00363539" w:rsidRPr="006A36D2" w:rsidRDefault="00363539" w:rsidP="00363539">
      <w:pPr>
        <w:spacing w:line="360" w:lineRule="exact"/>
        <w:ind w:firstLineChars="200" w:firstLine="360"/>
        <w:rPr>
          <w:rFonts w:eastAsia="微软雅黑"/>
        </w:rPr>
      </w:pPr>
      <w:r w:rsidRPr="006A36D2">
        <w:rPr>
          <w:rFonts w:eastAsia="微软雅黑" w:hint="eastAsia"/>
        </w:rPr>
        <w:t xml:space="preserve">A </w:t>
      </w:r>
      <w:r w:rsidRPr="006A36D2">
        <w:rPr>
          <w:rFonts w:eastAsia="微软雅黑" w:hint="eastAsia"/>
        </w:rPr>
        <w:t>—正常风险，未来</w:t>
      </w:r>
      <w:r w:rsidRPr="006A36D2">
        <w:rPr>
          <w:rFonts w:eastAsia="微软雅黑" w:hint="eastAsia"/>
        </w:rPr>
        <w:t>6</w:t>
      </w:r>
      <w:r w:rsidRPr="006A36D2">
        <w:rPr>
          <w:rFonts w:eastAsia="微软雅黑" w:hint="eastAsia"/>
        </w:rPr>
        <w:t>个月投资收益率的波动小于等于沪深</w:t>
      </w:r>
      <w:r w:rsidRPr="006A36D2">
        <w:rPr>
          <w:rFonts w:eastAsia="微软雅黑" w:hint="eastAsia"/>
        </w:rPr>
        <w:t>300</w:t>
      </w:r>
      <w:r w:rsidRPr="006A36D2">
        <w:rPr>
          <w:rFonts w:eastAsia="微软雅黑" w:hint="eastAsia"/>
        </w:rPr>
        <w:t>指数波动；</w:t>
      </w:r>
    </w:p>
    <w:p w:rsidR="00363539" w:rsidRDefault="00363539" w:rsidP="00363539">
      <w:pPr>
        <w:spacing w:line="360" w:lineRule="exact"/>
        <w:ind w:firstLineChars="200" w:firstLine="360"/>
        <w:rPr>
          <w:rFonts w:eastAsia="微软雅黑"/>
        </w:rPr>
      </w:pPr>
      <w:r w:rsidRPr="006A36D2">
        <w:rPr>
          <w:rFonts w:eastAsia="微软雅黑" w:hint="eastAsia"/>
        </w:rPr>
        <w:t xml:space="preserve">B </w:t>
      </w:r>
      <w:r w:rsidRPr="006A36D2">
        <w:rPr>
          <w:rFonts w:eastAsia="微软雅黑" w:hint="eastAsia"/>
        </w:rPr>
        <w:t>—较高风险，未来</w:t>
      </w:r>
      <w:r w:rsidRPr="006A36D2">
        <w:rPr>
          <w:rFonts w:eastAsia="微软雅黑" w:hint="eastAsia"/>
        </w:rPr>
        <w:t>6</w:t>
      </w:r>
      <w:r w:rsidRPr="006A36D2">
        <w:rPr>
          <w:rFonts w:eastAsia="微软雅黑" w:hint="eastAsia"/>
        </w:rPr>
        <w:t>个月投资收益率的波动大于沪深</w:t>
      </w:r>
      <w:r w:rsidRPr="006A36D2">
        <w:rPr>
          <w:rFonts w:eastAsia="微软雅黑" w:hint="eastAsia"/>
        </w:rPr>
        <w:t>300</w:t>
      </w:r>
      <w:r w:rsidRPr="006A36D2">
        <w:rPr>
          <w:rFonts w:eastAsia="微软雅黑" w:hint="eastAsia"/>
        </w:rPr>
        <w:t>指数波动；</w:t>
      </w:r>
    </w:p>
    <w:p w:rsidR="00363539" w:rsidRDefault="00363539" w:rsidP="00363539">
      <w:pPr>
        <w:spacing w:line="360" w:lineRule="exact"/>
        <w:ind w:firstLineChars="200" w:firstLine="360"/>
        <w:rPr>
          <w:rFonts w:eastAsia="微软雅黑"/>
        </w:rPr>
      </w:pPr>
    </w:p>
    <w:p w:rsidR="00363539" w:rsidRDefault="00363539" w:rsidP="00363539">
      <w:pPr>
        <w:spacing w:line="360" w:lineRule="exact"/>
        <w:rPr>
          <w:rFonts w:eastAsia="微软雅黑"/>
          <w:b/>
        </w:rPr>
      </w:pPr>
      <w:r w:rsidRPr="006A36D2">
        <w:rPr>
          <w:rFonts w:eastAsia="微软雅黑" w:hint="eastAsia"/>
          <w:b/>
        </w:rPr>
        <w:t>分析师声明</w:t>
      </w:r>
    </w:p>
    <w:sdt>
      <w:sdtPr>
        <w:rPr>
          <w:rFonts w:eastAsia="微软雅黑"/>
        </w:rPr>
        <w:alias w:val="分析师声明"/>
        <w:tag w:val="BDCONTENTCONTROL_773f5f97-9b02-4822-8cb5-d7e7cfb14a4e"/>
        <w:id w:val="-783651474"/>
        <w:placeholder>
          <w:docPart w:val="1264279541324015898F9A1B09FBC0C8"/>
        </w:placeholder>
      </w:sdtPr>
      <w:sdtEndPr/>
      <w:sdtContent>
        <w:p w:rsidR="00D05253" w:rsidRDefault="00D05253" w:rsidP="00D05253">
          <w:pPr>
            <w:spacing w:line="14" w:lineRule="exact"/>
            <w:ind w:firstLineChars="200" w:firstLine="360"/>
            <w:rPr>
              <w:rFonts w:eastAsia="微软雅黑"/>
            </w:rPr>
          </w:pPr>
        </w:p>
        <w:tbl>
          <w:tblPr>
            <w:tblW w:w="0" w:type="auto"/>
            <w:tblLayout w:type="fixed"/>
            <w:tblLook w:val="0000" w:firstRow="0" w:lastRow="0" w:firstColumn="0" w:lastColumn="0" w:noHBand="0" w:noVBand="0"/>
          </w:tblPr>
          <w:tblGrid>
            <w:gridCol w:w="10762"/>
          </w:tblGrid>
          <w:tr w:rsidR="00D05253">
            <w:tc>
              <w:tcPr>
                <w:tcW w:w="10762" w:type="dxa"/>
              </w:tcPr>
              <w:p w:rsidR="00D05253" w:rsidRDefault="00D05253" w:rsidP="00D05253">
                <w:pPr>
                  <w:rPr>
                    <w:rFonts w:eastAsia="微软雅黑"/>
                  </w:rPr>
                </w:pPr>
                <w:r>
                  <w:rPr>
                    <w:rFonts w:eastAsia="微软雅黑" w:hint="eastAsia"/>
                  </w:rPr>
                  <w:t xml:space="preserve">    </w:t>
                </w:r>
                <w:r>
                  <w:rPr>
                    <w:rFonts w:eastAsia="微软雅黑" w:hint="eastAsia"/>
                  </w:rPr>
                  <w:t>王刚声明，本人具有中国证券业协会授予的证券投资咨询执业资格，勤勉尽责、诚实守信。本人对本报告的内容和观点负责，保证信息来源合法合规、研究方法专业审慎、研究观点独立公正、分析结论具有合理依据，特此声明。</w:t>
                </w:r>
              </w:p>
            </w:tc>
          </w:tr>
        </w:tbl>
        <w:p w:rsidR="00363539" w:rsidRDefault="00F05780" w:rsidP="00D05253">
          <w:pPr>
            <w:spacing w:line="14" w:lineRule="exact"/>
            <w:ind w:firstLineChars="200" w:firstLine="360"/>
            <w:rPr>
              <w:rFonts w:eastAsia="微软雅黑"/>
            </w:rPr>
          </w:pPr>
        </w:p>
      </w:sdtContent>
    </w:sdt>
    <w:p w:rsidR="00053BFD" w:rsidRDefault="00053BFD">
      <w:pPr>
        <w:widowControl/>
        <w:jc w:val="left"/>
        <w:rPr>
          <w:rFonts w:eastAsia="微软雅黑"/>
        </w:rPr>
      </w:pPr>
      <w:r>
        <w:rPr>
          <w:rFonts w:eastAsia="微软雅黑"/>
        </w:rPr>
        <w:br w:type="page"/>
      </w:r>
    </w:p>
    <w:p w:rsidR="00363539" w:rsidRDefault="00363539" w:rsidP="00053BFD">
      <w:pPr>
        <w:spacing w:line="360" w:lineRule="exact"/>
        <w:rPr>
          <w:rFonts w:eastAsia="微软雅黑"/>
        </w:rPr>
      </w:pPr>
    </w:p>
    <w:p w:rsidR="00363539" w:rsidRPr="006A36D2" w:rsidRDefault="00363539" w:rsidP="00363539">
      <w:pPr>
        <w:spacing w:line="360" w:lineRule="exact"/>
        <w:rPr>
          <w:rFonts w:eastAsia="微软雅黑"/>
          <w:b/>
        </w:rPr>
      </w:pPr>
      <w:r w:rsidRPr="006A36D2">
        <w:rPr>
          <w:rFonts w:eastAsia="微软雅黑" w:hint="eastAsia"/>
          <w:b/>
        </w:rPr>
        <w:t>本公司具备证券投资咨询业务资格的说明</w:t>
      </w:r>
    </w:p>
    <w:p w:rsidR="00363539" w:rsidRDefault="00363539" w:rsidP="00363539">
      <w:pPr>
        <w:spacing w:line="360" w:lineRule="exact"/>
        <w:ind w:firstLineChars="200" w:firstLine="360"/>
        <w:rPr>
          <w:rFonts w:eastAsia="微软雅黑"/>
        </w:rPr>
      </w:pPr>
      <w:r w:rsidRPr="006A36D2">
        <w:rPr>
          <w:rFonts w:eastAsia="微软雅黑" w:hint="eastAsia"/>
        </w:rPr>
        <w:t>华金证券有限责任公司（以下简称“本公司”）经中国证券监督管理委员会核准，取得证券投资咨询业务许可。本公司及其投资咨询人员可以为证券投资人或客户提供证券投资分析、预测或者建议等直接或间接的有偿咨询服务。发布证券研究报告，是证券投资咨询业务的一种基本形式，本公司可以对证券及证券相关产品的价值、市场走势或者相关影响因素进行分析，形成证券估值、投资评级等投资分析意见，制作证券研究报告，并向本公司的客户发布。</w:t>
      </w:r>
    </w:p>
    <w:p w:rsidR="00363539" w:rsidRPr="006A36D2" w:rsidRDefault="00363539" w:rsidP="00363539">
      <w:pPr>
        <w:spacing w:line="360" w:lineRule="exact"/>
        <w:ind w:firstLineChars="200" w:firstLine="360"/>
        <w:rPr>
          <w:rFonts w:eastAsia="微软雅黑"/>
        </w:rPr>
      </w:pPr>
    </w:p>
    <w:p w:rsidR="00363539" w:rsidRDefault="00363539" w:rsidP="00363539">
      <w:pPr>
        <w:spacing w:line="360" w:lineRule="exact"/>
        <w:rPr>
          <w:rFonts w:eastAsia="微软雅黑"/>
          <w:b/>
        </w:rPr>
      </w:pPr>
      <w:r w:rsidRPr="0087447A">
        <w:rPr>
          <w:rFonts w:eastAsia="微软雅黑" w:hint="eastAsia"/>
          <w:b/>
        </w:rPr>
        <w:t>免责声明：</w:t>
      </w:r>
    </w:p>
    <w:p w:rsidR="00363539" w:rsidRPr="006A36D2" w:rsidRDefault="00363539" w:rsidP="00363539">
      <w:pPr>
        <w:spacing w:line="360" w:lineRule="exact"/>
        <w:ind w:firstLineChars="200" w:firstLine="360"/>
        <w:rPr>
          <w:rFonts w:eastAsia="微软雅黑"/>
        </w:rPr>
      </w:pPr>
      <w:r w:rsidRPr="006A36D2">
        <w:rPr>
          <w:rFonts w:eastAsia="微软雅黑" w:hint="eastAsia"/>
        </w:rPr>
        <w:t>本报告仅供华金证券有限责任公司（以下简称“本公司”）的客户使用。本公司不会因为任何机构或个人接收到本报告而视其为本公司的当然客户。</w:t>
      </w:r>
    </w:p>
    <w:p w:rsidR="00363539" w:rsidRPr="006A36D2" w:rsidRDefault="00363539" w:rsidP="00363539">
      <w:pPr>
        <w:spacing w:line="360" w:lineRule="exact"/>
        <w:ind w:firstLineChars="200" w:firstLine="360"/>
        <w:rPr>
          <w:rFonts w:eastAsia="微软雅黑"/>
        </w:rPr>
      </w:pPr>
      <w:r w:rsidRPr="006A36D2">
        <w:rPr>
          <w:rFonts w:eastAsia="微软雅黑" w:hint="eastAsia"/>
        </w:rPr>
        <w:t>本报告基于已公开的资料或信息撰写，但本公司不保证该等信息及资料的完整性、准确性。本报告所载的信息、资料、建议及推测仅反映本公司于本报告发布当日的判断，本报告中的证券或投资标的价格、价值及投资带来的收入可能会波动。在不同时期，本公司可能撰写并发布与本报告所载资料、建议及推测不一致的报告。本公司不保证本报告所含信息及资料保持在最新状态，本公司将随时补充、更新和修订有关信息及资料，但不保证及时公开发布。同时，本公司有权对本报告所含信息在不发出通知的情形下做出修改，投资者应当自行关注相应的更新或修改。任何有关本报告的摘要或节选都不代表本报告正式完整的观点，一切须以本公司向客户发布的本报告完整版本为准，如有需要，客户可以向本公司投资顾问进一步咨询。</w:t>
      </w:r>
    </w:p>
    <w:p w:rsidR="00363539" w:rsidRPr="006A36D2" w:rsidRDefault="00363539" w:rsidP="00363539">
      <w:pPr>
        <w:spacing w:line="360" w:lineRule="exact"/>
        <w:ind w:firstLineChars="200" w:firstLine="360"/>
        <w:rPr>
          <w:rFonts w:eastAsia="微软雅黑"/>
        </w:rPr>
      </w:pPr>
      <w:r w:rsidRPr="006A36D2">
        <w:rPr>
          <w:rFonts w:eastAsia="微软雅黑" w:hint="eastAsia"/>
        </w:rPr>
        <w:t>在法律许可的情况下，本公司及所属关联机构可能会持有报告中提到的公司所发行的证券或期权并进行证券或期权交易，也可能为这些公司提供或者争取提供投资银行、财务顾问或者金融产品等相关服务，提请客户充分注意。客户不应将本报告为作出其投资决策的惟一参考因素，亦不应认为本报告可以取代客户自身的投资判断与决策。在任何情况下，本报告中的信息或所表述的意见均不构成对任何人的投资建议，无论是否已经明示或暗示，本报告不能作为道义的、责任的和法律的依据或者凭证。在任何情况下，本公司亦不对任何人因使用本报告中的任何内容所引致的任何损失负任何责任。</w:t>
      </w:r>
    </w:p>
    <w:p w:rsidR="00363539" w:rsidRPr="006A36D2" w:rsidRDefault="00363539" w:rsidP="00363539">
      <w:pPr>
        <w:spacing w:line="360" w:lineRule="exact"/>
        <w:ind w:firstLineChars="200" w:firstLine="360"/>
        <w:rPr>
          <w:rFonts w:eastAsia="微软雅黑"/>
        </w:rPr>
      </w:pPr>
      <w:r w:rsidRPr="006A36D2">
        <w:rPr>
          <w:rFonts w:eastAsia="微软雅黑" w:hint="eastAsia"/>
        </w:rPr>
        <w:t>本报告版权仅为本公司所有，未经事先书面许可，任何机构和个人不得以任何形式翻版、复制、发表、转发</w:t>
      </w:r>
      <w:r w:rsidR="00BA19E6">
        <w:rPr>
          <w:rFonts w:eastAsia="微软雅黑" w:hint="eastAsia"/>
        </w:rPr>
        <w:t>、篡改</w:t>
      </w:r>
      <w:r w:rsidRPr="006A36D2">
        <w:rPr>
          <w:rFonts w:eastAsia="微软雅黑" w:hint="eastAsia"/>
        </w:rPr>
        <w:t>或引用本报告的任何部分。如征得本公司同意进行引用、刊发的，需在允许的范围内使用，并注明出处为“</w:t>
      </w:r>
      <w:r w:rsidR="00C85E90" w:rsidRPr="006A36D2">
        <w:rPr>
          <w:rFonts w:eastAsia="微软雅黑" w:hint="eastAsia"/>
        </w:rPr>
        <w:t>华金证券有限责任公司</w:t>
      </w:r>
      <w:r w:rsidR="00C85E90">
        <w:rPr>
          <w:rFonts w:eastAsia="微软雅黑" w:hint="eastAsia"/>
        </w:rPr>
        <w:t>研究所</w:t>
      </w:r>
      <w:r w:rsidRPr="006A36D2">
        <w:rPr>
          <w:rFonts w:eastAsia="微软雅黑" w:hint="eastAsia"/>
        </w:rPr>
        <w:t>”，且不得对本报告进行任何有悖原意的引用、删节和修改。</w:t>
      </w:r>
    </w:p>
    <w:p w:rsidR="00363539" w:rsidRDefault="00C85E90" w:rsidP="00363539">
      <w:pPr>
        <w:spacing w:line="360" w:lineRule="exact"/>
        <w:ind w:firstLine="360"/>
        <w:rPr>
          <w:rFonts w:eastAsia="微软雅黑"/>
        </w:rPr>
      </w:pPr>
      <w:r w:rsidRPr="006A36D2">
        <w:rPr>
          <w:rFonts w:eastAsia="微软雅黑" w:hint="eastAsia"/>
        </w:rPr>
        <w:t>华金证券有限责任公司</w:t>
      </w:r>
      <w:r w:rsidR="00363539" w:rsidRPr="006A36D2">
        <w:rPr>
          <w:rFonts w:eastAsia="微软雅黑" w:hint="eastAsia"/>
        </w:rPr>
        <w:t>对本声明条款具有惟一修改权和最终解释权。</w:t>
      </w:r>
    </w:p>
    <w:p w:rsidR="00363539" w:rsidRPr="00102E19" w:rsidRDefault="00363539" w:rsidP="00363539">
      <w:pPr>
        <w:spacing w:line="360" w:lineRule="exact"/>
        <w:ind w:firstLine="360"/>
        <w:rPr>
          <w:rFonts w:eastAsia="微软雅黑"/>
        </w:rPr>
      </w:pPr>
    </w:p>
    <w:p w:rsidR="00363539" w:rsidRPr="0087447A" w:rsidRDefault="00363539" w:rsidP="00363539">
      <w:pPr>
        <w:spacing w:line="360" w:lineRule="exact"/>
        <w:rPr>
          <w:rFonts w:eastAsia="微软雅黑"/>
          <w:b/>
        </w:rPr>
      </w:pPr>
      <w:r w:rsidRPr="0087447A">
        <w:rPr>
          <w:rFonts w:eastAsia="微软雅黑" w:hint="eastAsia"/>
          <w:b/>
        </w:rPr>
        <w:t>风险提示</w:t>
      </w:r>
      <w:r w:rsidRPr="0087447A">
        <w:rPr>
          <w:rFonts w:eastAsia="微软雅黑" w:hint="eastAsia"/>
          <w:b/>
        </w:rPr>
        <w:t xml:space="preserve">: </w:t>
      </w:r>
    </w:p>
    <w:p w:rsidR="00363539" w:rsidRDefault="00363539" w:rsidP="004530D4">
      <w:pPr>
        <w:spacing w:afterLines="50" w:after="156" w:line="360" w:lineRule="exact"/>
        <w:ind w:firstLineChars="200" w:firstLine="360"/>
        <w:rPr>
          <w:rFonts w:eastAsia="微软雅黑"/>
        </w:rPr>
      </w:pPr>
      <w:r w:rsidRPr="00102E19">
        <w:rPr>
          <w:rFonts w:eastAsia="微软雅黑" w:hint="eastAsia"/>
        </w:rPr>
        <w:t>报告中的内容和意见仅供参考，并不构成对所述证券买卖的出价或询价。投资者对其投资行为负完全责任，我公司及其雇员对使用本报告及其内容所引发的任何直接或间接损失概不负责。</w:t>
      </w:r>
    </w:p>
    <w:p w:rsidR="00363539" w:rsidRDefault="00363539" w:rsidP="004530D4">
      <w:pPr>
        <w:spacing w:afterLines="50" w:after="156" w:line="360" w:lineRule="exact"/>
        <w:ind w:firstLineChars="200" w:firstLine="360"/>
        <w:rPr>
          <w:rFonts w:eastAsia="微软雅黑"/>
        </w:rPr>
      </w:pPr>
    </w:p>
    <w:p w:rsidR="00363539" w:rsidRPr="00102E19" w:rsidRDefault="00363539" w:rsidP="004530D4">
      <w:pPr>
        <w:spacing w:afterLines="50" w:after="156" w:line="360" w:lineRule="exact"/>
        <w:ind w:firstLineChars="200" w:firstLine="360"/>
        <w:rPr>
          <w:rFonts w:eastAsia="微软雅黑"/>
        </w:rPr>
      </w:pPr>
    </w:p>
    <w:p w:rsidR="00363539" w:rsidRPr="00102E19" w:rsidRDefault="00363539" w:rsidP="00363539">
      <w:pPr>
        <w:spacing w:line="360" w:lineRule="exact"/>
        <w:rPr>
          <w:rFonts w:eastAsia="微软雅黑"/>
        </w:rPr>
      </w:pPr>
      <w:r w:rsidRPr="00102E19">
        <w:rPr>
          <w:rFonts w:eastAsia="微软雅黑" w:hint="eastAsia"/>
        </w:rPr>
        <w:t>华金证券有限责任公司</w:t>
      </w:r>
    </w:p>
    <w:p w:rsidR="00363539" w:rsidRPr="00102E19" w:rsidRDefault="00363539" w:rsidP="00363539">
      <w:pPr>
        <w:spacing w:line="360" w:lineRule="exact"/>
        <w:rPr>
          <w:rFonts w:eastAsia="微软雅黑"/>
        </w:rPr>
      </w:pPr>
      <w:r w:rsidRPr="00102E19">
        <w:rPr>
          <w:rFonts w:eastAsia="微软雅黑" w:hint="eastAsia"/>
        </w:rPr>
        <w:t>地址：上海市浦东新区杨高南路</w:t>
      </w:r>
      <w:r w:rsidRPr="00102E19">
        <w:rPr>
          <w:rFonts w:eastAsia="微软雅黑" w:hint="eastAsia"/>
        </w:rPr>
        <w:t>759</w:t>
      </w:r>
      <w:r w:rsidRPr="00102E19">
        <w:rPr>
          <w:rFonts w:eastAsia="微软雅黑" w:hint="eastAsia"/>
        </w:rPr>
        <w:t>号（陆家嘴世纪金融广场）</w:t>
      </w:r>
      <w:r w:rsidRPr="00102E19">
        <w:rPr>
          <w:rFonts w:eastAsia="微软雅黑" w:hint="eastAsia"/>
        </w:rPr>
        <w:t>30</w:t>
      </w:r>
      <w:r w:rsidRPr="00102E19">
        <w:rPr>
          <w:rFonts w:eastAsia="微软雅黑" w:hint="eastAsia"/>
        </w:rPr>
        <w:t>层</w:t>
      </w:r>
    </w:p>
    <w:p w:rsidR="00363539" w:rsidRPr="00102E19" w:rsidRDefault="00363539" w:rsidP="00363539">
      <w:pPr>
        <w:spacing w:line="360" w:lineRule="exact"/>
        <w:rPr>
          <w:rFonts w:eastAsia="微软雅黑"/>
        </w:rPr>
      </w:pPr>
      <w:r w:rsidRPr="00102E19">
        <w:rPr>
          <w:rFonts w:eastAsia="微软雅黑" w:hint="eastAsia"/>
        </w:rPr>
        <w:t>电话：</w:t>
      </w:r>
      <w:r w:rsidRPr="00102E19">
        <w:rPr>
          <w:rFonts w:eastAsia="微软雅黑" w:hint="eastAsia"/>
        </w:rPr>
        <w:t xml:space="preserve">021-20655588 </w:t>
      </w:r>
    </w:p>
    <w:p w:rsidR="00363539" w:rsidRPr="00DB5493" w:rsidRDefault="00363539" w:rsidP="00363539">
      <w:pPr>
        <w:spacing w:line="360" w:lineRule="exact"/>
        <w:rPr>
          <w:rFonts w:eastAsia="微软雅黑"/>
        </w:rPr>
      </w:pPr>
      <w:r w:rsidRPr="00102E19">
        <w:rPr>
          <w:rFonts w:eastAsia="微软雅黑" w:hint="eastAsia"/>
        </w:rPr>
        <w:t>网址：</w:t>
      </w:r>
      <w:r w:rsidRPr="00102E19">
        <w:rPr>
          <w:rFonts w:eastAsia="微软雅黑" w:hint="eastAsia"/>
        </w:rPr>
        <w:t xml:space="preserve"> www.huajinsc.cn</w:t>
      </w:r>
    </w:p>
    <w:p w:rsidR="00363539" w:rsidRPr="0004559B" w:rsidRDefault="00363539" w:rsidP="00363539"/>
    <w:p w:rsidR="00363539" w:rsidRPr="00D2285C" w:rsidRDefault="00363539" w:rsidP="00363539">
      <w:pPr>
        <w:spacing w:line="360" w:lineRule="exact"/>
        <w:rPr>
          <w:rFonts w:eastAsia="微软雅黑"/>
        </w:rPr>
      </w:pPr>
    </w:p>
    <w:p w:rsidR="00102E19" w:rsidRPr="00363539" w:rsidRDefault="00102E19" w:rsidP="00363539">
      <w:pPr>
        <w:spacing w:line="360" w:lineRule="exact"/>
        <w:rPr>
          <w:rFonts w:eastAsia="微软雅黑"/>
        </w:rPr>
      </w:pPr>
    </w:p>
    <w:sectPr w:rsidR="00102E19" w:rsidRPr="00363539" w:rsidSect="00F14C69">
      <w:headerReference w:type="default" r:id="rId11"/>
      <w:footerReference w:type="default" r:id="rId12"/>
      <w:headerReference w:type="first" r:id="rId13"/>
      <w:footerReference w:type="first" r:id="rId14"/>
      <w:pgSz w:w="11906" w:h="16838" w:code="9"/>
      <w:pgMar w:top="1134" w:right="680" w:bottom="1021" w:left="680" w:header="454" w:footer="567"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5780" w:rsidRDefault="00F05780" w:rsidP="00EF3143">
      <w:r>
        <w:separator/>
      </w:r>
    </w:p>
  </w:endnote>
  <w:endnote w:type="continuationSeparator" w:id="0">
    <w:p w:rsidR="00F05780" w:rsidRDefault="00F05780" w:rsidP="00EF3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5C8" w:rsidRPr="00E84E57" w:rsidRDefault="007155C8" w:rsidP="0059126D">
    <w:pPr>
      <w:pStyle w:val="a4"/>
      <w:pBdr>
        <w:top w:val="single" w:sz="6" w:space="1" w:color="0072BB"/>
      </w:pBdr>
      <w:spacing w:line="200" w:lineRule="exact"/>
      <w:jc w:val="center"/>
      <w:rPr>
        <w:rFonts w:eastAsia="微软雅黑"/>
      </w:rPr>
    </w:pPr>
    <w:r w:rsidRPr="00E84E57">
      <w:rPr>
        <w:rFonts w:eastAsia="微软雅黑" w:hint="eastAsia"/>
        <w:szCs w:val="21"/>
      </w:rPr>
      <w:t>http://www.huajinsc.cn/</w:t>
    </w:r>
    <w:r w:rsidRPr="00CA1026">
      <w:rPr>
        <w:rFonts w:eastAsia="微软雅黑"/>
      </w:rPr>
      <w:fldChar w:fldCharType="begin"/>
    </w:r>
    <w:r w:rsidRPr="00CA1026">
      <w:rPr>
        <w:rFonts w:eastAsia="微软雅黑"/>
      </w:rPr>
      <w:instrText xml:space="preserve"> PAGE </w:instrText>
    </w:r>
    <w:r w:rsidRPr="00CA1026">
      <w:rPr>
        <w:rFonts w:eastAsia="微软雅黑"/>
      </w:rPr>
      <w:fldChar w:fldCharType="separate"/>
    </w:r>
    <w:r w:rsidR="00125AC3">
      <w:rPr>
        <w:rFonts w:eastAsia="微软雅黑"/>
        <w:noProof/>
      </w:rPr>
      <w:t>2</w:t>
    </w:r>
    <w:r w:rsidRPr="00CA1026">
      <w:rPr>
        <w:rFonts w:eastAsia="微软雅黑"/>
      </w:rPr>
      <w:fldChar w:fldCharType="end"/>
    </w:r>
    <w:r w:rsidRPr="00CA1026">
      <w:rPr>
        <w:rFonts w:eastAsia="微软雅黑"/>
      </w:rPr>
      <w:t xml:space="preserve"> / </w:t>
    </w:r>
    <w:r w:rsidRPr="00CA1026">
      <w:rPr>
        <w:rFonts w:eastAsia="微软雅黑"/>
      </w:rPr>
      <w:fldChar w:fldCharType="begin"/>
    </w:r>
    <w:r w:rsidRPr="00CA1026">
      <w:rPr>
        <w:rFonts w:eastAsia="微软雅黑"/>
      </w:rPr>
      <w:instrText xml:space="preserve"> NUMPAGES  </w:instrText>
    </w:r>
    <w:r w:rsidRPr="00CA1026">
      <w:rPr>
        <w:rFonts w:eastAsia="微软雅黑"/>
      </w:rPr>
      <w:fldChar w:fldCharType="separate"/>
    </w:r>
    <w:r w:rsidR="00125AC3">
      <w:rPr>
        <w:rFonts w:eastAsia="微软雅黑"/>
        <w:noProof/>
      </w:rPr>
      <w:t>2</w:t>
    </w:r>
    <w:r w:rsidRPr="00CA1026">
      <w:rPr>
        <w:rFonts w:eastAsia="微软雅黑"/>
      </w:rPr>
      <w:fldChar w:fldCharType="end"/>
    </w:r>
    <w:r w:rsidRPr="00E84E57">
      <w:rPr>
        <w:rFonts w:eastAsia="微软雅黑"/>
      </w:rPr>
      <w:ptab w:relativeTo="margin" w:alignment="right" w:leader="none"/>
    </w:r>
    <w:r w:rsidRPr="00E84E57">
      <w:rPr>
        <w:rFonts w:eastAsia="微软雅黑" w:hint="eastAsia"/>
      </w:rPr>
      <w:t>请务必阅读正文之后的免责条款部分</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5C8" w:rsidRPr="00E84E57" w:rsidRDefault="007155C8" w:rsidP="00135AA1">
    <w:pPr>
      <w:pStyle w:val="a4"/>
      <w:pBdr>
        <w:top w:val="single" w:sz="6" w:space="1" w:color="0072BB"/>
      </w:pBdr>
      <w:spacing w:line="200" w:lineRule="exact"/>
      <w:rPr>
        <w:rFonts w:eastAsia="微软雅黑"/>
      </w:rPr>
    </w:pPr>
    <w:r w:rsidRPr="00CA1026">
      <w:rPr>
        <w:rFonts w:eastAsia="微软雅黑" w:hint="eastAsia"/>
      </w:rPr>
      <w:t xml:space="preserve">http://www.huajinsc.cn/                               </w:t>
    </w:r>
    <w:sdt>
      <w:sdtPr>
        <w:rPr>
          <w:rFonts w:eastAsia="微软雅黑"/>
        </w:rPr>
        <w:id w:val="250395305"/>
        <w:docPartObj>
          <w:docPartGallery w:val="Page Numbers (Top of Page)"/>
          <w:docPartUnique/>
        </w:docPartObj>
      </w:sdtPr>
      <w:sdtEndPr/>
      <w:sdtContent>
        <w:r w:rsidRPr="00CA1026">
          <w:rPr>
            <w:rFonts w:eastAsia="微软雅黑"/>
          </w:rPr>
          <w:fldChar w:fldCharType="begin"/>
        </w:r>
        <w:r w:rsidRPr="00CA1026">
          <w:rPr>
            <w:rFonts w:eastAsia="微软雅黑"/>
          </w:rPr>
          <w:instrText xml:space="preserve"> PAGE </w:instrText>
        </w:r>
        <w:r w:rsidRPr="00CA1026">
          <w:rPr>
            <w:rFonts w:eastAsia="微软雅黑"/>
          </w:rPr>
          <w:fldChar w:fldCharType="separate"/>
        </w:r>
        <w:r w:rsidR="00125AC3">
          <w:rPr>
            <w:rFonts w:eastAsia="微软雅黑"/>
            <w:noProof/>
          </w:rPr>
          <w:t>1</w:t>
        </w:r>
        <w:r w:rsidRPr="00CA1026">
          <w:rPr>
            <w:rFonts w:eastAsia="微软雅黑"/>
          </w:rPr>
          <w:fldChar w:fldCharType="end"/>
        </w:r>
        <w:r w:rsidRPr="00CA1026">
          <w:rPr>
            <w:rFonts w:eastAsia="微软雅黑"/>
          </w:rPr>
          <w:t xml:space="preserve"> / </w:t>
        </w:r>
        <w:r w:rsidRPr="00CA1026">
          <w:rPr>
            <w:rFonts w:eastAsia="微软雅黑"/>
          </w:rPr>
          <w:fldChar w:fldCharType="begin"/>
        </w:r>
        <w:r w:rsidRPr="00CA1026">
          <w:rPr>
            <w:rFonts w:eastAsia="微软雅黑"/>
          </w:rPr>
          <w:instrText xml:space="preserve"> NUMPAGES  </w:instrText>
        </w:r>
        <w:r w:rsidRPr="00CA1026">
          <w:rPr>
            <w:rFonts w:eastAsia="微软雅黑"/>
          </w:rPr>
          <w:fldChar w:fldCharType="separate"/>
        </w:r>
        <w:r w:rsidR="00125AC3">
          <w:rPr>
            <w:rFonts w:eastAsia="微软雅黑"/>
            <w:noProof/>
          </w:rPr>
          <w:t>1</w:t>
        </w:r>
        <w:r w:rsidRPr="00CA1026">
          <w:rPr>
            <w:rFonts w:eastAsia="微软雅黑"/>
          </w:rPr>
          <w:fldChar w:fldCharType="end"/>
        </w:r>
      </w:sdtContent>
    </w:sdt>
    <w:r>
      <w:rPr>
        <w:rFonts w:eastAsia="微软雅黑"/>
      </w:rPr>
      <w:ptab w:relativeTo="margin" w:alignment="right" w:leader="none"/>
    </w:r>
    <w:r w:rsidRPr="00E84E57">
      <w:rPr>
        <w:rFonts w:eastAsia="微软雅黑" w:hint="eastAsia"/>
      </w:rPr>
      <w:t>请务必阅读正文之后的免责条款部分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5780" w:rsidRDefault="00F05780" w:rsidP="00EF3143">
      <w:r>
        <w:separator/>
      </w:r>
    </w:p>
  </w:footnote>
  <w:footnote w:type="continuationSeparator" w:id="0">
    <w:p w:rsidR="00F05780" w:rsidRDefault="00F05780" w:rsidP="00EF31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5C8" w:rsidRDefault="007155C8" w:rsidP="00FA28A9">
    <w:r>
      <w:rPr>
        <w:noProof/>
      </w:rPr>
      <w:drawing>
        <wp:anchor distT="0" distB="0" distL="114300" distR="114300" simplePos="0" relativeHeight="251659264" behindDoc="1" locked="0" layoutInCell="1" allowOverlap="1">
          <wp:simplePos x="0" y="0"/>
          <wp:positionH relativeFrom="column">
            <wp:posOffset>-79375</wp:posOffset>
          </wp:positionH>
          <wp:positionV relativeFrom="paragraph">
            <wp:posOffset>-59690</wp:posOffset>
          </wp:positionV>
          <wp:extent cx="1333500" cy="37147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diao.jpg"/>
                  <pic:cNvPicPr/>
                </pic:nvPicPr>
                <pic:blipFill>
                  <a:blip r:embed="rId1"/>
                  <a:stretch>
                    <a:fillRect/>
                  </a:stretch>
                </pic:blipFill>
                <pic:spPr>
                  <a:xfrm>
                    <a:off x="0" y="0"/>
                    <a:ext cx="1333500" cy="371475"/>
                  </a:xfrm>
                  <a:prstGeom prst="rect">
                    <a:avLst/>
                  </a:prstGeom>
                </pic:spPr>
              </pic:pic>
            </a:graphicData>
          </a:graphic>
        </wp:anchor>
      </w:drawing>
    </w:r>
  </w:p>
  <w:p w:rsidR="007155C8" w:rsidRPr="00446D86" w:rsidRDefault="00F05780" w:rsidP="00876632">
    <w:pPr>
      <w:pBdr>
        <w:bottom w:val="single" w:sz="8" w:space="1" w:color="0072BB"/>
      </w:pBdr>
      <w:spacing w:line="280" w:lineRule="exact"/>
      <w:jc w:val="right"/>
      <w:rPr>
        <w:rFonts w:eastAsia="微软雅黑"/>
        <w:szCs w:val="21"/>
      </w:rPr>
    </w:pPr>
    <w:sdt>
      <w:sdtPr>
        <w:rPr>
          <w:rFonts w:eastAsia="微软雅黑" w:hint="eastAsia"/>
          <w:szCs w:val="21"/>
        </w:rPr>
        <w:alias w:val="报告类型"/>
        <w:tag w:val="BDCONTENTCONTROL_40279c30-bcdc-4ccb-956d-ca7a80b2a749"/>
        <w:id w:val="1837185803"/>
        <w:placeholder>
          <w:docPart w:val="96BEA100774C42E8BBAA04B28493393C"/>
        </w:placeholder>
      </w:sdtPr>
      <w:sdtEndPr/>
      <w:sdtContent>
        <w:r w:rsidR="00D05253">
          <w:rPr>
            <w:rFonts w:eastAsia="微软雅黑" w:hint="eastAsia"/>
            <w:szCs w:val="21"/>
          </w:rPr>
          <w:t>公司快报</w:t>
        </w:r>
      </w:sdtContent>
    </w:sdt>
    <w:r w:rsidR="007155C8" w:rsidRPr="00446D86">
      <w:rPr>
        <w:rFonts w:eastAsia="微软雅黑" w:hint="eastAsia"/>
        <w:szCs w:val="21"/>
      </w:rPr>
      <w:t>/</w:t>
    </w:r>
    <w:sdt>
      <w:sdtPr>
        <w:rPr>
          <w:rFonts w:eastAsia="微软雅黑" w:hint="eastAsia"/>
          <w:szCs w:val="21"/>
        </w:rPr>
        <w:alias w:val="所属三级行业名称"/>
        <w:tag w:val="BDCONTENTCONTROL_2c517527-ef5c-4966-ba0d-f7df13370e69"/>
        <w:id w:val="490144185"/>
        <w:placeholder>
          <w:docPart w:val="2E88982ED86E44C2B6F043C94F175FB1"/>
        </w:placeholder>
      </w:sdtPr>
      <w:sdtEndPr/>
      <w:sdtContent>
        <w:r w:rsidR="00D05253">
          <w:rPr>
            <w:rFonts w:eastAsia="微软雅黑" w:hint="eastAsia"/>
            <w:szCs w:val="21"/>
          </w:rPr>
          <w:t>保险</w:t>
        </w:r>
      </w:sdtContent>
    </w:sdt>
  </w:p>
  <w:p w:rsidR="007155C8" w:rsidRPr="00095B86" w:rsidRDefault="007155C8" w:rsidP="00F14C69">
    <w:pPr>
      <w:spacing w:line="280" w:lineRule="exact"/>
      <w:jc w:val="right"/>
      <w:rPr>
        <w:rFonts w:eastAsia="微软雅黑"/>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55C8" w:rsidRDefault="007155C8" w:rsidP="00F7121A">
    <w:pPr>
      <w:pStyle w:val="a3"/>
      <w:pBdr>
        <w:bottom w:val="none" w:sz="0" w:space="0" w:color="auto"/>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520BA38"/>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6E66D56"/>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09B009F2"/>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C064661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4124976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31C8410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5746753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53A2DBA4"/>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E7EE22B8"/>
    <w:lvl w:ilvl="0">
      <w:start w:val="1"/>
      <w:numFmt w:val="decimal"/>
      <w:lvlText w:val="%1."/>
      <w:lvlJc w:val="left"/>
      <w:pPr>
        <w:tabs>
          <w:tab w:val="num" w:pos="360"/>
        </w:tabs>
        <w:ind w:left="360" w:hangingChars="200" w:hanging="360"/>
      </w:pPr>
    </w:lvl>
  </w:abstractNum>
  <w:abstractNum w:abstractNumId="9">
    <w:nsid w:val="FFFFFF89"/>
    <w:multiLevelType w:val="singleLevel"/>
    <w:tmpl w:val="19A4F3B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BA7B7A"/>
    <w:multiLevelType w:val="multilevel"/>
    <w:tmpl w:val="2B7ED178"/>
    <w:numStyleLink w:val="GJStylesContentMark"/>
  </w:abstractNum>
  <w:abstractNum w:abstractNumId="11">
    <w:nsid w:val="022C102E"/>
    <w:multiLevelType w:val="multilevel"/>
    <w:tmpl w:val="2B7ED178"/>
    <w:numStyleLink w:val="GJStylesContentMark"/>
  </w:abstractNum>
  <w:abstractNum w:abstractNumId="12">
    <w:nsid w:val="04393FFE"/>
    <w:multiLevelType w:val="multilevel"/>
    <w:tmpl w:val="FBA0D9B2"/>
    <w:styleLink w:val="FXStylesTextTextSecTitleMark"/>
    <w:lvl w:ilvl="0">
      <w:start w:val="1"/>
      <w:numFmt w:val="bullet"/>
      <w:pStyle w:val="FXStylesTextTextSecTitle"/>
      <w:lvlText w:val=""/>
      <w:lvlJc w:val="left"/>
      <w:pPr>
        <w:ind w:left="425" w:hanging="425"/>
      </w:pPr>
      <w:rPr>
        <w:rFonts w:ascii="Wingdings" w:hAnsi="Wingdings" w:hint="default"/>
        <w:color w:val="003366"/>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08333B74"/>
    <w:multiLevelType w:val="multilevel"/>
    <w:tmpl w:val="2B7ED178"/>
    <w:numStyleLink w:val="GJStylesContentMark"/>
  </w:abstractNum>
  <w:abstractNum w:abstractNumId="14">
    <w:nsid w:val="08AF5ED3"/>
    <w:multiLevelType w:val="hybridMultilevel"/>
    <w:tmpl w:val="1FD23C90"/>
    <w:lvl w:ilvl="0" w:tplc="064266E0">
      <w:start w:val="1"/>
      <w:numFmt w:val="bullet"/>
      <w:lvlText w:val=""/>
      <w:lvlJc w:val="left"/>
      <w:pPr>
        <w:ind w:left="1241" w:hanging="420"/>
      </w:pPr>
      <w:rPr>
        <w:rFonts w:ascii="Wingdings 2" w:hAnsi="Wingdings 2" w:hint="default"/>
        <w:b w:val="0"/>
        <w:i w:val="0"/>
        <w:color w:val="auto"/>
        <w:sz w:val="18"/>
      </w:rPr>
    </w:lvl>
    <w:lvl w:ilvl="1" w:tplc="04090003" w:tentative="1">
      <w:start w:val="1"/>
      <w:numFmt w:val="bullet"/>
      <w:lvlText w:val=""/>
      <w:lvlJc w:val="left"/>
      <w:pPr>
        <w:ind w:left="1661" w:hanging="420"/>
      </w:pPr>
      <w:rPr>
        <w:rFonts w:ascii="Wingdings" w:hAnsi="Wingdings" w:hint="default"/>
      </w:rPr>
    </w:lvl>
    <w:lvl w:ilvl="2" w:tplc="04090005" w:tentative="1">
      <w:start w:val="1"/>
      <w:numFmt w:val="bullet"/>
      <w:lvlText w:val=""/>
      <w:lvlJc w:val="left"/>
      <w:pPr>
        <w:ind w:left="2081" w:hanging="420"/>
      </w:pPr>
      <w:rPr>
        <w:rFonts w:ascii="Wingdings" w:hAnsi="Wingdings" w:hint="default"/>
      </w:rPr>
    </w:lvl>
    <w:lvl w:ilvl="3" w:tplc="04090001" w:tentative="1">
      <w:start w:val="1"/>
      <w:numFmt w:val="bullet"/>
      <w:lvlText w:val=""/>
      <w:lvlJc w:val="left"/>
      <w:pPr>
        <w:ind w:left="2501" w:hanging="420"/>
      </w:pPr>
      <w:rPr>
        <w:rFonts w:ascii="Wingdings" w:hAnsi="Wingdings" w:hint="default"/>
      </w:rPr>
    </w:lvl>
    <w:lvl w:ilvl="4" w:tplc="04090003" w:tentative="1">
      <w:start w:val="1"/>
      <w:numFmt w:val="bullet"/>
      <w:lvlText w:val=""/>
      <w:lvlJc w:val="left"/>
      <w:pPr>
        <w:ind w:left="2921" w:hanging="420"/>
      </w:pPr>
      <w:rPr>
        <w:rFonts w:ascii="Wingdings" w:hAnsi="Wingdings" w:hint="default"/>
      </w:rPr>
    </w:lvl>
    <w:lvl w:ilvl="5" w:tplc="04090005" w:tentative="1">
      <w:start w:val="1"/>
      <w:numFmt w:val="bullet"/>
      <w:lvlText w:val=""/>
      <w:lvlJc w:val="left"/>
      <w:pPr>
        <w:ind w:left="3341" w:hanging="420"/>
      </w:pPr>
      <w:rPr>
        <w:rFonts w:ascii="Wingdings" w:hAnsi="Wingdings" w:hint="default"/>
      </w:rPr>
    </w:lvl>
    <w:lvl w:ilvl="6" w:tplc="04090001" w:tentative="1">
      <w:start w:val="1"/>
      <w:numFmt w:val="bullet"/>
      <w:lvlText w:val=""/>
      <w:lvlJc w:val="left"/>
      <w:pPr>
        <w:ind w:left="3761" w:hanging="420"/>
      </w:pPr>
      <w:rPr>
        <w:rFonts w:ascii="Wingdings" w:hAnsi="Wingdings" w:hint="default"/>
      </w:rPr>
    </w:lvl>
    <w:lvl w:ilvl="7" w:tplc="04090003" w:tentative="1">
      <w:start w:val="1"/>
      <w:numFmt w:val="bullet"/>
      <w:lvlText w:val=""/>
      <w:lvlJc w:val="left"/>
      <w:pPr>
        <w:ind w:left="4181" w:hanging="420"/>
      </w:pPr>
      <w:rPr>
        <w:rFonts w:ascii="Wingdings" w:hAnsi="Wingdings" w:hint="default"/>
      </w:rPr>
    </w:lvl>
    <w:lvl w:ilvl="8" w:tplc="04090005" w:tentative="1">
      <w:start w:val="1"/>
      <w:numFmt w:val="bullet"/>
      <w:lvlText w:val=""/>
      <w:lvlJc w:val="left"/>
      <w:pPr>
        <w:ind w:left="4601" w:hanging="420"/>
      </w:pPr>
      <w:rPr>
        <w:rFonts w:ascii="Wingdings" w:hAnsi="Wingdings" w:hint="default"/>
      </w:rPr>
    </w:lvl>
  </w:abstractNum>
  <w:abstractNum w:abstractNumId="15">
    <w:nsid w:val="0A2434BC"/>
    <w:multiLevelType w:val="multilevel"/>
    <w:tmpl w:val="2B7ED178"/>
    <w:numStyleLink w:val="GJStylesContentMark"/>
  </w:abstractNum>
  <w:abstractNum w:abstractNumId="16">
    <w:nsid w:val="16A5693A"/>
    <w:multiLevelType w:val="multilevel"/>
    <w:tmpl w:val="2B7ED178"/>
    <w:numStyleLink w:val="GJStylesContentMark"/>
  </w:abstractNum>
  <w:abstractNum w:abstractNumId="17">
    <w:nsid w:val="21E90DA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8">
    <w:nsid w:val="269D10CD"/>
    <w:multiLevelType w:val="multilevel"/>
    <w:tmpl w:val="FBA0D9B2"/>
    <w:numStyleLink w:val="FXStylesTextTextSecTitleMark"/>
  </w:abstractNum>
  <w:abstractNum w:abstractNumId="19">
    <w:nsid w:val="2CC36C66"/>
    <w:multiLevelType w:val="multilevel"/>
    <w:tmpl w:val="5A48DB24"/>
    <w:styleLink w:val="SWTextStylesSummaryContMark"/>
    <w:lvl w:ilvl="0">
      <w:start w:val="1"/>
      <w:numFmt w:val="bullet"/>
      <w:lvlText w:val=""/>
      <w:lvlJc w:val="left"/>
      <w:pPr>
        <w:tabs>
          <w:tab w:val="num" w:pos="397"/>
        </w:tabs>
        <w:ind w:left="340" w:hanging="340"/>
      </w:pPr>
      <w:rPr>
        <w:rFonts w:ascii="Wingdings" w:hAnsi="Wingdings" w:hint="default"/>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nsid w:val="30D236F5"/>
    <w:multiLevelType w:val="multilevel"/>
    <w:tmpl w:val="41B07BF6"/>
    <w:numStyleLink w:val="HJStylesSummaryContentMark"/>
  </w:abstractNum>
  <w:abstractNum w:abstractNumId="21">
    <w:nsid w:val="3133399E"/>
    <w:multiLevelType w:val="multilevel"/>
    <w:tmpl w:val="1556E7D6"/>
    <w:styleLink w:val="GJStylesSummaryContentMark"/>
    <w:lvl w:ilvl="0">
      <w:start w:val="1"/>
      <w:numFmt w:val="bullet"/>
      <w:pStyle w:val="GJStylesSummaryContent"/>
      <w:lvlText w:val=""/>
      <w:lvlJc w:val="left"/>
      <w:pPr>
        <w:ind w:left="840" w:hanging="420"/>
      </w:pPr>
      <w:rPr>
        <w:rFonts w:ascii="Wingdings" w:hAnsi="Wingdings" w:hint="default"/>
        <w:b w:val="0"/>
        <w:i w:val="0"/>
        <w:color w:val="auto"/>
        <w:sz w:val="18"/>
      </w:rPr>
    </w:lvl>
    <w:lvl w:ilvl="1">
      <w:start w:val="1"/>
      <w:numFmt w:val="bullet"/>
      <w:pStyle w:val="GJStylesSummarySubContent"/>
      <w:lvlText w:val=""/>
      <w:lvlJc w:val="left"/>
      <w:pPr>
        <w:ind w:left="1260" w:hanging="420"/>
      </w:pPr>
      <w:rPr>
        <w:rFonts w:ascii="Wingdings 2" w:hAnsi="Wingdings 2" w:hint="default"/>
        <w:sz w:val="15"/>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2">
    <w:nsid w:val="32663BE7"/>
    <w:multiLevelType w:val="hybridMultilevel"/>
    <w:tmpl w:val="B2F87964"/>
    <w:lvl w:ilvl="0" w:tplc="6A5822DA">
      <w:start w:val="1"/>
      <w:numFmt w:val="bullet"/>
      <w:lvlText w:val=""/>
      <w:lvlJc w:val="left"/>
      <w:pPr>
        <w:ind w:left="227" w:hanging="227"/>
      </w:pPr>
      <w:rPr>
        <w:rFonts w:ascii="Wingdings" w:hAnsi="Wingdings" w:hint="default"/>
        <w:color w:val="00AAE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36004F02"/>
    <w:multiLevelType w:val="multilevel"/>
    <w:tmpl w:val="2B7ED178"/>
    <w:numStyleLink w:val="GJStylesContentMark"/>
  </w:abstractNum>
  <w:abstractNum w:abstractNumId="24">
    <w:nsid w:val="3EA16E54"/>
    <w:multiLevelType w:val="multilevel"/>
    <w:tmpl w:val="41B07BF6"/>
    <w:numStyleLink w:val="HJStylesSummaryContentMark"/>
  </w:abstractNum>
  <w:abstractNum w:abstractNumId="25">
    <w:nsid w:val="41A645CE"/>
    <w:multiLevelType w:val="multilevel"/>
    <w:tmpl w:val="2B7ED178"/>
    <w:numStyleLink w:val="GJStylesContentMark"/>
  </w:abstractNum>
  <w:abstractNum w:abstractNumId="26">
    <w:nsid w:val="44E1352C"/>
    <w:multiLevelType w:val="multilevel"/>
    <w:tmpl w:val="2B7ED178"/>
    <w:numStyleLink w:val="GJStylesContentMark"/>
  </w:abstractNum>
  <w:abstractNum w:abstractNumId="27">
    <w:nsid w:val="47567D89"/>
    <w:multiLevelType w:val="multilevel"/>
    <w:tmpl w:val="7CBE05E2"/>
    <w:styleLink w:val="GJStylesContentMarkWide"/>
    <w:lvl w:ilvl="0">
      <w:start w:val="1"/>
      <w:numFmt w:val="bullet"/>
      <w:lvlText w:val=""/>
      <w:lvlJc w:val="left"/>
      <w:pPr>
        <w:ind w:left="850" w:hanging="425"/>
      </w:pPr>
      <w:rPr>
        <w:rFonts w:ascii="Wingdings 2" w:hAnsi="Wingdings 2" w:hint="default"/>
        <w:color w:val="auto"/>
      </w:rPr>
    </w:lvl>
    <w:lvl w:ilvl="1">
      <w:start w:val="1"/>
      <w:numFmt w:val="bullet"/>
      <w:lvlText w:val=""/>
      <w:lvlJc w:val="left"/>
      <w:pPr>
        <w:ind w:left="1417" w:hanging="567"/>
      </w:pPr>
      <w:rPr>
        <w:rFonts w:ascii="Wingdings 2" w:hAnsi="Wingdings 2" w:hint="default"/>
      </w:rPr>
    </w:lvl>
    <w:lvl w:ilvl="2">
      <w:start w:val="1"/>
      <w:numFmt w:val="decimal"/>
      <w:lvlText w:val="%1.%2.%3"/>
      <w:lvlJc w:val="left"/>
      <w:pPr>
        <w:ind w:left="1843" w:hanging="567"/>
      </w:pPr>
      <w:rPr>
        <w:rFonts w:hint="eastAsia"/>
      </w:rPr>
    </w:lvl>
    <w:lvl w:ilvl="3">
      <w:start w:val="1"/>
      <w:numFmt w:val="decimal"/>
      <w:lvlText w:val="%1.%2.%3.%4"/>
      <w:lvlJc w:val="left"/>
      <w:pPr>
        <w:ind w:left="2409" w:hanging="708"/>
      </w:pPr>
      <w:rPr>
        <w:rFonts w:hint="eastAsia"/>
      </w:rPr>
    </w:lvl>
    <w:lvl w:ilvl="4">
      <w:start w:val="1"/>
      <w:numFmt w:val="decimal"/>
      <w:lvlText w:val="%1.%2.%3.%4.%5"/>
      <w:lvlJc w:val="left"/>
      <w:pPr>
        <w:ind w:left="2976" w:hanging="850"/>
      </w:pPr>
      <w:rPr>
        <w:rFonts w:hint="eastAsia"/>
      </w:rPr>
    </w:lvl>
    <w:lvl w:ilvl="5">
      <w:start w:val="1"/>
      <w:numFmt w:val="decimal"/>
      <w:lvlText w:val="%1.%2.%3.%4.%5.%6"/>
      <w:lvlJc w:val="left"/>
      <w:pPr>
        <w:ind w:left="3685" w:hanging="1134"/>
      </w:pPr>
      <w:rPr>
        <w:rFonts w:hint="eastAsia"/>
      </w:rPr>
    </w:lvl>
    <w:lvl w:ilvl="6">
      <w:start w:val="1"/>
      <w:numFmt w:val="decimal"/>
      <w:lvlText w:val="%1.%2.%3.%4.%5.%6.%7"/>
      <w:lvlJc w:val="left"/>
      <w:pPr>
        <w:ind w:left="4252" w:hanging="1276"/>
      </w:pPr>
      <w:rPr>
        <w:rFonts w:hint="eastAsia"/>
      </w:rPr>
    </w:lvl>
    <w:lvl w:ilvl="7">
      <w:start w:val="1"/>
      <w:numFmt w:val="decimal"/>
      <w:lvlText w:val="%1.%2.%3.%4.%5.%6.%7.%8"/>
      <w:lvlJc w:val="left"/>
      <w:pPr>
        <w:ind w:left="4819" w:hanging="1418"/>
      </w:pPr>
      <w:rPr>
        <w:rFonts w:hint="eastAsia"/>
      </w:rPr>
    </w:lvl>
    <w:lvl w:ilvl="8">
      <w:start w:val="1"/>
      <w:numFmt w:val="decimal"/>
      <w:lvlText w:val="%1.%2.%3.%4.%5.%6.%7.%8.%9"/>
      <w:lvlJc w:val="left"/>
      <w:pPr>
        <w:ind w:left="5527" w:hanging="1700"/>
      </w:pPr>
      <w:rPr>
        <w:rFonts w:hint="eastAsia"/>
      </w:rPr>
    </w:lvl>
  </w:abstractNum>
  <w:abstractNum w:abstractNumId="28">
    <w:nsid w:val="4A0A2A60"/>
    <w:multiLevelType w:val="multilevel"/>
    <w:tmpl w:val="41B07BF6"/>
    <w:numStyleLink w:val="HJStylesSummaryContentMark"/>
  </w:abstractNum>
  <w:abstractNum w:abstractNumId="29">
    <w:nsid w:val="4E0270AD"/>
    <w:multiLevelType w:val="multilevel"/>
    <w:tmpl w:val="2B7ED178"/>
    <w:styleLink w:val="GJStylesContentMark"/>
    <w:lvl w:ilvl="0">
      <w:start w:val="1"/>
      <w:numFmt w:val="bullet"/>
      <w:lvlText w:val=""/>
      <w:lvlJc w:val="left"/>
      <w:pPr>
        <w:tabs>
          <w:tab w:val="num" w:pos="3430"/>
        </w:tabs>
        <w:ind w:left="3799" w:hanging="369"/>
      </w:pPr>
      <w:rPr>
        <w:rFonts w:ascii="Wingdings 2" w:hAnsi="Wingdings 2" w:hint="default"/>
        <w:color w:val="auto"/>
      </w:rPr>
    </w:lvl>
    <w:lvl w:ilvl="1">
      <w:start w:val="1"/>
      <w:numFmt w:val="bullet"/>
      <w:lvlText w:val=""/>
      <w:lvlJc w:val="left"/>
      <w:pPr>
        <w:ind w:left="4190" w:hanging="419"/>
      </w:pPr>
      <w:rPr>
        <w:rFonts w:ascii="Wingdings 2" w:hAnsi="Wingdings 2" w:hint="default"/>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515742F2"/>
    <w:multiLevelType w:val="multilevel"/>
    <w:tmpl w:val="41B07BF6"/>
    <w:numStyleLink w:val="HJStylesSummaryContentMark"/>
  </w:abstractNum>
  <w:abstractNum w:abstractNumId="31">
    <w:nsid w:val="57175786"/>
    <w:multiLevelType w:val="multilevel"/>
    <w:tmpl w:val="41B07BF6"/>
    <w:numStyleLink w:val="HJStylesSummaryContentMark"/>
  </w:abstractNum>
  <w:abstractNum w:abstractNumId="32">
    <w:nsid w:val="5ADD1880"/>
    <w:multiLevelType w:val="hybridMultilevel"/>
    <w:tmpl w:val="3358225E"/>
    <w:lvl w:ilvl="0" w:tplc="AC7CA5DC">
      <w:start w:val="1"/>
      <w:numFmt w:val="bullet"/>
      <w:lvlText w:val=""/>
      <w:lvlJc w:val="left"/>
      <w:pPr>
        <w:ind w:left="420" w:hanging="420"/>
      </w:pPr>
      <w:rPr>
        <w:rFonts w:ascii="Wingdings" w:eastAsia="楷体_GB2312" w:hAnsi="Wingdings" w:hint="default"/>
        <w:b w:val="0"/>
        <w:i w:val="0"/>
        <w:color w:val="auto"/>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nsid w:val="65C5752B"/>
    <w:multiLevelType w:val="multilevel"/>
    <w:tmpl w:val="41B07BF6"/>
    <w:numStyleLink w:val="HJStylesSummaryContentMark"/>
  </w:abstractNum>
  <w:abstractNum w:abstractNumId="34">
    <w:nsid w:val="65DD2D9F"/>
    <w:multiLevelType w:val="multilevel"/>
    <w:tmpl w:val="2B7ED178"/>
    <w:numStyleLink w:val="GJStylesContentMark"/>
  </w:abstractNum>
  <w:abstractNum w:abstractNumId="35">
    <w:nsid w:val="6BF1418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6">
    <w:nsid w:val="701B188F"/>
    <w:multiLevelType w:val="multilevel"/>
    <w:tmpl w:val="41B07BF6"/>
    <w:numStyleLink w:val="HJStylesSummaryContentMark"/>
  </w:abstractNum>
  <w:abstractNum w:abstractNumId="37">
    <w:nsid w:val="73777A50"/>
    <w:multiLevelType w:val="multilevel"/>
    <w:tmpl w:val="2B7ED178"/>
    <w:numStyleLink w:val="GJStylesContentMark"/>
  </w:abstractNum>
  <w:abstractNum w:abstractNumId="38">
    <w:nsid w:val="749125D7"/>
    <w:multiLevelType w:val="multilevel"/>
    <w:tmpl w:val="41B07BF6"/>
    <w:styleLink w:val="HJStylesSummaryContentMark"/>
    <w:lvl w:ilvl="0">
      <w:start w:val="1"/>
      <w:numFmt w:val="bullet"/>
      <w:pStyle w:val="HJStylesSummaryContent"/>
      <w:lvlText w:val=""/>
      <w:lvlJc w:val="left"/>
      <w:pPr>
        <w:tabs>
          <w:tab w:val="num" w:pos="227"/>
        </w:tabs>
        <w:ind w:left="227" w:hanging="227"/>
      </w:pPr>
      <w:rPr>
        <w:rFonts w:ascii="Wingdings" w:hAnsi="Wingdings" w:hint="default"/>
        <w:b w:val="0"/>
        <w:i w:val="0"/>
        <w:color w:val="00AAEA"/>
        <w:sz w:val="18"/>
      </w:rPr>
    </w:lvl>
    <w:lvl w:ilvl="1">
      <w:start w:val="1"/>
      <w:numFmt w:val="bullet"/>
      <w:lvlText w:val=""/>
      <w:lvlJc w:val="left"/>
      <w:pPr>
        <w:ind w:left="1260" w:hanging="420"/>
      </w:pPr>
      <w:rPr>
        <w:rFonts w:ascii="Wingdings 2" w:hAnsi="Wingdings 2" w:hint="default"/>
        <w:sz w:val="15"/>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39">
    <w:nsid w:val="7C284D5A"/>
    <w:multiLevelType w:val="multilevel"/>
    <w:tmpl w:val="2B7ED178"/>
    <w:numStyleLink w:val="GJStylesContentMark"/>
  </w:abstractNum>
  <w:abstractNum w:abstractNumId="40">
    <w:nsid w:val="7C8139AA"/>
    <w:multiLevelType w:val="multilevel"/>
    <w:tmpl w:val="2B7ED178"/>
    <w:numStyleLink w:val="GJStylesContentMark"/>
  </w:abstractNum>
  <w:abstractNum w:abstractNumId="41">
    <w:nsid w:val="7FC21744"/>
    <w:multiLevelType w:val="multilevel"/>
    <w:tmpl w:val="41B07BF6"/>
    <w:numStyleLink w:val="HJStylesSummaryContentMark"/>
  </w:abstractNum>
  <w:num w:numId="1">
    <w:abstractNumId w:val="22"/>
  </w:num>
  <w:num w:numId="2">
    <w:abstractNumId w:val="21"/>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num>
  <w:num w:numId="5">
    <w:abstractNumId w:val="23"/>
  </w:num>
  <w:num w:numId="6">
    <w:abstractNumId w:val="27"/>
  </w:num>
  <w:num w:numId="7">
    <w:abstractNumId w:val="19"/>
  </w:num>
  <w:num w:numId="8">
    <w:abstractNumId w:val="12"/>
  </w:num>
  <w:num w:numId="9">
    <w:abstractNumId w:val="18"/>
  </w:num>
  <w:num w:numId="10">
    <w:abstractNumId w:val="38"/>
  </w:num>
  <w:num w:numId="11">
    <w:abstractNumId w:val="41"/>
  </w:num>
  <w:num w:numId="12">
    <w:abstractNumId w:val="35"/>
  </w:num>
  <w:num w:numId="13">
    <w:abstractNumId w:val="32"/>
  </w:num>
  <w:num w:numId="14">
    <w:abstractNumId w:val="14"/>
  </w:num>
  <w:num w:numId="15">
    <w:abstractNumId w:val="36"/>
  </w:num>
  <w:num w:numId="16">
    <w:abstractNumId w:val="31"/>
  </w:num>
  <w:num w:numId="17">
    <w:abstractNumId w:val="24"/>
  </w:num>
  <w:num w:numId="18">
    <w:abstractNumId w:val="28"/>
  </w:num>
  <w:num w:numId="19">
    <w:abstractNumId w:val="30"/>
  </w:num>
  <w:num w:numId="20">
    <w:abstractNumId w:val="17"/>
  </w:num>
  <w:num w:numId="21">
    <w:abstractNumId w:val="33"/>
  </w:num>
  <w:num w:numId="22">
    <w:abstractNumId w:val="25"/>
  </w:num>
  <w:num w:numId="23">
    <w:abstractNumId w:val="10"/>
  </w:num>
  <w:num w:numId="24">
    <w:abstractNumId w:val="26"/>
  </w:num>
  <w:num w:numId="25">
    <w:abstractNumId w:val="16"/>
  </w:num>
  <w:num w:numId="26">
    <w:abstractNumId w:val="11"/>
  </w:num>
  <w:num w:numId="27">
    <w:abstractNumId w:val="15"/>
  </w:num>
  <w:num w:numId="28">
    <w:abstractNumId w:val="34"/>
  </w:num>
  <w:num w:numId="29">
    <w:abstractNumId w:val="13"/>
  </w:num>
  <w:num w:numId="30">
    <w:abstractNumId w:val="37"/>
  </w:num>
  <w:num w:numId="31">
    <w:abstractNumId w:val="39"/>
  </w:num>
  <w:num w:numId="32">
    <w:abstractNumId w:val="40"/>
  </w:num>
  <w:num w:numId="33">
    <w:abstractNumId w:val="8"/>
  </w:num>
  <w:num w:numId="34">
    <w:abstractNumId w:val="3"/>
  </w:num>
  <w:num w:numId="35">
    <w:abstractNumId w:val="2"/>
  </w:num>
  <w:num w:numId="36">
    <w:abstractNumId w:val="1"/>
  </w:num>
  <w:num w:numId="37">
    <w:abstractNumId w:val="0"/>
  </w:num>
  <w:num w:numId="38">
    <w:abstractNumId w:val="9"/>
  </w:num>
  <w:num w:numId="39">
    <w:abstractNumId w:val="7"/>
  </w:num>
  <w:num w:numId="40">
    <w:abstractNumId w:val="6"/>
  </w:num>
  <w:num w:numId="41">
    <w:abstractNumId w:val="5"/>
  </w:num>
  <w:num w:numId="42">
    <w:abstractNumId w:val="4"/>
  </w:num>
  <w:num w:numId="43">
    <w:abstractNumId w:val="2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8F3"/>
    <w:rsid w:val="0000597F"/>
    <w:rsid w:val="00006823"/>
    <w:rsid w:val="00006EE5"/>
    <w:rsid w:val="0001057E"/>
    <w:rsid w:val="000138A6"/>
    <w:rsid w:val="0001584E"/>
    <w:rsid w:val="0002064E"/>
    <w:rsid w:val="00023A66"/>
    <w:rsid w:val="00023D13"/>
    <w:rsid w:val="00024991"/>
    <w:rsid w:val="00026376"/>
    <w:rsid w:val="000302D3"/>
    <w:rsid w:val="000312B4"/>
    <w:rsid w:val="00033E53"/>
    <w:rsid w:val="00035C72"/>
    <w:rsid w:val="000378CE"/>
    <w:rsid w:val="00045820"/>
    <w:rsid w:val="00053BFD"/>
    <w:rsid w:val="000544CD"/>
    <w:rsid w:val="00056E80"/>
    <w:rsid w:val="00060638"/>
    <w:rsid w:val="00063A28"/>
    <w:rsid w:val="000646F3"/>
    <w:rsid w:val="00072083"/>
    <w:rsid w:val="00074D02"/>
    <w:rsid w:val="00081C04"/>
    <w:rsid w:val="000844CD"/>
    <w:rsid w:val="00086751"/>
    <w:rsid w:val="00091CA0"/>
    <w:rsid w:val="00095B86"/>
    <w:rsid w:val="00095E87"/>
    <w:rsid w:val="000A3A5F"/>
    <w:rsid w:val="000A4FCF"/>
    <w:rsid w:val="000A5DD0"/>
    <w:rsid w:val="000B0831"/>
    <w:rsid w:val="000C396D"/>
    <w:rsid w:val="000C4932"/>
    <w:rsid w:val="000C577D"/>
    <w:rsid w:val="000C7511"/>
    <w:rsid w:val="000D2117"/>
    <w:rsid w:val="000D22F8"/>
    <w:rsid w:val="000D6E5B"/>
    <w:rsid w:val="000E453F"/>
    <w:rsid w:val="000F766D"/>
    <w:rsid w:val="001022C0"/>
    <w:rsid w:val="00102E19"/>
    <w:rsid w:val="001067FE"/>
    <w:rsid w:val="001071BB"/>
    <w:rsid w:val="00107303"/>
    <w:rsid w:val="00111B90"/>
    <w:rsid w:val="00112ACB"/>
    <w:rsid w:val="00121652"/>
    <w:rsid w:val="00121DC7"/>
    <w:rsid w:val="001220DF"/>
    <w:rsid w:val="00123E91"/>
    <w:rsid w:val="00125057"/>
    <w:rsid w:val="00125AC3"/>
    <w:rsid w:val="00130BFA"/>
    <w:rsid w:val="0013430F"/>
    <w:rsid w:val="00135AA1"/>
    <w:rsid w:val="0013710B"/>
    <w:rsid w:val="00144747"/>
    <w:rsid w:val="0015191D"/>
    <w:rsid w:val="0015249E"/>
    <w:rsid w:val="0015526D"/>
    <w:rsid w:val="00160890"/>
    <w:rsid w:val="0016152E"/>
    <w:rsid w:val="00162B15"/>
    <w:rsid w:val="00163034"/>
    <w:rsid w:val="00163CD1"/>
    <w:rsid w:val="001650BA"/>
    <w:rsid w:val="00167D73"/>
    <w:rsid w:val="00170404"/>
    <w:rsid w:val="001711E2"/>
    <w:rsid w:val="0017388B"/>
    <w:rsid w:val="00187C7A"/>
    <w:rsid w:val="001905E2"/>
    <w:rsid w:val="00196CEF"/>
    <w:rsid w:val="001A05F2"/>
    <w:rsid w:val="001D2A44"/>
    <w:rsid w:val="001E3E57"/>
    <w:rsid w:val="001E6F3A"/>
    <w:rsid w:val="00201224"/>
    <w:rsid w:val="002110CA"/>
    <w:rsid w:val="00215B51"/>
    <w:rsid w:val="00221C93"/>
    <w:rsid w:val="00222971"/>
    <w:rsid w:val="00222D65"/>
    <w:rsid w:val="00233613"/>
    <w:rsid w:val="00253C63"/>
    <w:rsid w:val="00261A7F"/>
    <w:rsid w:val="00262A03"/>
    <w:rsid w:val="00263374"/>
    <w:rsid w:val="00265E2C"/>
    <w:rsid w:val="00272E44"/>
    <w:rsid w:val="0027512E"/>
    <w:rsid w:val="00281444"/>
    <w:rsid w:val="0028576E"/>
    <w:rsid w:val="0028655D"/>
    <w:rsid w:val="00295087"/>
    <w:rsid w:val="002968AC"/>
    <w:rsid w:val="002A54BD"/>
    <w:rsid w:val="002A5586"/>
    <w:rsid w:val="002B1AFA"/>
    <w:rsid w:val="002B74E9"/>
    <w:rsid w:val="002B7BFF"/>
    <w:rsid w:val="002B7F2B"/>
    <w:rsid w:val="002C12F5"/>
    <w:rsid w:val="002C5C55"/>
    <w:rsid w:val="002C778B"/>
    <w:rsid w:val="002D1AE3"/>
    <w:rsid w:val="002D2AE8"/>
    <w:rsid w:val="002D3766"/>
    <w:rsid w:val="002D39C3"/>
    <w:rsid w:val="002E1040"/>
    <w:rsid w:val="002E18EE"/>
    <w:rsid w:val="002E40C7"/>
    <w:rsid w:val="002E4965"/>
    <w:rsid w:val="002F009C"/>
    <w:rsid w:val="00315FEE"/>
    <w:rsid w:val="003321D9"/>
    <w:rsid w:val="00337816"/>
    <w:rsid w:val="00351D85"/>
    <w:rsid w:val="00353B95"/>
    <w:rsid w:val="00363539"/>
    <w:rsid w:val="0036493C"/>
    <w:rsid w:val="00372E73"/>
    <w:rsid w:val="00390AB8"/>
    <w:rsid w:val="00393809"/>
    <w:rsid w:val="003A7B49"/>
    <w:rsid w:val="003B1262"/>
    <w:rsid w:val="003B2A1E"/>
    <w:rsid w:val="003B70B4"/>
    <w:rsid w:val="003C0E38"/>
    <w:rsid w:val="003C43E1"/>
    <w:rsid w:val="003C4BA9"/>
    <w:rsid w:val="003D1FD6"/>
    <w:rsid w:val="003E459D"/>
    <w:rsid w:val="003E46D0"/>
    <w:rsid w:val="003E5EA8"/>
    <w:rsid w:val="003E751C"/>
    <w:rsid w:val="003F4DF4"/>
    <w:rsid w:val="003F5C8D"/>
    <w:rsid w:val="004009DD"/>
    <w:rsid w:val="0040167D"/>
    <w:rsid w:val="0040312A"/>
    <w:rsid w:val="004118FD"/>
    <w:rsid w:val="00411DF8"/>
    <w:rsid w:val="004130F4"/>
    <w:rsid w:val="00416BF7"/>
    <w:rsid w:val="00422160"/>
    <w:rsid w:val="00422452"/>
    <w:rsid w:val="00430E58"/>
    <w:rsid w:val="00435348"/>
    <w:rsid w:val="00446D86"/>
    <w:rsid w:val="004511AC"/>
    <w:rsid w:val="004530D4"/>
    <w:rsid w:val="004574D7"/>
    <w:rsid w:val="004602DE"/>
    <w:rsid w:val="00460630"/>
    <w:rsid w:val="004655D1"/>
    <w:rsid w:val="00474785"/>
    <w:rsid w:val="00480FE4"/>
    <w:rsid w:val="00492186"/>
    <w:rsid w:val="004A55C4"/>
    <w:rsid w:val="004B362A"/>
    <w:rsid w:val="004B4E95"/>
    <w:rsid w:val="004C5E79"/>
    <w:rsid w:val="004D0F67"/>
    <w:rsid w:val="004D4486"/>
    <w:rsid w:val="004E09CF"/>
    <w:rsid w:val="004E121F"/>
    <w:rsid w:val="004E4BA7"/>
    <w:rsid w:val="004E728F"/>
    <w:rsid w:val="004F00AA"/>
    <w:rsid w:val="004F463B"/>
    <w:rsid w:val="004F589D"/>
    <w:rsid w:val="0050127B"/>
    <w:rsid w:val="00501B80"/>
    <w:rsid w:val="0050218A"/>
    <w:rsid w:val="00503B78"/>
    <w:rsid w:val="0050793C"/>
    <w:rsid w:val="00515D9D"/>
    <w:rsid w:val="0051734B"/>
    <w:rsid w:val="0052236E"/>
    <w:rsid w:val="00535E0D"/>
    <w:rsid w:val="00541421"/>
    <w:rsid w:val="0054319E"/>
    <w:rsid w:val="00544F51"/>
    <w:rsid w:val="005459C8"/>
    <w:rsid w:val="00547585"/>
    <w:rsid w:val="005555B1"/>
    <w:rsid w:val="005704A2"/>
    <w:rsid w:val="005769F6"/>
    <w:rsid w:val="005778F5"/>
    <w:rsid w:val="00580627"/>
    <w:rsid w:val="00582E9E"/>
    <w:rsid w:val="0058313F"/>
    <w:rsid w:val="00583267"/>
    <w:rsid w:val="00584E5F"/>
    <w:rsid w:val="0058565E"/>
    <w:rsid w:val="005866C6"/>
    <w:rsid w:val="00590FE3"/>
    <w:rsid w:val="0059126D"/>
    <w:rsid w:val="005921F1"/>
    <w:rsid w:val="0059263C"/>
    <w:rsid w:val="0059398D"/>
    <w:rsid w:val="00593FCB"/>
    <w:rsid w:val="00596520"/>
    <w:rsid w:val="00596CBA"/>
    <w:rsid w:val="005974A4"/>
    <w:rsid w:val="00597579"/>
    <w:rsid w:val="005A2514"/>
    <w:rsid w:val="005B3FF2"/>
    <w:rsid w:val="005B56D3"/>
    <w:rsid w:val="005B614E"/>
    <w:rsid w:val="005C6DBC"/>
    <w:rsid w:val="005D00AC"/>
    <w:rsid w:val="005D03E7"/>
    <w:rsid w:val="005D5E9A"/>
    <w:rsid w:val="005D6718"/>
    <w:rsid w:val="005E1AF0"/>
    <w:rsid w:val="005F03BE"/>
    <w:rsid w:val="005F05A0"/>
    <w:rsid w:val="005F4AAC"/>
    <w:rsid w:val="005F4FC0"/>
    <w:rsid w:val="005F6888"/>
    <w:rsid w:val="005F6E80"/>
    <w:rsid w:val="006014A7"/>
    <w:rsid w:val="006061CB"/>
    <w:rsid w:val="00610B49"/>
    <w:rsid w:val="00611E8C"/>
    <w:rsid w:val="00613102"/>
    <w:rsid w:val="006132F9"/>
    <w:rsid w:val="00614D66"/>
    <w:rsid w:val="00623117"/>
    <w:rsid w:val="00624787"/>
    <w:rsid w:val="0063120B"/>
    <w:rsid w:val="0064046D"/>
    <w:rsid w:val="0064205F"/>
    <w:rsid w:val="00642B55"/>
    <w:rsid w:val="00643432"/>
    <w:rsid w:val="0065288E"/>
    <w:rsid w:val="006533E3"/>
    <w:rsid w:val="006545A7"/>
    <w:rsid w:val="006608A3"/>
    <w:rsid w:val="00672F1E"/>
    <w:rsid w:val="00677FE8"/>
    <w:rsid w:val="00686258"/>
    <w:rsid w:val="00691C76"/>
    <w:rsid w:val="0069399A"/>
    <w:rsid w:val="00693EF9"/>
    <w:rsid w:val="00695827"/>
    <w:rsid w:val="00695A78"/>
    <w:rsid w:val="00696F8A"/>
    <w:rsid w:val="006A2C9C"/>
    <w:rsid w:val="006B0FFC"/>
    <w:rsid w:val="006B4458"/>
    <w:rsid w:val="006C78A3"/>
    <w:rsid w:val="006C7CE3"/>
    <w:rsid w:val="006D2683"/>
    <w:rsid w:val="006D6E51"/>
    <w:rsid w:val="006E101B"/>
    <w:rsid w:val="006E24B8"/>
    <w:rsid w:val="006E60AC"/>
    <w:rsid w:val="006F4921"/>
    <w:rsid w:val="006F5600"/>
    <w:rsid w:val="0070041C"/>
    <w:rsid w:val="00701137"/>
    <w:rsid w:val="007105D4"/>
    <w:rsid w:val="00711A98"/>
    <w:rsid w:val="007155C8"/>
    <w:rsid w:val="00720F73"/>
    <w:rsid w:val="00721919"/>
    <w:rsid w:val="00722CBE"/>
    <w:rsid w:val="00726830"/>
    <w:rsid w:val="0072701D"/>
    <w:rsid w:val="007307E9"/>
    <w:rsid w:val="00737F57"/>
    <w:rsid w:val="00740231"/>
    <w:rsid w:val="00747DAD"/>
    <w:rsid w:val="00754C58"/>
    <w:rsid w:val="00757021"/>
    <w:rsid w:val="007572B3"/>
    <w:rsid w:val="00760C50"/>
    <w:rsid w:val="007622B9"/>
    <w:rsid w:val="007658E5"/>
    <w:rsid w:val="007663BF"/>
    <w:rsid w:val="00770DD9"/>
    <w:rsid w:val="007734F2"/>
    <w:rsid w:val="007745B3"/>
    <w:rsid w:val="00776889"/>
    <w:rsid w:val="007823AD"/>
    <w:rsid w:val="00786AC6"/>
    <w:rsid w:val="007928FF"/>
    <w:rsid w:val="00793C2A"/>
    <w:rsid w:val="007A68AF"/>
    <w:rsid w:val="007B0019"/>
    <w:rsid w:val="007B1100"/>
    <w:rsid w:val="007B40B3"/>
    <w:rsid w:val="007B5E7C"/>
    <w:rsid w:val="007C01A5"/>
    <w:rsid w:val="007D2719"/>
    <w:rsid w:val="007D3D5E"/>
    <w:rsid w:val="007D6FB2"/>
    <w:rsid w:val="007E00A0"/>
    <w:rsid w:val="007E65D0"/>
    <w:rsid w:val="007F0605"/>
    <w:rsid w:val="007F30C3"/>
    <w:rsid w:val="00801022"/>
    <w:rsid w:val="008064C2"/>
    <w:rsid w:val="008068FD"/>
    <w:rsid w:val="00807DCE"/>
    <w:rsid w:val="00811989"/>
    <w:rsid w:val="008119E3"/>
    <w:rsid w:val="00812D48"/>
    <w:rsid w:val="0081543A"/>
    <w:rsid w:val="008273E0"/>
    <w:rsid w:val="0082761D"/>
    <w:rsid w:val="00835781"/>
    <w:rsid w:val="00836D38"/>
    <w:rsid w:val="008400C5"/>
    <w:rsid w:val="008414CB"/>
    <w:rsid w:val="00841636"/>
    <w:rsid w:val="008436F3"/>
    <w:rsid w:val="0084492C"/>
    <w:rsid w:val="00844F22"/>
    <w:rsid w:val="0084623E"/>
    <w:rsid w:val="00857D7C"/>
    <w:rsid w:val="00862EF5"/>
    <w:rsid w:val="0086305D"/>
    <w:rsid w:val="008648A3"/>
    <w:rsid w:val="008653FE"/>
    <w:rsid w:val="008710BD"/>
    <w:rsid w:val="0087447A"/>
    <w:rsid w:val="00876632"/>
    <w:rsid w:val="008820D8"/>
    <w:rsid w:val="00883740"/>
    <w:rsid w:val="0088775C"/>
    <w:rsid w:val="00892605"/>
    <w:rsid w:val="00892BF4"/>
    <w:rsid w:val="008947AA"/>
    <w:rsid w:val="008954DC"/>
    <w:rsid w:val="00896403"/>
    <w:rsid w:val="00896A44"/>
    <w:rsid w:val="00897728"/>
    <w:rsid w:val="008A0181"/>
    <w:rsid w:val="008A18C0"/>
    <w:rsid w:val="008A48A4"/>
    <w:rsid w:val="008B39DD"/>
    <w:rsid w:val="008B462C"/>
    <w:rsid w:val="008C1635"/>
    <w:rsid w:val="008C220F"/>
    <w:rsid w:val="008C356B"/>
    <w:rsid w:val="008C49AB"/>
    <w:rsid w:val="008C7363"/>
    <w:rsid w:val="008D1D17"/>
    <w:rsid w:val="008D41B0"/>
    <w:rsid w:val="008E1623"/>
    <w:rsid w:val="008E3B14"/>
    <w:rsid w:val="008E5EA9"/>
    <w:rsid w:val="008F0106"/>
    <w:rsid w:val="008F4740"/>
    <w:rsid w:val="008F52BA"/>
    <w:rsid w:val="00901A41"/>
    <w:rsid w:val="00902640"/>
    <w:rsid w:val="0090272A"/>
    <w:rsid w:val="009028A2"/>
    <w:rsid w:val="00903AA0"/>
    <w:rsid w:val="009115A9"/>
    <w:rsid w:val="009132F5"/>
    <w:rsid w:val="009218A8"/>
    <w:rsid w:val="009240C7"/>
    <w:rsid w:val="00925027"/>
    <w:rsid w:val="00925E32"/>
    <w:rsid w:val="00930197"/>
    <w:rsid w:val="00930BAB"/>
    <w:rsid w:val="009316B6"/>
    <w:rsid w:val="009329B2"/>
    <w:rsid w:val="0093699D"/>
    <w:rsid w:val="00941697"/>
    <w:rsid w:val="00941F70"/>
    <w:rsid w:val="009556E1"/>
    <w:rsid w:val="00956D99"/>
    <w:rsid w:val="00970324"/>
    <w:rsid w:val="0097407A"/>
    <w:rsid w:val="009816FC"/>
    <w:rsid w:val="0098368D"/>
    <w:rsid w:val="00983D8C"/>
    <w:rsid w:val="009864F5"/>
    <w:rsid w:val="0099373B"/>
    <w:rsid w:val="0099465D"/>
    <w:rsid w:val="009955D4"/>
    <w:rsid w:val="0099601A"/>
    <w:rsid w:val="00996CEC"/>
    <w:rsid w:val="009A0953"/>
    <w:rsid w:val="009A75E9"/>
    <w:rsid w:val="009B3BC3"/>
    <w:rsid w:val="009B6495"/>
    <w:rsid w:val="009C0F8E"/>
    <w:rsid w:val="009C3ED7"/>
    <w:rsid w:val="009C7368"/>
    <w:rsid w:val="009D4500"/>
    <w:rsid w:val="009D670A"/>
    <w:rsid w:val="009D6AC2"/>
    <w:rsid w:val="009E26BA"/>
    <w:rsid w:val="009E2A8F"/>
    <w:rsid w:val="009E60DE"/>
    <w:rsid w:val="009F11BA"/>
    <w:rsid w:val="009F1926"/>
    <w:rsid w:val="009F1CFA"/>
    <w:rsid w:val="009F240C"/>
    <w:rsid w:val="009F716A"/>
    <w:rsid w:val="009F764E"/>
    <w:rsid w:val="00A06E2F"/>
    <w:rsid w:val="00A103A0"/>
    <w:rsid w:val="00A1456F"/>
    <w:rsid w:val="00A1541C"/>
    <w:rsid w:val="00A15803"/>
    <w:rsid w:val="00A228CC"/>
    <w:rsid w:val="00A23867"/>
    <w:rsid w:val="00A33B14"/>
    <w:rsid w:val="00A37F66"/>
    <w:rsid w:val="00A40052"/>
    <w:rsid w:val="00A529DE"/>
    <w:rsid w:val="00A534BE"/>
    <w:rsid w:val="00A55AB1"/>
    <w:rsid w:val="00A60A9D"/>
    <w:rsid w:val="00A61D43"/>
    <w:rsid w:val="00A65F3F"/>
    <w:rsid w:val="00A66879"/>
    <w:rsid w:val="00A7571C"/>
    <w:rsid w:val="00A80DD4"/>
    <w:rsid w:val="00A832CA"/>
    <w:rsid w:val="00A8449B"/>
    <w:rsid w:val="00A91518"/>
    <w:rsid w:val="00A9200D"/>
    <w:rsid w:val="00A921AA"/>
    <w:rsid w:val="00A95B6E"/>
    <w:rsid w:val="00A97228"/>
    <w:rsid w:val="00AA2F38"/>
    <w:rsid w:val="00AA5668"/>
    <w:rsid w:val="00AA641C"/>
    <w:rsid w:val="00AA74C6"/>
    <w:rsid w:val="00AB2E89"/>
    <w:rsid w:val="00AB30DD"/>
    <w:rsid w:val="00AC1B4E"/>
    <w:rsid w:val="00AC244A"/>
    <w:rsid w:val="00AC5EAA"/>
    <w:rsid w:val="00AC698F"/>
    <w:rsid w:val="00AC7B2B"/>
    <w:rsid w:val="00AD025B"/>
    <w:rsid w:val="00AD3391"/>
    <w:rsid w:val="00AD57D1"/>
    <w:rsid w:val="00AE7A64"/>
    <w:rsid w:val="00AE7D0F"/>
    <w:rsid w:val="00AF123B"/>
    <w:rsid w:val="00AF1CF6"/>
    <w:rsid w:val="00AF579E"/>
    <w:rsid w:val="00AF6082"/>
    <w:rsid w:val="00AF6AAD"/>
    <w:rsid w:val="00AF7128"/>
    <w:rsid w:val="00B077DD"/>
    <w:rsid w:val="00B1019B"/>
    <w:rsid w:val="00B12180"/>
    <w:rsid w:val="00B17AE9"/>
    <w:rsid w:val="00B25645"/>
    <w:rsid w:val="00B32701"/>
    <w:rsid w:val="00B33773"/>
    <w:rsid w:val="00B34409"/>
    <w:rsid w:val="00B35F2D"/>
    <w:rsid w:val="00B36E65"/>
    <w:rsid w:val="00B37A3E"/>
    <w:rsid w:val="00B41601"/>
    <w:rsid w:val="00B44558"/>
    <w:rsid w:val="00B44B14"/>
    <w:rsid w:val="00B54390"/>
    <w:rsid w:val="00B6195A"/>
    <w:rsid w:val="00B649DC"/>
    <w:rsid w:val="00B64F2A"/>
    <w:rsid w:val="00B70580"/>
    <w:rsid w:val="00B746D2"/>
    <w:rsid w:val="00B87C96"/>
    <w:rsid w:val="00B90459"/>
    <w:rsid w:val="00B92426"/>
    <w:rsid w:val="00B92F8E"/>
    <w:rsid w:val="00B93FA4"/>
    <w:rsid w:val="00B9544B"/>
    <w:rsid w:val="00B954E8"/>
    <w:rsid w:val="00B973D7"/>
    <w:rsid w:val="00BA06F7"/>
    <w:rsid w:val="00BA19E6"/>
    <w:rsid w:val="00BA3E56"/>
    <w:rsid w:val="00BA597E"/>
    <w:rsid w:val="00BB5BBE"/>
    <w:rsid w:val="00BB76F9"/>
    <w:rsid w:val="00BC0FD5"/>
    <w:rsid w:val="00BC5680"/>
    <w:rsid w:val="00BD28EB"/>
    <w:rsid w:val="00BD7571"/>
    <w:rsid w:val="00BE2D60"/>
    <w:rsid w:val="00BE2F2A"/>
    <w:rsid w:val="00BE6B77"/>
    <w:rsid w:val="00BE7FDA"/>
    <w:rsid w:val="00BF260B"/>
    <w:rsid w:val="00BF48BB"/>
    <w:rsid w:val="00C011FD"/>
    <w:rsid w:val="00C07B86"/>
    <w:rsid w:val="00C115E0"/>
    <w:rsid w:val="00C135D1"/>
    <w:rsid w:val="00C13B40"/>
    <w:rsid w:val="00C145EA"/>
    <w:rsid w:val="00C178DE"/>
    <w:rsid w:val="00C21621"/>
    <w:rsid w:val="00C23E7A"/>
    <w:rsid w:val="00C31252"/>
    <w:rsid w:val="00C314DC"/>
    <w:rsid w:val="00C450A6"/>
    <w:rsid w:val="00C606F8"/>
    <w:rsid w:val="00C644B5"/>
    <w:rsid w:val="00C6606C"/>
    <w:rsid w:val="00C74963"/>
    <w:rsid w:val="00C76C07"/>
    <w:rsid w:val="00C81278"/>
    <w:rsid w:val="00C82546"/>
    <w:rsid w:val="00C84A7E"/>
    <w:rsid w:val="00C85E90"/>
    <w:rsid w:val="00C93B11"/>
    <w:rsid w:val="00C97DE9"/>
    <w:rsid w:val="00CA1026"/>
    <w:rsid w:val="00CA3549"/>
    <w:rsid w:val="00CA36E5"/>
    <w:rsid w:val="00CB1667"/>
    <w:rsid w:val="00CB2315"/>
    <w:rsid w:val="00CB59CA"/>
    <w:rsid w:val="00CB7944"/>
    <w:rsid w:val="00CC488E"/>
    <w:rsid w:val="00CD7834"/>
    <w:rsid w:val="00CE0A9B"/>
    <w:rsid w:val="00CE3048"/>
    <w:rsid w:val="00CE41DF"/>
    <w:rsid w:val="00CF5E04"/>
    <w:rsid w:val="00CF6361"/>
    <w:rsid w:val="00CF6F13"/>
    <w:rsid w:val="00CF7FF5"/>
    <w:rsid w:val="00D03F7F"/>
    <w:rsid w:val="00D04ACA"/>
    <w:rsid w:val="00D05177"/>
    <w:rsid w:val="00D05253"/>
    <w:rsid w:val="00D068EA"/>
    <w:rsid w:val="00D1386E"/>
    <w:rsid w:val="00D13CD1"/>
    <w:rsid w:val="00D15883"/>
    <w:rsid w:val="00D17A3E"/>
    <w:rsid w:val="00D2209D"/>
    <w:rsid w:val="00D25F20"/>
    <w:rsid w:val="00D27351"/>
    <w:rsid w:val="00D35492"/>
    <w:rsid w:val="00D4126A"/>
    <w:rsid w:val="00D412D4"/>
    <w:rsid w:val="00D51EF1"/>
    <w:rsid w:val="00D60F8E"/>
    <w:rsid w:val="00D675F6"/>
    <w:rsid w:val="00D67FE8"/>
    <w:rsid w:val="00D7580B"/>
    <w:rsid w:val="00D7608D"/>
    <w:rsid w:val="00D84E73"/>
    <w:rsid w:val="00D91E01"/>
    <w:rsid w:val="00D922A3"/>
    <w:rsid w:val="00D9437D"/>
    <w:rsid w:val="00D97286"/>
    <w:rsid w:val="00D977F3"/>
    <w:rsid w:val="00DA56EF"/>
    <w:rsid w:val="00DA6C6A"/>
    <w:rsid w:val="00DA6D38"/>
    <w:rsid w:val="00DB2779"/>
    <w:rsid w:val="00DB40C3"/>
    <w:rsid w:val="00DB5493"/>
    <w:rsid w:val="00DB5654"/>
    <w:rsid w:val="00DB56F5"/>
    <w:rsid w:val="00DC3979"/>
    <w:rsid w:val="00DC4A09"/>
    <w:rsid w:val="00DC6223"/>
    <w:rsid w:val="00DC6D4F"/>
    <w:rsid w:val="00DC78F3"/>
    <w:rsid w:val="00DD08B3"/>
    <w:rsid w:val="00DD6B48"/>
    <w:rsid w:val="00DD79DD"/>
    <w:rsid w:val="00DE3910"/>
    <w:rsid w:val="00DE67B9"/>
    <w:rsid w:val="00DE6DC1"/>
    <w:rsid w:val="00DF0FA1"/>
    <w:rsid w:val="00DF456B"/>
    <w:rsid w:val="00DF7153"/>
    <w:rsid w:val="00E00B0A"/>
    <w:rsid w:val="00E015DE"/>
    <w:rsid w:val="00E0661D"/>
    <w:rsid w:val="00E12636"/>
    <w:rsid w:val="00E14BC3"/>
    <w:rsid w:val="00E20334"/>
    <w:rsid w:val="00E26721"/>
    <w:rsid w:val="00E27747"/>
    <w:rsid w:val="00E32047"/>
    <w:rsid w:val="00E47953"/>
    <w:rsid w:val="00E50E1C"/>
    <w:rsid w:val="00E567BD"/>
    <w:rsid w:val="00E62556"/>
    <w:rsid w:val="00E63CF8"/>
    <w:rsid w:val="00E72997"/>
    <w:rsid w:val="00E81DE6"/>
    <w:rsid w:val="00E83B2C"/>
    <w:rsid w:val="00E83DBC"/>
    <w:rsid w:val="00E84E57"/>
    <w:rsid w:val="00E86F07"/>
    <w:rsid w:val="00E870E6"/>
    <w:rsid w:val="00E948AD"/>
    <w:rsid w:val="00E96C27"/>
    <w:rsid w:val="00EA017D"/>
    <w:rsid w:val="00EA36BD"/>
    <w:rsid w:val="00EB1A5C"/>
    <w:rsid w:val="00EB3419"/>
    <w:rsid w:val="00EB422E"/>
    <w:rsid w:val="00EB603A"/>
    <w:rsid w:val="00EC050A"/>
    <w:rsid w:val="00EC39C8"/>
    <w:rsid w:val="00EC4F9D"/>
    <w:rsid w:val="00EC778D"/>
    <w:rsid w:val="00EF0E08"/>
    <w:rsid w:val="00EF1CA7"/>
    <w:rsid w:val="00EF3143"/>
    <w:rsid w:val="00EF5F62"/>
    <w:rsid w:val="00EF6A1C"/>
    <w:rsid w:val="00F05780"/>
    <w:rsid w:val="00F07CC4"/>
    <w:rsid w:val="00F14C69"/>
    <w:rsid w:val="00F1697C"/>
    <w:rsid w:val="00F16B70"/>
    <w:rsid w:val="00F21B80"/>
    <w:rsid w:val="00F22775"/>
    <w:rsid w:val="00F27001"/>
    <w:rsid w:val="00F272E5"/>
    <w:rsid w:val="00F377F7"/>
    <w:rsid w:val="00F37A48"/>
    <w:rsid w:val="00F43BBB"/>
    <w:rsid w:val="00F47724"/>
    <w:rsid w:val="00F50F63"/>
    <w:rsid w:val="00F512D0"/>
    <w:rsid w:val="00F53AA6"/>
    <w:rsid w:val="00F64C23"/>
    <w:rsid w:val="00F7121A"/>
    <w:rsid w:val="00F72E73"/>
    <w:rsid w:val="00F75635"/>
    <w:rsid w:val="00F77086"/>
    <w:rsid w:val="00F812DB"/>
    <w:rsid w:val="00F933C7"/>
    <w:rsid w:val="00F941AA"/>
    <w:rsid w:val="00F96901"/>
    <w:rsid w:val="00FA1A08"/>
    <w:rsid w:val="00FA28A9"/>
    <w:rsid w:val="00FA72BE"/>
    <w:rsid w:val="00FB01E8"/>
    <w:rsid w:val="00FC24D0"/>
    <w:rsid w:val="00FC6FE8"/>
    <w:rsid w:val="00FD0237"/>
    <w:rsid w:val="00FD0725"/>
    <w:rsid w:val="00FD0867"/>
    <w:rsid w:val="00FD0956"/>
    <w:rsid w:val="00FD4959"/>
    <w:rsid w:val="00FD49A5"/>
    <w:rsid w:val="00FD56BB"/>
    <w:rsid w:val="00FD6BDE"/>
    <w:rsid w:val="00FE3D1E"/>
    <w:rsid w:val="00FE625C"/>
    <w:rsid w:val="00FF41B0"/>
    <w:rsid w:val="00FF43E8"/>
    <w:rsid w:val="00FF5BDB"/>
    <w:rsid w:val="00FF5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253"/>
    <w:pPr>
      <w:widowControl w:val="0"/>
      <w:jc w:val="both"/>
    </w:pPr>
    <w:rPr>
      <w:rFonts w:ascii="Arial" w:eastAsia="宋体" w:hAnsi="Arial" w:cs="Times New Roman"/>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1AE3"/>
    <w:pPr>
      <w:pBdr>
        <w:bottom w:val="single" w:sz="6" w:space="1" w:color="auto"/>
      </w:pBdr>
      <w:tabs>
        <w:tab w:val="center" w:pos="4153"/>
        <w:tab w:val="right" w:pos="8306"/>
      </w:tabs>
      <w:snapToGrid w:val="0"/>
      <w:jc w:val="center"/>
    </w:pPr>
    <w:rPr>
      <w:szCs w:val="18"/>
    </w:rPr>
  </w:style>
  <w:style w:type="character" w:customStyle="1" w:styleId="Char">
    <w:name w:val="页眉 Char"/>
    <w:link w:val="a3"/>
    <w:uiPriority w:val="99"/>
    <w:rsid w:val="002D1AE3"/>
    <w:rPr>
      <w:rFonts w:ascii="Arial" w:eastAsia="楷体_GB2312" w:hAnsi="Arial" w:cs="Times New Roman"/>
      <w:sz w:val="18"/>
      <w:szCs w:val="18"/>
    </w:rPr>
  </w:style>
  <w:style w:type="paragraph" w:styleId="a4">
    <w:name w:val="footer"/>
    <w:basedOn w:val="a"/>
    <w:link w:val="Char0"/>
    <w:uiPriority w:val="99"/>
    <w:unhideWhenUsed/>
    <w:rsid w:val="002D1AE3"/>
    <w:pPr>
      <w:tabs>
        <w:tab w:val="center" w:pos="4153"/>
        <w:tab w:val="right" w:pos="8306"/>
      </w:tabs>
      <w:snapToGrid w:val="0"/>
      <w:jc w:val="left"/>
    </w:pPr>
    <w:rPr>
      <w:szCs w:val="18"/>
    </w:rPr>
  </w:style>
  <w:style w:type="character" w:customStyle="1" w:styleId="Char0">
    <w:name w:val="页脚 Char"/>
    <w:link w:val="a4"/>
    <w:uiPriority w:val="99"/>
    <w:rsid w:val="002D1AE3"/>
    <w:rPr>
      <w:rFonts w:ascii="Arial" w:eastAsia="楷体_GB2312" w:hAnsi="Arial" w:cs="Times New Roman"/>
      <w:sz w:val="18"/>
      <w:szCs w:val="18"/>
    </w:rPr>
  </w:style>
  <w:style w:type="paragraph" w:styleId="a5">
    <w:name w:val="Balloon Text"/>
    <w:basedOn w:val="a"/>
    <w:link w:val="Char1"/>
    <w:uiPriority w:val="99"/>
    <w:semiHidden/>
    <w:unhideWhenUsed/>
    <w:rsid w:val="00F7121A"/>
    <w:rPr>
      <w:szCs w:val="18"/>
    </w:rPr>
  </w:style>
  <w:style w:type="character" w:customStyle="1" w:styleId="Char1">
    <w:name w:val="批注框文本 Char"/>
    <w:basedOn w:val="a0"/>
    <w:link w:val="a5"/>
    <w:uiPriority w:val="99"/>
    <w:semiHidden/>
    <w:rsid w:val="00F7121A"/>
    <w:rPr>
      <w:sz w:val="18"/>
      <w:szCs w:val="18"/>
    </w:rPr>
  </w:style>
  <w:style w:type="table" w:styleId="a6">
    <w:name w:val="Table Grid"/>
    <w:basedOn w:val="a1"/>
    <w:uiPriority w:val="59"/>
    <w:rsid w:val="00D05253"/>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9B3BC3"/>
    <w:pPr>
      <w:ind w:firstLineChars="200" w:firstLine="420"/>
    </w:pPr>
  </w:style>
  <w:style w:type="paragraph" w:styleId="1">
    <w:name w:val="toc 1"/>
    <w:basedOn w:val="a"/>
    <w:next w:val="a"/>
    <w:autoRedefine/>
    <w:uiPriority w:val="39"/>
    <w:unhideWhenUsed/>
    <w:rsid w:val="008A48A4"/>
    <w:pPr>
      <w:tabs>
        <w:tab w:val="right" w:leader="dot" w:pos="10536"/>
      </w:tabs>
      <w:spacing w:line="320" w:lineRule="exact"/>
      <w:ind w:leftChars="1000" w:left="1000"/>
    </w:pPr>
    <w:rPr>
      <w:b/>
    </w:rPr>
  </w:style>
  <w:style w:type="paragraph" w:styleId="2">
    <w:name w:val="toc 2"/>
    <w:basedOn w:val="a"/>
    <w:next w:val="a"/>
    <w:autoRedefine/>
    <w:uiPriority w:val="39"/>
    <w:unhideWhenUsed/>
    <w:rsid w:val="008A48A4"/>
    <w:pPr>
      <w:spacing w:line="320" w:lineRule="exact"/>
      <w:ind w:leftChars="1200" w:left="1200"/>
    </w:pPr>
  </w:style>
  <w:style w:type="character" w:styleId="a8">
    <w:name w:val="Hyperlink"/>
    <w:basedOn w:val="a0"/>
    <w:uiPriority w:val="99"/>
    <w:unhideWhenUsed/>
    <w:rsid w:val="001071BB"/>
    <w:rPr>
      <w:color w:val="0000FF" w:themeColor="hyperlink"/>
      <w:u w:val="single"/>
    </w:rPr>
  </w:style>
  <w:style w:type="paragraph" w:styleId="a9">
    <w:name w:val="table of figures"/>
    <w:basedOn w:val="a"/>
    <w:next w:val="a"/>
    <w:uiPriority w:val="99"/>
    <w:unhideWhenUsed/>
    <w:rsid w:val="008A48A4"/>
    <w:pPr>
      <w:spacing w:line="320" w:lineRule="exact"/>
      <w:ind w:leftChars="1000" w:left="1200" w:hangingChars="200" w:hanging="200"/>
    </w:pPr>
  </w:style>
  <w:style w:type="paragraph" w:customStyle="1" w:styleId="SideComments">
    <w:name w:val="SideComments"/>
    <w:rsid w:val="00D05253"/>
    <w:pPr>
      <w:spacing w:line="200" w:lineRule="atLeast"/>
      <w:ind w:firstLineChars="200" w:firstLine="200"/>
      <w:jc w:val="both"/>
    </w:pPr>
    <w:rPr>
      <w:rFonts w:ascii="Arial" w:eastAsia="微软雅黑" w:hAnsi="Arial" w:cs="Times New Roman"/>
      <w:b/>
      <w:color w:val="000000"/>
      <w:sz w:val="18"/>
    </w:rPr>
  </w:style>
  <w:style w:type="paragraph" w:customStyle="1" w:styleId="GJStylesSummaryTitle">
    <w:name w:val="GJ_Styles_Summary_Title"/>
    <w:qFormat/>
    <w:rsid w:val="002D1AE3"/>
    <w:pPr>
      <w:spacing w:afterLines="50"/>
      <w:jc w:val="both"/>
    </w:pPr>
    <w:rPr>
      <w:rFonts w:ascii="Arial" w:eastAsia="楷体_GB2312" w:hAnsi="Arial" w:cs="Times New Roman"/>
      <w:b/>
      <w:color w:val="000000"/>
      <w:sz w:val="24"/>
    </w:rPr>
  </w:style>
  <w:style w:type="paragraph" w:customStyle="1" w:styleId="GJStylesSummaryContent">
    <w:name w:val="GJ_Styles_Summary_Content"/>
    <w:qFormat/>
    <w:rsid w:val="002D1AE3"/>
    <w:pPr>
      <w:numPr>
        <w:numId w:val="3"/>
      </w:numPr>
      <w:spacing w:afterLines="50" w:line="240" w:lineRule="exact"/>
      <w:jc w:val="both"/>
    </w:pPr>
    <w:rPr>
      <w:rFonts w:ascii="Arial" w:eastAsia="楷体_GB2312" w:hAnsi="Arial" w:cs="Times New Roman"/>
      <w:color w:val="000000"/>
    </w:rPr>
  </w:style>
  <w:style w:type="paragraph" w:customStyle="1" w:styleId="GJStylesSummarySubContent">
    <w:name w:val="GJ_Styles_Summary_SubContent"/>
    <w:qFormat/>
    <w:rsid w:val="002D1AE3"/>
    <w:pPr>
      <w:numPr>
        <w:ilvl w:val="1"/>
        <w:numId w:val="3"/>
      </w:numPr>
      <w:spacing w:after="156"/>
      <w:jc w:val="both"/>
    </w:pPr>
    <w:rPr>
      <w:rFonts w:ascii="Arial" w:eastAsia="楷体_GB2312" w:hAnsi="Arial" w:cs="Times New Roman"/>
      <w:color w:val="000000"/>
    </w:rPr>
  </w:style>
  <w:style w:type="paragraph" w:customStyle="1" w:styleId="GJStylesSummaryContentNoMark">
    <w:name w:val="GJ_Styles_Summary_Content_NoMark"/>
    <w:qFormat/>
    <w:rsid w:val="002D1AE3"/>
    <w:pPr>
      <w:spacing w:afterLines="50" w:line="240" w:lineRule="exact"/>
      <w:jc w:val="both"/>
    </w:pPr>
    <w:rPr>
      <w:rFonts w:ascii="Arial" w:eastAsia="楷体_GB2312" w:hAnsi="Arial" w:cs="Times New Roman"/>
      <w:color w:val="000000"/>
    </w:rPr>
  </w:style>
  <w:style w:type="numbering" w:customStyle="1" w:styleId="GJStylesSummaryContentMark">
    <w:name w:val="GJ_Styles_Summary_Content_Mark"/>
    <w:uiPriority w:val="99"/>
    <w:rsid w:val="002D1AE3"/>
    <w:pPr>
      <w:numPr>
        <w:numId w:val="2"/>
      </w:numPr>
    </w:pPr>
  </w:style>
  <w:style w:type="paragraph" w:customStyle="1" w:styleId="GJStylesContentFirTitle">
    <w:name w:val="GJ_Styles_Content_FirTitle"/>
    <w:qFormat/>
    <w:rsid w:val="002D1AE3"/>
    <w:pPr>
      <w:spacing w:after="240" w:line="300" w:lineRule="exact"/>
      <w:ind w:left="3402"/>
      <w:jc w:val="both"/>
      <w:outlineLvl w:val="0"/>
    </w:pPr>
    <w:rPr>
      <w:rFonts w:ascii="Arial" w:eastAsia="楷体_GB2312" w:hAnsi="Arial" w:cs="Times New Roman"/>
      <w:b/>
      <w:sz w:val="24"/>
    </w:rPr>
  </w:style>
  <w:style w:type="paragraph" w:customStyle="1" w:styleId="GJStylesContentSecTitle">
    <w:name w:val="GJ_Styles_Content_SecTitle"/>
    <w:qFormat/>
    <w:rsid w:val="002D1AE3"/>
    <w:pPr>
      <w:spacing w:after="120" w:line="240" w:lineRule="exact"/>
      <w:ind w:left="3402"/>
      <w:jc w:val="both"/>
      <w:outlineLvl w:val="1"/>
    </w:pPr>
    <w:rPr>
      <w:rFonts w:ascii="Arial" w:eastAsia="楷体_GB2312" w:hAnsi="Arial" w:cs="Times New Roman"/>
      <w:b/>
    </w:rPr>
  </w:style>
  <w:style w:type="paragraph" w:customStyle="1" w:styleId="GJStylesContentThirdTitle">
    <w:name w:val="GJ_Styles_Content_ThirdTitle"/>
    <w:qFormat/>
    <w:rsid w:val="002D1AE3"/>
    <w:pPr>
      <w:tabs>
        <w:tab w:val="num" w:pos="3430"/>
      </w:tabs>
      <w:spacing w:after="120" w:line="240" w:lineRule="exact"/>
      <w:ind w:left="3799" w:hanging="369"/>
      <w:jc w:val="both"/>
    </w:pPr>
    <w:rPr>
      <w:rFonts w:ascii="Arial" w:eastAsia="楷体_GB2312" w:hAnsi="Arial" w:cs="Times New Roman"/>
    </w:rPr>
  </w:style>
  <w:style w:type="paragraph" w:customStyle="1" w:styleId="GJStylesContentFourTitle">
    <w:name w:val="GJ_Styles_Content_FourTitle"/>
    <w:qFormat/>
    <w:rsid w:val="002D1AE3"/>
    <w:pPr>
      <w:spacing w:after="120" w:line="240" w:lineRule="exact"/>
      <w:ind w:left="4190" w:hanging="419"/>
      <w:jc w:val="both"/>
    </w:pPr>
    <w:rPr>
      <w:rFonts w:ascii="Arial" w:eastAsia="楷体_GB2312" w:hAnsi="Arial" w:cs="Times New Roman"/>
    </w:rPr>
  </w:style>
  <w:style w:type="paragraph" w:customStyle="1" w:styleId="GJStylesContentContent">
    <w:name w:val="GJ_Styles_Content_Content"/>
    <w:qFormat/>
    <w:rsid w:val="002D1AE3"/>
    <w:pPr>
      <w:spacing w:after="120" w:line="240" w:lineRule="exact"/>
      <w:ind w:left="3402" w:firstLineChars="200" w:firstLine="200"/>
      <w:jc w:val="both"/>
    </w:pPr>
    <w:rPr>
      <w:rFonts w:ascii="Arial" w:eastAsia="楷体_GB2312" w:hAnsi="Arial" w:cs="Times New Roman"/>
    </w:rPr>
  </w:style>
  <w:style w:type="paragraph" w:customStyle="1" w:styleId="GJStylesGraphTitle">
    <w:name w:val="GJ_Styles_Graph_Title"/>
    <w:qFormat/>
    <w:rsid w:val="002D1AE3"/>
    <w:pPr>
      <w:keepNext/>
      <w:suppressAutoHyphens/>
      <w:spacing w:after="40" w:line="240" w:lineRule="atLeast"/>
      <w:jc w:val="both"/>
    </w:pPr>
    <w:rPr>
      <w:rFonts w:ascii="Arial" w:eastAsia="楷体_GB2312" w:hAnsi="Arial" w:cs="Times New Roman"/>
      <w:b/>
      <w:i/>
      <w:color w:val="000000"/>
    </w:rPr>
  </w:style>
  <w:style w:type="paragraph" w:customStyle="1" w:styleId="GJStylesGraphSource">
    <w:name w:val="GJ_Styles_Graph_Source"/>
    <w:qFormat/>
    <w:rsid w:val="002D1AE3"/>
    <w:pPr>
      <w:spacing w:before="40" w:after="160"/>
      <w:jc w:val="both"/>
    </w:pPr>
    <w:rPr>
      <w:rFonts w:ascii="Arial" w:eastAsia="楷体_GB2312" w:hAnsi="Arial" w:cs="Times New Roman"/>
      <w:color w:val="000000"/>
      <w:sz w:val="15"/>
    </w:rPr>
  </w:style>
  <w:style w:type="numbering" w:customStyle="1" w:styleId="GJStylesContentMark">
    <w:name w:val="GJ_Styles_Content_Mark"/>
    <w:uiPriority w:val="99"/>
    <w:rsid w:val="00D05253"/>
    <w:pPr>
      <w:numPr>
        <w:numId w:val="4"/>
      </w:numPr>
    </w:pPr>
  </w:style>
  <w:style w:type="paragraph" w:customStyle="1" w:styleId="GJStylesContentFirTitleWide">
    <w:name w:val="GJ_Styles_Content_FirTitle_Wide"/>
    <w:qFormat/>
    <w:rsid w:val="002D1AE3"/>
    <w:pPr>
      <w:spacing w:after="240" w:line="300" w:lineRule="exact"/>
      <w:jc w:val="both"/>
      <w:outlineLvl w:val="0"/>
    </w:pPr>
    <w:rPr>
      <w:rFonts w:ascii="Arial" w:eastAsia="楷体_GB2312" w:hAnsi="Arial" w:cs="Times New Roman"/>
      <w:b/>
      <w:sz w:val="24"/>
    </w:rPr>
  </w:style>
  <w:style w:type="paragraph" w:customStyle="1" w:styleId="GJStylesContentSecTitleWide">
    <w:name w:val="GJ_Styles_Content_SecTitle_Wide"/>
    <w:qFormat/>
    <w:rsid w:val="002D1AE3"/>
    <w:pPr>
      <w:spacing w:after="120" w:line="240" w:lineRule="exact"/>
      <w:jc w:val="both"/>
      <w:outlineLvl w:val="1"/>
    </w:pPr>
    <w:rPr>
      <w:rFonts w:ascii="Arial" w:eastAsia="楷体_GB2312" w:hAnsi="Arial" w:cs="Times New Roman"/>
      <w:b/>
    </w:rPr>
  </w:style>
  <w:style w:type="paragraph" w:customStyle="1" w:styleId="GJStylesContentThirdTitleWide">
    <w:name w:val="GJ_Styles_Content_ThirdTitle_Wide"/>
    <w:qFormat/>
    <w:rsid w:val="002D1AE3"/>
    <w:pPr>
      <w:tabs>
        <w:tab w:val="num" w:pos="3430"/>
      </w:tabs>
      <w:spacing w:after="120" w:line="240" w:lineRule="exact"/>
      <w:ind w:left="3799" w:hanging="369"/>
      <w:jc w:val="both"/>
    </w:pPr>
    <w:rPr>
      <w:rFonts w:ascii="Arial" w:eastAsia="楷体_GB2312" w:hAnsi="Arial" w:cs="Times New Roman"/>
    </w:rPr>
  </w:style>
  <w:style w:type="paragraph" w:customStyle="1" w:styleId="GJStylesContentFourTitleWide">
    <w:name w:val="GJ_Styles_Content_FourTitle_Wide"/>
    <w:qFormat/>
    <w:rsid w:val="002D1AE3"/>
    <w:pPr>
      <w:spacing w:after="120" w:line="240" w:lineRule="exact"/>
      <w:ind w:left="4190" w:hanging="419"/>
      <w:jc w:val="both"/>
    </w:pPr>
    <w:rPr>
      <w:rFonts w:ascii="Arial" w:eastAsia="楷体_GB2312" w:hAnsi="Arial" w:cs="Times New Roman"/>
    </w:rPr>
  </w:style>
  <w:style w:type="paragraph" w:customStyle="1" w:styleId="GJStylesContentContentWide">
    <w:name w:val="GJ_Styles_Content_Content_Wide"/>
    <w:qFormat/>
    <w:rsid w:val="002D1AE3"/>
    <w:pPr>
      <w:spacing w:after="120" w:line="240" w:lineRule="exact"/>
      <w:ind w:firstLineChars="200" w:firstLine="200"/>
      <w:jc w:val="both"/>
    </w:pPr>
    <w:rPr>
      <w:rFonts w:ascii="Arial" w:eastAsia="楷体_GB2312" w:hAnsi="Arial" w:cs="Times New Roman"/>
    </w:rPr>
  </w:style>
  <w:style w:type="paragraph" w:customStyle="1" w:styleId="GJReportFirPageRelaReports">
    <w:name w:val="GJ_Report_FirPage_RelaReports"/>
    <w:qFormat/>
    <w:rsid w:val="002D1AE3"/>
    <w:pPr>
      <w:jc w:val="both"/>
    </w:pPr>
    <w:rPr>
      <w:rFonts w:ascii="Arial" w:eastAsia="楷体_GB2312" w:hAnsi="Arial" w:cs="Times New Roman"/>
      <w:sz w:val="18"/>
    </w:rPr>
  </w:style>
  <w:style w:type="paragraph" w:customStyle="1" w:styleId="GJReportFirPageAuthorName">
    <w:name w:val="GJ_Report_FirPage_Author_Name"/>
    <w:qFormat/>
    <w:rsid w:val="002D1AE3"/>
    <w:pPr>
      <w:jc w:val="both"/>
    </w:pPr>
    <w:rPr>
      <w:rFonts w:ascii="Arial" w:eastAsia="楷体_GB2312" w:hAnsi="Arial" w:cs="Times New Roman"/>
      <w:b/>
    </w:rPr>
  </w:style>
  <w:style w:type="paragraph" w:customStyle="1" w:styleId="GJReportFirPageAuthorEmail">
    <w:name w:val="GJ_Report_FirPage_Author_Email"/>
    <w:qFormat/>
    <w:rsid w:val="002D1AE3"/>
    <w:pPr>
      <w:jc w:val="both"/>
    </w:pPr>
    <w:rPr>
      <w:rFonts w:ascii="Arial" w:eastAsia="楷体_GB2312" w:hAnsi="Arial" w:cs="Times New Roman"/>
      <w:b/>
      <w:sz w:val="13"/>
    </w:rPr>
  </w:style>
  <w:style w:type="paragraph" w:customStyle="1" w:styleId="GJStylesTableTitleSuo">
    <w:name w:val="GJ_Styles_Table_Title_Suo"/>
    <w:qFormat/>
    <w:rsid w:val="002D1AE3"/>
    <w:pPr>
      <w:keepNext/>
      <w:pBdr>
        <w:top w:val="single" w:sz="4" w:space="1" w:color="00A0E9"/>
      </w:pBdr>
      <w:suppressAutoHyphens/>
      <w:spacing w:after="40" w:line="240" w:lineRule="atLeast"/>
      <w:ind w:left="3402"/>
      <w:jc w:val="both"/>
    </w:pPr>
    <w:rPr>
      <w:rFonts w:ascii="Arial" w:eastAsia="楷体_GB2312" w:hAnsi="Arial" w:cs="Times New Roman"/>
      <w:b/>
      <w:i/>
      <w:color w:val="000000"/>
    </w:rPr>
  </w:style>
  <w:style w:type="paragraph" w:customStyle="1" w:styleId="GJStylesTableSourceSuo">
    <w:name w:val="GJ_Styles_Table_Source_Suo"/>
    <w:qFormat/>
    <w:rsid w:val="002D1AE3"/>
    <w:pPr>
      <w:spacing w:before="40" w:after="160"/>
      <w:ind w:left="3402"/>
      <w:jc w:val="both"/>
    </w:pPr>
    <w:rPr>
      <w:rFonts w:ascii="Arial" w:eastAsia="楷体_GB2312" w:hAnsi="Arial" w:cs="Times New Roman"/>
      <w:color w:val="000000"/>
      <w:sz w:val="15"/>
    </w:rPr>
  </w:style>
  <w:style w:type="numbering" w:customStyle="1" w:styleId="GJStylesContentMarkWide">
    <w:name w:val="GJ_Styles_Content_Mark_Wide"/>
    <w:uiPriority w:val="99"/>
    <w:rsid w:val="00D05253"/>
    <w:pPr>
      <w:numPr>
        <w:numId w:val="6"/>
      </w:numPr>
    </w:pPr>
  </w:style>
  <w:style w:type="table" w:customStyle="1" w:styleId="GJStylesChartInsertSingleCol">
    <w:name w:val="GJ_Styles_Chart_InsertSingleCol"/>
    <w:basedOn w:val="a1"/>
    <w:uiPriority w:val="99"/>
    <w:qFormat/>
    <w:rsid w:val="002D1AE3"/>
    <w:rPr>
      <w:rFonts w:ascii="Calibri" w:eastAsia="宋体" w:hAnsi="Calibri" w:cs="Times New Roman"/>
      <w:kern w:val="0"/>
      <w:sz w:val="20"/>
      <w:szCs w:val="20"/>
    </w:rPr>
    <w:tblPr>
      <w:tblInd w:w="0" w:type="dxa"/>
      <w:tblBorders>
        <w:top w:val="single" w:sz="4" w:space="0" w:color="00A0E9"/>
        <w:insideH w:val="single" w:sz="4" w:space="0" w:color="00A0E9"/>
      </w:tblBorders>
      <w:tblCellMar>
        <w:top w:w="0" w:type="dxa"/>
        <w:left w:w="108" w:type="dxa"/>
        <w:bottom w:w="0" w:type="dxa"/>
        <w:right w:w="108" w:type="dxa"/>
      </w:tblCellMar>
    </w:tblPr>
    <w:tcPr>
      <w:tcMar>
        <w:left w:w="0" w:type="dxa"/>
        <w:right w:w="0" w:type="dxa"/>
      </w:tcMar>
    </w:tcPr>
    <w:tblStylePr w:type="firstRow">
      <w:pPr>
        <w:wordWrap/>
        <w:jc w:val="left"/>
      </w:pPr>
    </w:tblStylePr>
    <w:tblStylePr w:type="lastRow">
      <w:pPr>
        <w:wordWrap/>
        <w:jc w:val="left"/>
      </w:pPr>
    </w:tblStylePr>
  </w:style>
  <w:style w:type="table" w:customStyle="1" w:styleId="GJStylesChartInsertDoubleCol">
    <w:name w:val="GJ_Styles_Chart_InsertDoubleCol"/>
    <w:basedOn w:val="a1"/>
    <w:uiPriority w:val="99"/>
    <w:qFormat/>
    <w:rsid w:val="002D1AE3"/>
    <w:rPr>
      <w:rFonts w:ascii="Calibri" w:eastAsia="宋体" w:hAnsi="Calibri" w:cs="Times New Roman"/>
      <w:kern w:val="0"/>
      <w:sz w:val="20"/>
      <w:szCs w:val="20"/>
    </w:rPr>
    <w:tblPr>
      <w:tblInd w:w="0" w:type="dxa"/>
      <w:tblCellMar>
        <w:top w:w="0" w:type="dxa"/>
        <w:left w:w="108" w:type="dxa"/>
        <w:bottom w:w="0" w:type="dxa"/>
        <w:right w:w="108" w:type="dxa"/>
      </w:tblCellMar>
    </w:tblPr>
    <w:tcPr>
      <w:tcMar>
        <w:left w:w="0" w:type="dxa"/>
        <w:right w:w="0" w:type="dxa"/>
      </w:tcMar>
    </w:tcPr>
    <w:tblStylePr w:type="firstCol">
      <w:tblPr/>
      <w:tcPr>
        <w:tcBorders>
          <w:top w:val="single" w:sz="4" w:space="0" w:color="00A0E9"/>
          <w:insideH w:val="single" w:sz="4" w:space="0" w:color="00A0E9"/>
        </w:tcBorders>
      </w:tcPr>
    </w:tblStylePr>
    <w:tblStylePr w:type="lastCol">
      <w:tblPr/>
      <w:tcPr>
        <w:tcBorders>
          <w:top w:val="single" w:sz="4" w:space="0" w:color="00A0E9"/>
          <w:insideH w:val="single" w:sz="4" w:space="0" w:color="00A0E9"/>
        </w:tcBorders>
      </w:tcPr>
    </w:tblStylePr>
  </w:style>
  <w:style w:type="paragraph" w:customStyle="1" w:styleId="GJStylesTableTitle">
    <w:name w:val="GJ_Styles_Table_Title"/>
    <w:qFormat/>
    <w:rsid w:val="002D1AE3"/>
    <w:pPr>
      <w:keepNext/>
      <w:pBdr>
        <w:top w:val="single" w:sz="4" w:space="1" w:color="00A0E9"/>
      </w:pBdr>
      <w:suppressAutoHyphens/>
      <w:spacing w:after="40" w:line="240" w:lineRule="atLeast"/>
      <w:jc w:val="both"/>
    </w:pPr>
    <w:rPr>
      <w:rFonts w:ascii="Arial" w:eastAsia="楷体_GB2312" w:hAnsi="Arial" w:cs="Times New Roman"/>
      <w:b/>
      <w:i/>
      <w:color w:val="000000"/>
    </w:rPr>
  </w:style>
  <w:style w:type="table" w:customStyle="1" w:styleId="GJStylesTableDefalutStyle">
    <w:name w:val="GJ_Styles_Table_DefalutStyle"/>
    <w:basedOn w:val="a1"/>
    <w:uiPriority w:val="99"/>
    <w:qFormat/>
    <w:rsid w:val="002D1AE3"/>
    <w:rPr>
      <w:rFonts w:ascii="Arial" w:eastAsia="楷体_GB2312" w:hAnsi="Arial" w:cs="Times New Roman"/>
      <w:color w:val="000000"/>
      <w:kern w:val="0"/>
      <w:sz w:val="18"/>
      <w:szCs w:val="20"/>
    </w:rPr>
    <w:tblPr>
      <w:tblInd w:w="0" w:type="dxa"/>
      <w:tblBorders>
        <w:top w:val="single" w:sz="4" w:space="0" w:color="00A0E9"/>
        <w:bottom w:val="single" w:sz="4" w:space="0" w:color="00A0E9"/>
      </w:tblBorders>
      <w:tblCellMar>
        <w:top w:w="0" w:type="dxa"/>
        <w:left w:w="108" w:type="dxa"/>
        <w:bottom w:w="0" w:type="dxa"/>
        <w:right w:w="108" w:type="dxa"/>
      </w:tblCellMar>
    </w:tblPr>
    <w:tblStylePr w:type="firstRow">
      <w:pPr>
        <w:wordWrap/>
        <w:jc w:val="center"/>
      </w:pPr>
      <w:rPr>
        <w:b/>
      </w:rPr>
      <w:tblPr/>
      <w:tcPr>
        <w:tcBorders>
          <w:bottom w:val="single" w:sz="4" w:space="0" w:color="BFBFBF"/>
        </w:tcBorders>
      </w:tcPr>
    </w:tblStylePr>
  </w:style>
  <w:style w:type="paragraph" w:customStyle="1" w:styleId="GJStylesTableTitleRed">
    <w:name w:val="GJ_Styles_Table_Title_Red"/>
    <w:qFormat/>
    <w:rsid w:val="002D1AE3"/>
    <w:pPr>
      <w:keepNext/>
      <w:pBdr>
        <w:top w:val="single" w:sz="4" w:space="1" w:color="C00000"/>
      </w:pBdr>
      <w:suppressAutoHyphens/>
      <w:spacing w:after="40" w:line="240" w:lineRule="atLeast"/>
      <w:jc w:val="both"/>
    </w:pPr>
    <w:rPr>
      <w:rFonts w:ascii="Arial" w:eastAsia="楷体_GB2312" w:hAnsi="Arial" w:cs="Times New Roman"/>
      <w:b/>
      <w:i/>
      <w:color w:val="000000"/>
    </w:rPr>
  </w:style>
  <w:style w:type="paragraph" w:customStyle="1" w:styleId="GJStylesTableTitleSuoRed">
    <w:name w:val="GJ_Styles_Table_Title_Suo_Red"/>
    <w:qFormat/>
    <w:rsid w:val="002D1AE3"/>
    <w:pPr>
      <w:keepNext/>
      <w:pBdr>
        <w:top w:val="single" w:sz="4" w:space="1" w:color="C00000"/>
      </w:pBdr>
      <w:suppressAutoHyphens/>
      <w:spacing w:after="40" w:line="240" w:lineRule="atLeast"/>
      <w:ind w:left="3402"/>
      <w:jc w:val="both"/>
    </w:pPr>
    <w:rPr>
      <w:rFonts w:ascii="Arial" w:eastAsia="楷体_GB2312" w:hAnsi="Arial" w:cs="Times New Roman"/>
      <w:b/>
      <w:i/>
      <w:color w:val="000000"/>
    </w:rPr>
  </w:style>
  <w:style w:type="table" w:customStyle="1" w:styleId="GJStylesTableDefalutStyleRed">
    <w:name w:val="GJ_Styles_Table_DefalutStyle_Red"/>
    <w:basedOn w:val="a1"/>
    <w:uiPriority w:val="99"/>
    <w:qFormat/>
    <w:rsid w:val="002D1AE3"/>
    <w:rPr>
      <w:rFonts w:ascii="Arial" w:eastAsia="楷体_GB2312" w:hAnsi="Arial" w:cs="Times New Roman"/>
      <w:kern w:val="0"/>
      <w:sz w:val="18"/>
      <w:szCs w:val="20"/>
    </w:rPr>
    <w:tblPr>
      <w:tblInd w:w="0" w:type="dxa"/>
      <w:tblBorders>
        <w:top w:val="single" w:sz="4" w:space="0" w:color="C00000"/>
        <w:bottom w:val="single" w:sz="4" w:space="0" w:color="C00000"/>
      </w:tblBorders>
      <w:tblCellMar>
        <w:top w:w="0" w:type="dxa"/>
        <w:left w:w="108" w:type="dxa"/>
        <w:bottom w:w="0" w:type="dxa"/>
        <w:right w:w="108" w:type="dxa"/>
      </w:tblCellMar>
    </w:tblPr>
    <w:tblStylePr w:type="firstRow">
      <w:rPr>
        <w:b/>
      </w:rPr>
      <w:tblPr/>
      <w:tcPr>
        <w:tcBorders>
          <w:bottom w:val="single" w:sz="4" w:space="0" w:color="BFBFBF"/>
        </w:tcBorders>
      </w:tcPr>
    </w:tblStylePr>
  </w:style>
  <w:style w:type="table" w:customStyle="1" w:styleId="GJStylesChartInsertSingleColRed">
    <w:name w:val="GJ_Styles_Chart_InsertSingleCol_Red"/>
    <w:basedOn w:val="a1"/>
    <w:uiPriority w:val="99"/>
    <w:qFormat/>
    <w:rsid w:val="002D1AE3"/>
    <w:rPr>
      <w:rFonts w:ascii="Calibri" w:eastAsia="宋体" w:hAnsi="Calibri" w:cs="Times New Roman"/>
      <w:kern w:val="0"/>
      <w:sz w:val="20"/>
      <w:szCs w:val="20"/>
    </w:rPr>
    <w:tblPr>
      <w:tblInd w:w="0" w:type="dxa"/>
      <w:tblBorders>
        <w:top w:val="single" w:sz="4" w:space="0" w:color="C00000"/>
        <w:insideH w:val="single" w:sz="4" w:space="0" w:color="C00000"/>
      </w:tblBorders>
      <w:tblCellMar>
        <w:top w:w="0" w:type="dxa"/>
        <w:left w:w="108" w:type="dxa"/>
        <w:bottom w:w="0" w:type="dxa"/>
        <w:right w:w="108" w:type="dxa"/>
      </w:tblCellMar>
    </w:tblPr>
  </w:style>
  <w:style w:type="table" w:customStyle="1" w:styleId="GJStylesChartInsertDoubleColRed">
    <w:name w:val="GJ_Styles_Chart_InsertDoubleCol_Red"/>
    <w:basedOn w:val="a1"/>
    <w:uiPriority w:val="99"/>
    <w:qFormat/>
    <w:rsid w:val="002D1AE3"/>
    <w:rPr>
      <w:rFonts w:ascii="Calibri" w:eastAsia="宋体" w:hAnsi="Calibri" w:cs="Times New Roman"/>
      <w:kern w:val="0"/>
      <w:sz w:val="20"/>
      <w:szCs w:val="20"/>
    </w:rPr>
    <w:tblPr>
      <w:tblInd w:w="0" w:type="dxa"/>
      <w:tblCellMar>
        <w:top w:w="0" w:type="dxa"/>
        <w:left w:w="108" w:type="dxa"/>
        <w:bottom w:w="0" w:type="dxa"/>
        <w:right w:w="108" w:type="dxa"/>
      </w:tblCellMar>
    </w:tblPr>
    <w:tblStylePr w:type="firstCol">
      <w:tblPr/>
      <w:tcPr>
        <w:tcBorders>
          <w:top w:val="single" w:sz="4" w:space="0" w:color="C00000"/>
          <w:insideH w:val="single" w:sz="4" w:space="0" w:color="C00000"/>
        </w:tcBorders>
      </w:tcPr>
    </w:tblStylePr>
    <w:tblStylePr w:type="lastCol">
      <w:tblPr/>
      <w:tcPr>
        <w:tcBorders>
          <w:top w:val="single" w:sz="4" w:space="0" w:color="C00000"/>
          <w:insideH w:val="single" w:sz="4" w:space="0" w:color="C00000"/>
        </w:tcBorders>
      </w:tcPr>
    </w:tblStylePr>
  </w:style>
  <w:style w:type="paragraph" w:customStyle="1" w:styleId="GJStylesMuluTitle">
    <w:name w:val="GJ_Styles_Mulu_Title"/>
    <w:rsid w:val="002D1AE3"/>
    <w:pPr>
      <w:spacing w:after="120" w:line="480" w:lineRule="exact"/>
      <w:ind w:left="3402"/>
      <w:jc w:val="both"/>
    </w:pPr>
    <w:rPr>
      <w:rFonts w:ascii="Arial" w:eastAsia="楷体_GB2312" w:hAnsi="Arial" w:cs="Times New Roman"/>
      <w:b/>
      <w:color w:val="000000"/>
      <w:sz w:val="28"/>
    </w:rPr>
  </w:style>
  <w:style w:type="paragraph" w:customStyle="1" w:styleId="GJStylesMuluContent1">
    <w:name w:val="GJ_Styles_Mulu_Content1"/>
    <w:rsid w:val="002D1AE3"/>
    <w:pPr>
      <w:spacing w:line="312" w:lineRule="auto"/>
      <w:ind w:left="3402"/>
      <w:jc w:val="both"/>
    </w:pPr>
    <w:rPr>
      <w:rFonts w:ascii="Arial" w:eastAsia="楷体_GB2312" w:hAnsi="Arial" w:cs="Times New Roman"/>
      <w:color w:val="000000"/>
    </w:rPr>
  </w:style>
  <w:style w:type="paragraph" w:customStyle="1" w:styleId="GJStylesMuluContent2">
    <w:name w:val="GJ_Styles_Mulu_Content2"/>
    <w:rsid w:val="002D1AE3"/>
    <w:pPr>
      <w:spacing w:line="312" w:lineRule="auto"/>
      <w:ind w:leftChars="2000" w:left="2000"/>
      <w:jc w:val="both"/>
    </w:pPr>
    <w:rPr>
      <w:rFonts w:ascii="Arial" w:eastAsia="楷体_GB2312" w:hAnsi="Arial" w:cs="Times New Roman"/>
      <w:color w:val="000000"/>
    </w:rPr>
  </w:style>
  <w:style w:type="table" w:customStyle="1" w:styleId="GJStylesTableRatStyle">
    <w:name w:val="GJ_Styles_Table_RatStyle"/>
    <w:basedOn w:val="a1"/>
    <w:uiPriority w:val="99"/>
    <w:qFormat/>
    <w:rsid w:val="002D1AE3"/>
    <w:pPr>
      <w:jc w:val="center"/>
    </w:pPr>
    <w:rPr>
      <w:rFonts w:ascii="Arial" w:eastAsia="楷体_GB2312" w:hAnsi="Arial" w:cs="Times New Roman"/>
      <w:color w:val="000000"/>
      <w:kern w:val="0"/>
      <w:sz w:val="18"/>
      <w:szCs w:val="20"/>
    </w:rPr>
    <w:tblPr>
      <w:tblInd w:w="0" w:type="dxa"/>
      <w:tblBorders>
        <w:top w:val="single" w:sz="4" w:space="0" w:color="C0C0C0"/>
        <w:bottom w:val="single" w:sz="4" w:space="0" w:color="C0C0C0"/>
        <w:insideH w:val="single" w:sz="4" w:space="0" w:color="C0C0C0"/>
      </w:tblBorders>
      <w:tblCellMar>
        <w:top w:w="0" w:type="dxa"/>
        <w:left w:w="0" w:type="dxa"/>
        <w:bottom w:w="0" w:type="dxa"/>
        <w:right w:w="28" w:type="dxa"/>
      </w:tblCellMar>
    </w:tblPr>
    <w:tcPr>
      <w:vAlign w:val="center"/>
    </w:tcPr>
    <w:tblStylePr w:type="firstRow">
      <w:pPr>
        <w:wordWrap/>
        <w:jc w:val="center"/>
        <w:outlineLvl w:val="9"/>
      </w:pPr>
      <w:rPr>
        <w:rFonts w:ascii="Arial" w:eastAsia="楷体_GB2312" w:hAnsi="Arial"/>
        <w:b/>
        <w:i w:val="0"/>
        <w:color w:val="000000"/>
        <w:sz w:val="18"/>
      </w:rPr>
      <w:tblPr/>
      <w:tcPr>
        <w:tcBorders>
          <w:top w:val="single" w:sz="4" w:space="0" w:color="BFBFBF"/>
          <w:left w:val="nil"/>
          <w:bottom w:val="single" w:sz="4" w:space="0" w:color="BFBFBF"/>
          <w:right w:val="nil"/>
          <w:insideH w:val="nil"/>
          <w:insideV w:val="nil"/>
          <w:tl2br w:val="nil"/>
          <w:tr2bl w:val="nil"/>
        </w:tcBorders>
      </w:tcPr>
    </w:tblStylePr>
  </w:style>
  <w:style w:type="table" w:customStyle="1" w:styleId="GJStylesTableRatStyle2">
    <w:name w:val="GJ_Styles_Table_RatStyle_2"/>
    <w:basedOn w:val="a1"/>
    <w:uiPriority w:val="99"/>
    <w:qFormat/>
    <w:rsid w:val="002D1AE3"/>
    <w:pPr>
      <w:jc w:val="center"/>
    </w:pPr>
    <w:rPr>
      <w:rFonts w:ascii="Arial" w:eastAsia="楷体_GB2312" w:hAnsi="Arial" w:cs="Times New Roman"/>
      <w:color w:val="000000"/>
      <w:kern w:val="0"/>
      <w:sz w:val="18"/>
      <w:szCs w:val="20"/>
    </w:rPr>
    <w:tblPr>
      <w:tblInd w:w="0" w:type="dxa"/>
      <w:tblBorders>
        <w:top w:val="single" w:sz="4" w:space="0" w:color="00A0E9"/>
        <w:bottom w:val="single" w:sz="4" w:space="0" w:color="00A0E9"/>
      </w:tblBorders>
      <w:tblCellMar>
        <w:top w:w="0" w:type="dxa"/>
        <w:left w:w="0" w:type="dxa"/>
        <w:bottom w:w="0" w:type="dxa"/>
        <w:right w:w="28" w:type="dxa"/>
      </w:tblCellMar>
    </w:tblPr>
    <w:tcPr>
      <w:shd w:val="clear" w:color="auto" w:fill="FFFFFF"/>
      <w:vAlign w:val="center"/>
    </w:tcPr>
    <w:tblStylePr w:type="firstRow">
      <w:rPr>
        <w:rFonts w:ascii="楷体_GB2312" w:eastAsia="楷体_GB2312"/>
        <w:b/>
        <w:i w:val="0"/>
        <w:color w:val="000000"/>
        <w:sz w:val="18"/>
      </w:rPr>
      <w:tblPr/>
      <w:tcPr>
        <w:tcBorders>
          <w:top w:val="single" w:sz="4" w:space="0" w:color="00A0E9"/>
          <w:left w:val="nil"/>
          <w:bottom w:val="nil"/>
          <w:right w:val="nil"/>
          <w:insideH w:val="nil"/>
          <w:insideV w:val="nil"/>
          <w:tl2br w:val="nil"/>
          <w:tr2bl w:val="nil"/>
        </w:tcBorders>
        <w:shd w:val="clear" w:color="auto" w:fill="FFFFFF"/>
      </w:tcPr>
    </w:tblStylePr>
  </w:style>
  <w:style w:type="table" w:customStyle="1" w:styleId="GJStylesTableRatStyle3">
    <w:name w:val="GJ_Styles_Table_RatStyle_3"/>
    <w:basedOn w:val="a1"/>
    <w:uiPriority w:val="99"/>
    <w:qFormat/>
    <w:rsid w:val="002D1AE3"/>
    <w:pPr>
      <w:jc w:val="center"/>
    </w:pPr>
    <w:rPr>
      <w:rFonts w:ascii="Arial" w:eastAsia="楷体_GB2312" w:hAnsi="Arial" w:cs="Times New Roman"/>
      <w:kern w:val="0"/>
      <w:sz w:val="18"/>
      <w:szCs w:val="20"/>
    </w:rPr>
    <w:tblPr>
      <w:tblInd w:w="0" w:type="dxa"/>
      <w:tblBorders>
        <w:insideH w:val="single" w:sz="6" w:space="0" w:color="C0C0C0"/>
      </w:tblBorders>
      <w:tblCellMar>
        <w:top w:w="0" w:type="dxa"/>
        <w:left w:w="0" w:type="dxa"/>
        <w:bottom w:w="0" w:type="dxa"/>
        <w:right w:w="0" w:type="dxa"/>
      </w:tblCellMar>
    </w:tblPr>
  </w:style>
  <w:style w:type="table" w:customStyle="1" w:styleId="GJStylesTableRatStyle4">
    <w:name w:val="GJ_Styles_Table_RatStyle_4"/>
    <w:basedOn w:val="a1"/>
    <w:uiPriority w:val="99"/>
    <w:qFormat/>
    <w:rsid w:val="002D1AE3"/>
    <w:rPr>
      <w:rFonts w:ascii="Arial" w:eastAsia="楷体_GB2312" w:hAnsi="Arial" w:cs="Times New Roman"/>
      <w:kern w:val="0"/>
      <w:szCs w:val="20"/>
    </w:rPr>
    <w:tblPr>
      <w:tblInd w:w="0" w:type="dxa"/>
      <w:tblCellMar>
        <w:top w:w="0" w:type="dxa"/>
        <w:left w:w="0" w:type="dxa"/>
        <w:bottom w:w="0" w:type="dxa"/>
        <w:right w:w="0" w:type="dxa"/>
      </w:tblCellMar>
    </w:tblPr>
    <w:tblStylePr w:type="firstRow">
      <w:rPr>
        <w:rFonts w:ascii="Arial" w:eastAsia="楷体_GB2312" w:hAnsi="Arial"/>
        <w:b/>
        <w:i w:val="0"/>
        <w:sz w:val="21"/>
      </w:rPr>
    </w:tblStylePr>
  </w:style>
  <w:style w:type="table" w:customStyle="1" w:styleId="GJStylesTableRatStyle5">
    <w:name w:val="GJ_Styles_Table_RatStyle_5"/>
    <w:basedOn w:val="a1"/>
    <w:uiPriority w:val="99"/>
    <w:qFormat/>
    <w:rsid w:val="002D1AE3"/>
    <w:pPr>
      <w:spacing w:after="120" w:line="240" w:lineRule="exact"/>
      <w:jc w:val="both"/>
    </w:pPr>
    <w:rPr>
      <w:rFonts w:ascii="Calibri" w:eastAsia="宋体" w:hAnsi="Calibri" w:cs="Times New Roman"/>
      <w:kern w:val="0"/>
      <w:sz w:val="20"/>
      <w:szCs w:val="20"/>
    </w:rPr>
    <w:tblPr>
      <w:tblInd w:w="0" w:type="dxa"/>
      <w:tblCellMar>
        <w:top w:w="0" w:type="dxa"/>
        <w:left w:w="108" w:type="dxa"/>
        <w:bottom w:w="0" w:type="dxa"/>
        <w:right w:w="108" w:type="dxa"/>
      </w:tblCellMar>
    </w:tblPr>
  </w:style>
  <w:style w:type="table" w:customStyle="1" w:styleId="GJStylesTableRatStyle6">
    <w:name w:val="GJ_Styles_Table_RatStyle_6"/>
    <w:basedOn w:val="a1"/>
    <w:uiPriority w:val="99"/>
    <w:qFormat/>
    <w:rsid w:val="002D1AE3"/>
    <w:pPr>
      <w:jc w:val="right"/>
    </w:pPr>
    <w:rPr>
      <w:rFonts w:ascii="Arial" w:eastAsia="楷体_GB2312" w:hAnsi="Arial" w:cs="Times New Roman"/>
      <w:kern w:val="0"/>
      <w:sz w:val="18"/>
      <w:szCs w:val="20"/>
    </w:rPr>
    <w:tblPr>
      <w:tblInd w:w="0" w:type="dxa"/>
      <w:tblCellMar>
        <w:top w:w="0" w:type="dxa"/>
        <w:left w:w="0" w:type="dxa"/>
        <w:bottom w:w="0" w:type="dxa"/>
        <w:right w:w="0" w:type="dxa"/>
      </w:tblCellMar>
    </w:tblPr>
    <w:tblStylePr w:type="firstCol">
      <w:pPr>
        <w:jc w:val="center"/>
      </w:pPr>
      <w:rPr>
        <w:rFonts w:ascii="Arial" w:eastAsia="楷体_GB2312" w:hAnsi="Arial"/>
        <w:b w:val="0"/>
        <w:i w:val="0"/>
        <w:sz w:val="18"/>
      </w:rPr>
      <w:tblPr/>
      <w:tcPr>
        <w:tcBorders>
          <w:top w:val="nil"/>
          <w:left w:val="nil"/>
          <w:bottom w:val="nil"/>
          <w:right w:val="nil"/>
          <w:insideH w:val="nil"/>
          <w:insideV w:val="nil"/>
          <w:tl2br w:val="nil"/>
          <w:tr2bl w:val="nil"/>
        </w:tcBorders>
        <w:vAlign w:val="center"/>
      </w:tcPr>
    </w:tblStylePr>
  </w:style>
  <w:style w:type="table" w:customStyle="1" w:styleId="10">
    <w:name w:val="样式1"/>
    <w:basedOn w:val="a1"/>
    <w:uiPriority w:val="99"/>
    <w:qFormat/>
    <w:rsid w:val="002D1AE3"/>
    <w:rPr>
      <w:rFonts w:ascii="Calibri" w:eastAsia="宋体" w:hAnsi="Calibri" w:cs="Times New Roman"/>
      <w:kern w:val="0"/>
      <w:sz w:val="20"/>
      <w:szCs w:val="20"/>
    </w:rPr>
    <w:tblPr>
      <w:tblInd w:w="0" w:type="dxa"/>
      <w:tblCellMar>
        <w:top w:w="0" w:type="dxa"/>
        <w:left w:w="0" w:type="dxa"/>
        <w:bottom w:w="0" w:type="dxa"/>
        <w:right w:w="0" w:type="dxa"/>
      </w:tblCellMar>
    </w:tblPr>
  </w:style>
  <w:style w:type="table" w:customStyle="1" w:styleId="GJStylesTableRatStyle7">
    <w:name w:val="GJ_Styles_Table_RatStyle_7"/>
    <w:basedOn w:val="a1"/>
    <w:uiPriority w:val="99"/>
    <w:qFormat/>
    <w:rsid w:val="002D1AE3"/>
    <w:pPr>
      <w:jc w:val="both"/>
    </w:pPr>
    <w:rPr>
      <w:rFonts w:ascii="Calibri" w:eastAsia="楷体_GB2312" w:hAnsi="Calibri" w:cs="Times New Roman"/>
      <w:b/>
      <w:kern w:val="0"/>
      <w:sz w:val="13"/>
      <w:szCs w:val="20"/>
    </w:rPr>
    <w:tblPr>
      <w:tblInd w:w="-34" w:type="dxa"/>
      <w:tblCellMar>
        <w:top w:w="0" w:type="dxa"/>
        <w:left w:w="0" w:type="dxa"/>
        <w:bottom w:w="0" w:type="dxa"/>
        <w:right w:w="0" w:type="dxa"/>
      </w:tblCellMar>
    </w:tblPr>
    <w:tblStylePr w:type="firstRow">
      <w:pPr>
        <w:jc w:val="both"/>
      </w:pPr>
      <w:rPr>
        <w:rFonts w:ascii="Arial" w:eastAsia="Wingdings 2" w:hAnsi="Arial"/>
        <w:b/>
        <w:i w:val="0"/>
        <w:sz w:val="21"/>
      </w:rPr>
    </w:tblStylePr>
    <w:tblStylePr w:type="lastRow">
      <w:pPr>
        <w:jc w:val="both"/>
      </w:pPr>
      <w:rPr>
        <w:rFonts w:ascii="Arial" w:eastAsia="Wingdings 2" w:hAnsi="Arial"/>
        <w:b/>
        <w:i w:val="0"/>
        <w:sz w:val="13"/>
      </w:rPr>
    </w:tblStylePr>
  </w:style>
  <w:style w:type="character" w:styleId="aa">
    <w:name w:val="Placeholder Text"/>
    <w:basedOn w:val="a0"/>
    <w:uiPriority w:val="99"/>
    <w:semiHidden/>
    <w:rsid w:val="00351D85"/>
    <w:rPr>
      <w:color w:val="808080"/>
    </w:rPr>
  </w:style>
  <w:style w:type="table" w:customStyle="1" w:styleId="FXTABLEContentStyle">
    <w:name w:val="FX_TABLE_Content_Style"/>
    <w:basedOn w:val="a1"/>
    <w:uiPriority w:val="99"/>
    <w:qFormat/>
    <w:rsid w:val="00582E9E"/>
    <w:rPr>
      <w:rFonts w:ascii="Arial" w:eastAsia="宋体" w:hAnsi="Arial" w:cs="Times New Roman"/>
      <w:color w:val="003366"/>
      <w:kern w:val="0"/>
      <w:sz w:val="20"/>
      <w:szCs w:val="20"/>
    </w:rPr>
    <w:tblPr>
      <w:tblInd w:w="0" w:type="dxa"/>
      <w:tblBorders>
        <w:top w:val="single" w:sz="2" w:space="0" w:color="D9D9D9"/>
        <w:left w:val="single" w:sz="2" w:space="0" w:color="D9D9D9"/>
        <w:bottom w:val="single" w:sz="2" w:space="0" w:color="D9D9D9"/>
        <w:right w:val="single" w:sz="2" w:space="0" w:color="D9D9D9"/>
        <w:insideH w:val="single" w:sz="2" w:space="0" w:color="D9D9D9"/>
        <w:insideV w:val="single" w:sz="2" w:space="0" w:color="D9D9D9"/>
      </w:tblBorders>
      <w:tblCellMar>
        <w:top w:w="0" w:type="dxa"/>
        <w:left w:w="108" w:type="dxa"/>
        <w:bottom w:w="0" w:type="dxa"/>
        <w:right w:w="108" w:type="dxa"/>
      </w:tblCellMar>
    </w:tblPr>
    <w:tcPr>
      <w:tcMar>
        <w:left w:w="0" w:type="dxa"/>
        <w:right w:w="0" w:type="dxa"/>
      </w:tcMar>
    </w:tcPr>
    <w:tblStylePr w:type="lastCol">
      <w:pPr>
        <w:jc w:val="center"/>
      </w:pPr>
      <w:tblPr/>
      <w:tcPr>
        <w:tcBorders>
          <w:top w:val="single" w:sz="2" w:space="0" w:color="D9D9D9"/>
          <w:left w:val="single" w:sz="2" w:space="0" w:color="D9D9D9"/>
          <w:bottom w:val="single" w:sz="2" w:space="0" w:color="D9D9D9"/>
          <w:right w:val="single" w:sz="2" w:space="0" w:color="D9D9D9"/>
          <w:insideH w:val="single" w:sz="2" w:space="0" w:color="D9D9D9"/>
          <w:insideV w:val="single" w:sz="2" w:space="0" w:color="D9D9D9"/>
          <w:tl2br w:val="nil"/>
          <w:tr2bl w:val="nil"/>
        </w:tcBorders>
        <w:shd w:val="clear" w:color="auto" w:fill="D9D9D9"/>
      </w:tcPr>
    </w:tblStylePr>
  </w:style>
  <w:style w:type="table" w:customStyle="1" w:styleId="FXTABLERISKSHOWSTYLES">
    <w:name w:val="FX_TABLE_RISKSHOW_STYLES"/>
    <w:basedOn w:val="a1"/>
    <w:uiPriority w:val="99"/>
    <w:qFormat/>
    <w:rsid w:val="00582E9E"/>
    <w:rPr>
      <w:rFonts w:ascii="Calibri" w:eastAsia="宋体" w:hAnsi="Calibri" w:cs="Times New Roman"/>
      <w:color w:val="003366"/>
      <w:kern w:val="0"/>
      <w:sz w:val="20"/>
      <w:szCs w:val="20"/>
    </w:rPr>
    <w:tblPr>
      <w:tblInd w:w="0" w:type="dxa"/>
      <w:tblCellMar>
        <w:top w:w="0" w:type="dxa"/>
        <w:left w:w="108" w:type="dxa"/>
        <w:bottom w:w="0" w:type="dxa"/>
        <w:right w:w="108" w:type="dxa"/>
      </w:tblCellMar>
    </w:tblPr>
    <w:tcPr>
      <w:tcMar>
        <w:left w:w="0" w:type="dxa"/>
        <w:right w:w="0" w:type="dxa"/>
      </w:tcMar>
    </w:tcPr>
    <w:tblStylePr w:type="lastRow">
      <w:tblPr/>
      <w:tcPr>
        <w:tcBorders>
          <w:top w:val="single" w:sz="2" w:space="0" w:color="D9D9D9"/>
          <w:left w:val="single" w:sz="2" w:space="0" w:color="D9D9D9"/>
          <w:bottom w:val="single" w:sz="2" w:space="0" w:color="D9D9D9"/>
          <w:right w:val="single" w:sz="2" w:space="0" w:color="D9D9D9"/>
          <w:insideH w:val="single" w:sz="2" w:space="0" w:color="D9D9D9"/>
          <w:insideV w:val="single" w:sz="2" w:space="0" w:color="D9D9D9"/>
        </w:tcBorders>
      </w:tcPr>
    </w:tblStylePr>
    <w:tblStylePr w:type="seCell">
      <w:tblPr/>
      <w:tcPr>
        <w:tcBorders>
          <w:top w:val="single" w:sz="2" w:space="0" w:color="D9D9D9"/>
          <w:left w:val="single" w:sz="2" w:space="0" w:color="D9D9D9"/>
          <w:bottom w:val="single" w:sz="2" w:space="0" w:color="D9D9D9"/>
          <w:right w:val="single" w:sz="2" w:space="0" w:color="D9D9D9"/>
          <w:insideH w:val="nil"/>
          <w:insideV w:val="nil"/>
          <w:tl2br w:val="nil"/>
          <w:tr2bl w:val="nil"/>
        </w:tcBorders>
        <w:shd w:val="clear" w:color="auto" w:fill="D9D9D9"/>
      </w:tcPr>
    </w:tblStylePr>
  </w:style>
  <w:style w:type="table" w:customStyle="1" w:styleId="FXTableStylesDefaultStyle1">
    <w:name w:val="FX_Table_Styles_DefaultStyle1"/>
    <w:basedOn w:val="a1"/>
    <w:uiPriority w:val="99"/>
    <w:qFormat/>
    <w:rsid w:val="00582E9E"/>
    <w:rPr>
      <w:rFonts w:ascii="Arial" w:eastAsia="黑体" w:hAnsi="Arial" w:cs="Times New Roman"/>
      <w:color w:val="003366"/>
      <w:kern w:val="0"/>
      <w:sz w:val="16"/>
      <w:szCs w:val="20"/>
    </w:rPr>
    <w:tblPr>
      <w:tblInd w:w="0" w:type="dxa"/>
      <w:tblBorders>
        <w:top w:val="single" w:sz="4" w:space="0" w:color="003366"/>
        <w:left w:val="single" w:sz="4" w:space="0" w:color="003366"/>
        <w:bottom w:val="single" w:sz="4" w:space="0" w:color="003366"/>
        <w:right w:val="single" w:sz="4" w:space="0" w:color="003366"/>
        <w:insideH w:val="single" w:sz="4" w:space="0" w:color="D9D9D9"/>
        <w:insideV w:val="single" w:sz="4" w:space="0" w:color="D9D9D9"/>
      </w:tblBorders>
      <w:tblCellMar>
        <w:top w:w="0" w:type="dxa"/>
        <w:left w:w="108" w:type="dxa"/>
        <w:bottom w:w="0" w:type="dxa"/>
        <w:right w:w="108" w:type="dxa"/>
      </w:tblCellMar>
    </w:tblPr>
    <w:tcPr>
      <w:tcMar>
        <w:left w:w="57" w:type="dxa"/>
        <w:right w:w="57" w:type="dxa"/>
      </w:tcMar>
    </w:tcPr>
    <w:tblStylePr w:type="firstRow">
      <w:rPr>
        <w:rFonts w:ascii="Arial" w:eastAsia="黑体" w:hAnsi="Arial"/>
        <w:b/>
        <w:color w:val="FFFFFF"/>
        <w:sz w:val="16"/>
      </w:rPr>
      <w:tblPr/>
      <w:tcPr>
        <w:tcBorders>
          <w:top w:val="single" w:sz="4" w:space="0" w:color="00457C"/>
          <w:left w:val="single" w:sz="4" w:space="0" w:color="00457C"/>
          <w:bottom w:val="nil"/>
          <w:right w:val="single" w:sz="4" w:space="0" w:color="00457C"/>
          <w:insideH w:val="nil"/>
          <w:insideV w:val="single" w:sz="4" w:space="0" w:color="D9D9D9"/>
          <w:tl2br w:val="nil"/>
          <w:tr2bl w:val="nil"/>
        </w:tcBorders>
        <w:shd w:val="clear" w:color="auto" w:fill="00457C"/>
      </w:tcPr>
    </w:tblStylePr>
  </w:style>
  <w:style w:type="table" w:customStyle="1" w:styleId="FXChartStylesOneCol">
    <w:name w:val="FX_Chart_Styles_OneCol"/>
    <w:basedOn w:val="a1"/>
    <w:uiPriority w:val="99"/>
    <w:rsid w:val="00582E9E"/>
    <w:pPr>
      <w:jc w:val="both"/>
    </w:pPr>
    <w:rPr>
      <w:rFonts w:ascii="黑体" w:eastAsia="黑体" w:hAnsi="Calibri" w:cs="Times New Roman"/>
      <w:kern w:val="0"/>
      <w:sz w:val="20"/>
      <w:szCs w:val="20"/>
    </w:rPr>
    <w:tblPr>
      <w:tblInd w:w="0" w:type="dxa"/>
      <w:tblBorders>
        <w:insideH w:val="single" w:sz="4" w:space="0" w:color="00457C"/>
      </w:tblBorders>
      <w:tblCellMar>
        <w:top w:w="0" w:type="dxa"/>
        <w:left w:w="108" w:type="dxa"/>
        <w:bottom w:w="0" w:type="dxa"/>
        <w:right w:w="108" w:type="dxa"/>
      </w:tblCellMar>
    </w:tblPr>
    <w:tcPr>
      <w:tcMar>
        <w:left w:w="0" w:type="dxa"/>
        <w:right w:w="0" w:type="dxa"/>
      </w:tcMar>
    </w:tcPr>
  </w:style>
  <w:style w:type="table" w:customStyle="1" w:styleId="FXChartStylesThreeCol">
    <w:name w:val="FX_Chart_Styles_ThreeCol"/>
    <w:basedOn w:val="a1"/>
    <w:uiPriority w:val="99"/>
    <w:rsid w:val="00582E9E"/>
    <w:pPr>
      <w:jc w:val="both"/>
    </w:pPr>
    <w:rPr>
      <w:rFonts w:ascii="黑体" w:eastAsia="黑体" w:hAnsi="Calibri" w:cs="Times New Roman"/>
      <w:kern w:val="0"/>
      <w:sz w:val="20"/>
      <w:szCs w:val="20"/>
    </w:rPr>
    <w:tblPr>
      <w:tblInd w:w="0" w:type="dxa"/>
      <w:tblCellMar>
        <w:top w:w="0" w:type="dxa"/>
        <w:left w:w="108" w:type="dxa"/>
        <w:bottom w:w="0" w:type="dxa"/>
        <w:right w:w="108" w:type="dxa"/>
      </w:tblCellMar>
    </w:tblPr>
    <w:tcPr>
      <w:tcMar>
        <w:left w:w="0" w:type="dxa"/>
        <w:right w:w="0" w:type="dxa"/>
      </w:tcMar>
    </w:tcPr>
    <w:tblStylePr w:type="neCell">
      <w:tblPr/>
      <w:tcPr>
        <w:tcBorders>
          <w:top w:val="nil"/>
          <w:bottom w:val="single" w:sz="4" w:space="0" w:color="00457C"/>
        </w:tcBorders>
      </w:tcPr>
    </w:tblStylePr>
    <w:tblStylePr w:type="nwCell">
      <w:tblPr/>
      <w:tcPr>
        <w:tcBorders>
          <w:bottom w:val="single" w:sz="4" w:space="0" w:color="00457C"/>
        </w:tcBorders>
      </w:tcPr>
    </w:tblStylePr>
    <w:tblStylePr w:type="seCell">
      <w:tblPr/>
      <w:tcPr>
        <w:tcBorders>
          <w:top w:val="single" w:sz="4" w:space="0" w:color="00457C"/>
          <w:bottom w:val="nil"/>
        </w:tcBorders>
      </w:tcPr>
    </w:tblStylePr>
    <w:tblStylePr w:type="swCell">
      <w:tblPr/>
      <w:tcPr>
        <w:tcBorders>
          <w:top w:val="single" w:sz="4" w:space="0" w:color="00457C"/>
        </w:tcBorders>
      </w:tcPr>
    </w:tblStylePr>
  </w:style>
  <w:style w:type="paragraph" w:customStyle="1" w:styleId="FXMULUSTYLES">
    <w:name w:val="FX_MULU_STYLES"/>
    <w:qFormat/>
    <w:rsid w:val="00582E9E"/>
    <w:pPr>
      <w:spacing w:line="14" w:lineRule="exact"/>
      <w:jc w:val="center"/>
    </w:pPr>
    <w:rPr>
      <w:rFonts w:ascii="Calibri" w:eastAsia="宋体" w:hAnsi="Calibri" w:cs="Times New Roman"/>
      <w:color w:val="000000"/>
      <w:sz w:val="10"/>
    </w:rPr>
  </w:style>
  <w:style w:type="paragraph" w:customStyle="1" w:styleId="FXStylesTextTextFirTitle">
    <w:name w:val="FX_Styles_Text_Text_FirTitle"/>
    <w:qFormat/>
    <w:rsid w:val="00582E9E"/>
    <w:pPr>
      <w:spacing w:afterLines="30"/>
      <w:jc w:val="both"/>
    </w:pPr>
    <w:rPr>
      <w:rFonts w:ascii="Arial" w:eastAsia="黑体" w:hAnsi="Arial" w:cs="Times New Roman"/>
      <w:b/>
      <w:color w:val="003366"/>
      <w:sz w:val="23"/>
    </w:rPr>
  </w:style>
  <w:style w:type="paragraph" w:customStyle="1" w:styleId="FXStylesTextTextSecTitle">
    <w:name w:val="FX_Styles_Text_Text_SecTitle"/>
    <w:qFormat/>
    <w:rsid w:val="00582E9E"/>
    <w:pPr>
      <w:numPr>
        <w:numId w:val="9"/>
      </w:numPr>
      <w:spacing w:afterLines="30"/>
      <w:jc w:val="both"/>
    </w:pPr>
    <w:rPr>
      <w:rFonts w:ascii="Arial" w:eastAsia="黑体" w:hAnsi="Arial" w:cs="Times New Roman"/>
      <w:b/>
      <w:color w:val="003366"/>
      <w:sz w:val="20"/>
    </w:rPr>
  </w:style>
  <w:style w:type="table" w:customStyle="1" w:styleId="FXTableFinaDataDefaultStyle">
    <w:name w:val="FX_Table_FinaData_DefaultStyle"/>
    <w:basedOn w:val="a1"/>
    <w:uiPriority w:val="99"/>
    <w:rsid w:val="00582E9E"/>
    <w:pPr>
      <w:spacing w:line="200" w:lineRule="exact"/>
      <w:jc w:val="right"/>
    </w:pPr>
    <w:rPr>
      <w:rFonts w:ascii="Arial" w:eastAsia="宋体" w:hAnsi="Arial" w:cs="Times New Roman"/>
      <w:color w:val="003366"/>
      <w:kern w:val="0"/>
      <w:sz w:val="15"/>
      <w:szCs w:val="20"/>
    </w:rPr>
    <w:tblPr>
      <w:tblInd w:w="0" w:type="dxa"/>
      <w:tblBorders>
        <w:top w:val="single" w:sz="8" w:space="0" w:color="003366"/>
        <w:bottom w:val="single" w:sz="8" w:space="0" w:color="003366"/>
      </w:tblBorders>
      <w:tblCellMar>
        <w:top w:w="0" w:type="dxa"/>
        <w:left w:w="108" w:type="dxa"/>
        <w:bottom w:w="0" w:type="dxa"/>
        <w:right w:w="108" w:type="dxa"/>
      </w:tblCellMar>
    </w:tblPr>
    <w:tcPr>
      <w:tcMar>
        <w:left w:w="57" w:type="dxa"/>
        <w:right w:w="57" w:type="dxa"/>
      </w:tcMar>
    </w:tcPr>
    <w:tblStylePr w:type="firstRow">
      <w:pPr>
        <w:wordWrap/>
        <w:jc w:val="center"/>
      </w:pPr>
      <w:rPr>
        <w:b/>
      </w:rPr>
      <w:tblPr/>
      <w:tcPr>
        <w:tcBorders>
          <w:top w:val="single" w:sz="8" w:space="0" w:color="003366"/>
          <w:left w:val="nil"/>
          <w:bottom w:val="single" w:sz="8" w:space="0" w:color="003366"/>
          <w:right w:val="nil"/>
          <w:insideH w:val="nil"/>
          <w:insideV w:val="nil"/>
          <w:tl2br w:val="nil"/>
          <w:tr2bl w:val="nil"/>
        </w:tcBorders>
      </w:tcPr>
    </w:tblStylePr>
    <w:tblStylePr w:type="firstCol">
      <w:pPr>
        <w:wordWrap/>
        <w:jc w:val="left"/>
      </w:pPr>
    </w:tblStylePr>
  </w:style>
  <w:style w:type="table" w:customStyle="1" w:styleId="FXTableStylesDefaultStyle">
    <w:name w:val="FX_Table_Styles_DefaultStyle"/>
    <w:basedOn w:val="a1"/>
    <w:uiPriority w:val="99"/>
    <w:rsid w:val="00582E9E"/>
    <w:rPr>
      <w:rFonts w:ascii="Arial" w:eastAsia="黑体" w:hAnsi="Arial" w:cs="Times New Roman"/>
      <w:color w:val="003366"/>
      <w:kern w:val="0"/>
      <w:sz w:val="16"/>
      <w:szCs w:val="20"/>
    </w:rPr>
    <w:tblPr>
      <w:tblInd w:w="0" w:type="dxa"/>
      <w:tblBorders>
        <w:top w:val="single" w:sz="4" w:space="0" w:color="00457C"/>
        <w:left w:val="single" w:sz="4" w:space="0" w:color="00457C"/>
        <w:bottom w:val="single" w:sz="4" w:space="0" w:color="00457C"/>
        <w:right w:val="single" w:sz="4" w:space="0" w:color="00457C"/>
        <w:insideH w:val="single" w:sz="4" w:space="0" w:color="D9D9D9"/>
        <w:insideV w:val="single" w:sz="4" w:space="0" w:color="D9D9D9"/>
      </w:tblBorders>
      <w:tblCellMar>
        <w:top w:w="0" w:type="dxa"/>
        <w:left w:w="108" w:type="dxa"/>
        <w:bottom w:w="0" w:type="dxa"/>
        <w:right w:w="108" w:type="dxa"/>
      </w:tblCellMar>
    </w:tblPr>
    <w:tcPr>
      <w:tcMar>
        <w:left w:w="0" w:type="dxa"/>
        <w:right w:w="0" w:type="dxa"/>
      </w:tcMar>
    </w:tcPr>
    <w:tblStylePr w:type="firstRow">
      <w:pPr>
        <w:wordWrap/>
        <w:jc w:val="center"/>
      </w:pPr>
      <w:rPr>
        <w:b/>
        <w:color w:val="FFFFFF"/>
      </w:rPr>
      <w:tblPr/>
      <w:tcPr>
        <w:tcBorders>
          <w:top w:val="single" w:sz="4" w:space="0" w:color="00457C"/>
          <w:left w:val="single" w:sz="4" w:space="0" w:color="00457C"/>
          <w:bottom w:val="nil"/>
          <w:right w:val="single" w:sz="4" w:space="0" w:color="00457C"/>
          <w:insideH w:val="nil"/>
          <w:insideV w:val="single" w:sz="4" w:space="0" w:color="D9D9D9"/>
          <w:tl2br w:val="nil"/>
          <w:tr2bl w:val="nil"/>
        </w:tcBorders>
        <w:shd w:val="clear" w:color="auto" w:fill="00457C"/>
      </w:tcPr>
    </w:tblStylePr>
    <w:tblStylePr w:type="lastRow">
      <w:tblPr/>
      <w:tcPr>
        <w:tcBorders>
          <w:top w:val="single" w:sz="4" w:space="0" w:color="D9D9D9"/>
          <w:left w:val="single" w:sz="4" w:space="0" w:color="00457C"/>
          <w:bottom w:val="single" w:sz="4" w:space="0" w:color="00457C"/>
          <w:right w:val="single" w:sz="4" w:space="0" w:color="00457C"/>
          <w:insideH w:val="nil"/>
          <w:insideV w:val="single" w:sz="4" w:space="0" w:color="D9D9D9"/>
          <w:tl2br w:val="nil"/>
          <w:tr2bl w:val="nil"/>
        </w:tcBorders>
      </w:tcPr>
    </w:tblStylePr>
  </w:style>
  <w:style w:type="numbering" w:customStyle="1" w:styleId="FXStylesTextTextSecTitleMark">
    <w:name w:val="FX_Styles_Text_Text_SecTitle_Mark"/>
    <w:uiPriority w:val="99"/>
    <w:rsid w:val="00582E9E"/>
    <w:pPr>
      <w:numPr>
        <w:numId w:val="8"/>
      </w:numPr>
    </w:pPr>
  </w:style>
  <w:style w:type="numbering" w:customStyle="1" w:styleId="SWTextStylesSummaryContMark">
    <w:name w:val="SW_Text_Styles_Summary_ContMark"/>
    <w:uiPriority w:val="99"/>
    <w:rsid w:val="00582E9E"/>
    <w:pPr>
      <w:numPr>
        <w:numId w:val="7"/>
      </w:numPr>
    </w:pPr>
  </w:style>
  <w:style w:type="paragraph" w:customStyle="1" w:styleId="FXStylesTableSource">
    <w:name w:val="FX_Styles_Table_Source"/>
    <w:rsid w:val="00582E9E"/>
    <w:pPr>
      <w:spacing w:afterLines="50" w:line="240" w:lineRule="exact"/>
      <w:ind w:rightChars="258" w:right="258"/>
    </w:pPr>
    <w:rPr>
      <w:rFonts w:ascii="Arial" w:eastAsia="宋体" w:hAnsi="Arial" w:cs="Times New Roman"/>
      <w:color w:val="003366"/>
      <w:sz w:val="15"/>
    </w:rPr>
  </w:style>
  <w:style w:type="paragraph" w:customStyle="1" w:styleId="FXStylesTableTitle">
    <w:name w:val="FX_Styles_Table_Title"/>
    <w:rsid w:val="00582E9E"/>
    <w:pPr>
      <w:spacing w:line="240" w:lineRule="exact"/>
      <w:jc w:val="both"/>
    </w:pPr>
    <w:rPr>
      <w:rFonts w:ascii="Arial" w:eastAsia="黑体" w:hAnsi="Arial" w:cs="Times New Roman"/>
      <w:color w:val="003366"/>
      <w:sz w:val="18"/>
    </w:rPr>
  </w:style>
  <w:style w:type="paragraph" w:customStyle="1" w:styleId="FXStylesTextFirTitle">
    <w:name w:val="FX_Styles_Text_FirTitle"/>
    <w:qFormat/>
    <w:rsid w:val="00582E9E"/>
    <w:pPr>
      <w:outlineLvl w:val="0"/>
    </w:pPr>
    <w:rPr>
      <w:rFonts w:ascii="Arial" w:eastAsia="黑体" w:hAnsi="Arial" w:cs="Times New Roman"/>
      <w:b/>
      <w:color w:val="00457C"/>
      <w:sz w:val="28"/>
    </w:rPr>
  </w:style>
  <w:style w:type="paragraph" w:customStyle="1" w:styleId="FXStylesTextSecTitle">
    <w:name w:val="FX_Styles_Text_SecTitle"/>
    <w:qFormat/>
    <w:rsid w:val="00582E9E"/>
    <w:pPr>
      <w:spacing w:afterLines="30"/>
      <w:outlineLvl w:val="1"/>
    </w:pPr>
    <w:rPr>
      <w:rFonts w:ascii="Arial" w:eastAsia="黑体" w:hAnsi="Arial" w:cs="Times New Roman"/>
      <w:color w:val="003366"/>
    </w:rPr>
  </w:style>
  <w:style w:type="paragraph" w:customStyle="1" w:styleId="FXStylesTextText">
    <w:name w:val="FX_Styles_Text_Text"/>
    <w:qFormat/>
    <w:rsid w:val="00582E9E"/>
    <w:pPr>
      <w:spacing w:afterLines="50"/>
      <w:jc w:val="both"/>
    </w:pPr>
    <w:rPr>
      <w:rFonts w:ascii="Arial" w:eastAsia="宋体" w:hAnsi="Arial" w:cs="Times New Roman"/>
      <w:color w:val="003366"/>
      <w:sz w:val="20"/>
    </w:rPr>
  </w:style>
  <w:style w:type="character" w:customStyle="1" w:styleId="GB2312">
    <w:name w:val="样式 楷体_GB2312"/>
    <w:basedOn w:val="a0"/>
    <w:rsid w:val="003D1FD6"/>
    <w:rPr>
      <w:rFonts w:ascii="Times New Roman" w:eastAsia="楷体_GB2312" w:hAnsi="Times New Roman"/>
    </w:rPr>
  </w:style>
  <w:style w:type="paragraph" w:customStyle="1" w:styleId="HJStylesSummaryContent">
    <w:name w:val="HJ_Styles_Summary_Content"/>
    <w:qFormat/>
    <w:rsid w:val="00D05253"/>
    <w:pPr>
      <w:numPr>
        <w:numId w:val="11"/>
      </w:numPr>
      <w:spacing w:afterLines="50" w:after="50"/>
      <w:jc w:val="both"/>
    </w:pPr>
    <w:rPr>
      <w:rFonts w:ascii="Arial" w:eastAsia="微软雅黑" w:hAnsi="Arial" w:cs="Times New Roman"/>
      <w:color w:val="000000"/>
      <w:sz w:val="18"/>
    </w:rPr>
  </w:style>
  <w:style w:type="numbering" w:customStyle="1" w:styleId="HJStylesSummaryContentMark">
    <w:name w:val="HJ_Styles_Summary_Content_Mark"/>
    <w:uiPriority w:val="99"/>
    <w:rsid w:val="00D05253"/>
    <w:pPr>
      <w:numPr>
        <w:numId w:val="10"/>
      </w:numPr>
    </w:pPr>
  </w:style>
  <w:style w:type="paragraph" w:customStyle="1" w:styleId="HJStylesContentFirTitle">
    <w:name w:val="HJ_Styles_Content_FirTitle"/>
    <w:qFormat/>
    <w:rsid w:val="00D05253"/>
    <w:pPr>
      <w:spacing w:beforeLines="100" w:before="100" w:afterLines="50" w:after="50"/>
      <w:ind w:leftChars="1000" w:left="1000"/>
      <w:jc w:val="both"/>
      <w:outlineLvl w:val="0"/>
    </w:pPr>
    <w:rPr>
      <w:rFonts w:ascii="Arial" w:eastAsia="微软雅黑" w:hAnsi="Arial" w:cs="Times New Roman"/>
      <w:color w:val="0072BB"/>
      <w:sz w:val="32"/>
    </w:rPr>
  </w:style>
  <w:style w:type="paragraph" w:customStyle="1" w:styleId="HJStylesContentSecTitle">
    <w:name w:val="HJ_Styles_Content_SecTitle"/>
    <w:qFormat/>
    <w:rsid w:val="00D05253"/>
    <w:pPr>
      <w:spacing w:beforeLines="100" w:before="100" w:afterLines="50" w:after="50"/>
      <w:ind w:leftChars="1000" w:left="1000"/>
      <w:jc w:val="both"/>
      <w:outlineLvl w:val="1"/>
    </w:pPr>
    <w:rPr>
      <w:rFonts w:ascii="Arial" w:eastAsia="微软雅黑" w:hAnsi="Arial" w:cs="Times New Roman"/>
      <w:color w:val="0072BB"/>
      <w:sz w:val="30"/>
    </w:rPr>
  </w:style>
  <w:style w:type="paragraph" w:customStyle="1" w:styleId="HJStylesContentThirdTitle">
    <w:name w:val="HJ_Styles_Content_ThirdTitle"/>
    <w:qFormat/>
    <w:rsid w:val="00D05253"/>
    <w:pPr>
      <w:spacing w:afterLines="50" w:after="50"/>
      <w:ind w:leftChars="1000" w:left="1000"/>
      <w:jc w:val="both"/>
      <w:outlineLvl w:val="2"/>
    </w:pPr>
    <w:rPr>
      <w:rFonts w:ascii="Arial" w:eastAsia="微软雅黑" w:hAnsi="Arial" w:cs="Times New Roman"/>
      <w:color w:val="0072BB"/>
      <w:sz w:val="28"/>
    </w:rPr>
  </w:style>
  <w:style w:type="paragraph" w:customStyle="1" w:styleId="HJStylesContentFourTitle">
    <w:name w:val="HJ_Styles_Content_FourTitle"/>
    <w:qFormat/>
    <w:rsid w:val="00D05253"/>
    <w:pPr>
      <w:spacing w:afterLines="50" w:after="50"/>
      <w:ind w:leftChars="1000" w:left="1000"/>
      <w:jc w:val="both"/>
      <w:outlineLvl w:val="3"/>
    </w:pPr>
    <w:rPr>
      <w:rFonts w:ascii="Arial" w:eastAsia="微软雅黑" w:hAnsi="Arial" w:cs="Times New Roman"/>
      <w:color w:val="0072BB"/>
      <w:sz w:val="24"/>
    </w:rPr>
  </w:style>
  <w:style w:type="paragraph" w:customStyle="1" w:styleId="HJStylesContentContent">
    <w:name w:val="HJ_Styles_Content_Content"/>
    <w:qFormat/>
    <w:rsid w:val="00D05253"/>
    <w:pPr>
      <w:spacing w:afterLines="50" w:after="50" w:line="360" w:lineRule="exact"/>
      <w:ind w:leftChars="1000" w:left="1000" w:firstLineChars="200" w:firstLine="200"/>
      <w:jc w:val="both"/>
    </w:pPr>
    <w:rPr>
      <w:rFonts w:ascii="Arial" w:eastAsia="微软雅黑" w:hAnsi="Arial" w:cs="Times New Roman"/>
      <w:color w:val="000000"/>
    </w:rPr>
  </w:style>
  <w:style w:type="paragraph" w:customStyle="1" w:styleId="HJStylesGraphTitle">
    <w:name w:val="HJ_Styles_Graph_Title"/>
    <w:qFormat/>
    <w:rsid w:val="00D05253"/>
    <w:pPr>
      <w:keepNext/>
      <w:suppressAutoHyphens/>
      <w:spacing w:line="360" w:lineRule="exact"/>
      <w:jc w:val="both"/>
    </w:pPr>
    <w:rPr>
      <w:rFonts w:ascii="Arial" w:eastAsia="微软雅黑" w:hAnsi="Arial" w:cs="Times New Roman"/>
      <w:color w:val="0072BB"/>
      <w:sz w:val="18"/>
    </w:rPr>
  </w:style>
  <w:style w:type="paragraph" w:customStyle="1" w:styleId="HJStylesGraphSource">
    <w:name w:val="HJ_Styles_Graph_Source"/>
    <w:qFormat/>
    <w:rsid w:val="00D05253"/>
    <w:pPr>
      <w:spacing w:afterLines="50" w:after="50" w:line="240" w:lineRule="atLeast"/>
      <w:jc w:val="both"/>
    </w:pPr>
    <w:rPr>
      <w:rFonts w:ascii="Arial" w:eastAsia="微软雅黑" w:hAnsi="Arial" w:cs="Times New Roman"/>
      <w:i/>
      <w:color w:val="0072BB"/>
      <w:sz w:val="15"/>
    </w:rPr>
  </w:style>
  <w:style w:type="paragraph" w:customStyle="1" w:styleId="HJReportFirPageRelaReports">
    <w:name w:val="HJ_Report_FirPage_RelaReports"/>
    <w:qFormat/>
    <w:rsid w:val="00D05253"/>
    <w:pPr>
      <w:jc w:val="both"/>
    </w:pPr>
    <w:rPr>
      <w:rFonts w:ascii="Arial" w:eastAsia="微软雅黑" w:hAnsi="Arial" w:cs="Times New Roman"/>
      <w:sz w:val="18"/>
    </w:rPr>
  </w:style>
  <w:style w:type="paragraph" w:customStyle="1" w:styleId="HJReportFirPageAuthorName">
    <w:name w:val="HJ_Report_FirPage_Author_Name"/>
    <w:qFormat/>
    <w:rsid w:val="00D05253"/>
    <w:pPr>
      <w:spacing w:line="320" w:lineRule="exact"/>
      <w:jc w:val="center"/>
    </w:pPr>
    <w:rPr>
      <w:rFonts w:ascii="Arial" w:eastAsia="微软雅黑" w:hAnsi="Arial" w:cs="Times New Roman"/>
      <w:sz w:val="24"/>
    </w:rPr>
  </w:style>
  <w:style w:type="paragraph" w:customStyle="1" w:styleId="HJReportFirPageAuthorEmail">
    <w:name w:val="HJ_Report_FirPage_Author_Email"/>
    <w:qFormat/>
    <w:rsid w:val="00D05253"/>
    <w:pPr>
      <w:spacing w:line="180" w:lineRule="exact"/>
      <w:jc w:val="right"/>
    </w:pPr>
    <w:rPr>
      <w:rFonts w:ascii="Arial" w:eastAsia="微软雅黑" w:hAnsi="Arial" w:cs="Times New Roman"/>
      <w:sz w:val="15"/>
    </w:rPr>
  </w:style>
  <w:style w:type="paragraph" w:customStyle="1" w:styleId="HJStylesTableTitleSuo">
    <w:name w:val="HJ_Styles_Table_Title_Suo"/>
    <w:qFormat/>
    <w:rsid w:val="00D05253"/>
    <w:pPr>
      <w:keepNext/>
      <w:suppressAutoHyphens/>
      <w:spacing w:line="360" w:lineRule="exact"/>
      <w:ind w:leftChars="1000" w:left="1000"/>
      <w:jc w:val="both"/>
    </w:pPr>
    <w:rPr>
      <w:rFonts w:ascii="Arial" w:eastAsia="微软雅黑" w:hAnsi="Arial" w:cs="Times New Roman"/>
      <w:color w:val="0072BB"/>
      <w:sz w:val="18"/>
    </w:rPr>
  </w:style>
  <w:style w:type="paragraph" w:customStyle="1" w:styleId="HJStylesTableSourceSuo">
    <w:name w:val="HJ_Styles_Table_Source_Suo"/>
    <w:qFormat/>
    <w:rsid w:val="00D05253"/>
    <w:pPr>
      <w:spacing w:afterLines="50" w:after="50" w:line="240" w:lineRule="exact"/>
      <w:ind w:leftChars="1000" w:left="1000"/>
      <w:jc w:val="both"/>
    </w:pPr>
    <w:rPr>
      <w:rFonts w:ascii="Arial" w:eastAsia="微软雅黑" w:hAnsi="Arial" w:cs="Times New Roman"/>
      <w:i/>
      <w:color w:val="0072BB"/>
      <w:sz w:val="15"/>
    </w:rPr>
  </w:style>
  <w:style w:type="table" w:customStyle="1" w:styleId="HJStylesChartInsertSingleCol">
    <w:name w:val="HJ_Styles_Chart_InsertSingleCol"/>
    <w:basedOn w:val="a1"/>
    <w:uiPriority w:val="99"/>
    <w:qFormat/>
    <w:rsid w:val="00D05253"/>
    <w:rPr>
      <w:rFonts w:ascii="Calibri" w:eastAsia="宋体" w:hAnsi="Calibri" w:cs="Times New Roman"/>
      <w:kern w:val="0"/>
      <w:sz w:val="20"/>
      <w:szCs w:val="20"/>
    </w:rPr>
    <w:tblPr>
      <w:tblInd w:w="0" w:type="dxa"/>
      <w:tblBorders>
        <w:insideH w:val="single" w:sz="4" w:space="0" w:color="0072BB"/>
      </w:tblBorders>
      <w:tblCellMar>
        <w:top w:w="0" w:type="dxa"/>
        <w:left w:w="108" w:type="dxa"/>
        <w:bottom w:w="0" w:type="dxa"/>
        <w:right w:w="108" w:type="dxa"/>
      </w:tblCellMar>
    </w:tblPr>
    <w:tcPr>
      <w:tcMar>
        <w:left w:w="0" w:type="dxa"/>
        <w:right w:w="0" w:type="dxa"/>
      </w:tcMar>
    </w:tcPr>
    <w:tblStylePr w:type="firstRow">
      <w:pPr>
        <w:wordWrap/>
        <w:jc w:val="left"/>
      </w:pPr>
    </w:tblStylePr>
    <w:tblStylePr w:type="lastRow">
      <w:pPr>
        <w:wordWrap/>
        <w:jc w:val="left"/>
      </w:pPr>
    </w:tblStylePr>
  </w:style>
  <w:style w:type="table" w:customStyle="1" w:styleId="HJStylesChartInsertDoubleCol">
    <w:name w:val="HJ_Styles_Chart_InsertDoubleCol"/>
    <w:basedOn w:val="a1"/>
    <w:uiPriority w:val="99"/>
    <w:qFormat/>
    <w:rsid w:val="00D05253"/>
    <w:rPr>
      <w:rFonts w:ascii="Calibri" w:eastAsia="宋体" w:hAnsi="Calibri" w:cs="Times New Roman"/>
      <w:kern w:val="0"/>
      <w:sz w:val="20"/>
      <w:szCs w:val="20"/>
    </w:rPr>
    <w:tblPr>
      <w:tblInd w:w="0" w:type="dxa"/>
      <w:tblCellMar>
        <w:top w:w="0" w:type="dxa"/>
        <w:left w:w="108" w:type="dxa"/>
        <w:bottom w:w="0" w:type="dxa"/>
        <w:right w:w="108" w:type="dxa"/>
      </w:tblCellMar>
    </w:tblPr>
    <w:tcPr>
      <w:tcMar>
        <w:left w:w="0" w:type="dxa"/>
        <w:right w:w="0" w:type="dxa"/>
      </w:tcMar>
    </w:tcPr>
    <w:tblStylePr w:type="firstCol">
      <w:tblPr/>
      <w:tcPr>
        <w:tcBorders>
          <w:top w:val="nil"/>
          <w:left w:val="nil"/>
          <w:bottom w:val="nil"/>
          <w:right w:val="nil"/>
          <w:insideH w:val="single" w:sz="4" w:space="0" w:color="0072BB"/>
          <w:insideV w:val="nil"/>
          <w:tl2br w:val="nil"/>
          <w:tr2bl w:val="nil"/>
        </w:tcBorders>
      </w:tcPr>
    </w:tblStylePr>
    <w:tblStylePr w:type="lastCol">
      <w:tblPr/>
      <w:tcPr>
        <w:tcBorders>
          <w:top w:val="nil"/>
          <w:left w:val="nil"/>
          <w:bottom w:val="nil"/>
          <w:right w:val="nil"/>
          <w:insideH w:val="single" w:sz="4" w:space="0" w:color="0072BB"/>
          <w:insideV w:val="nil"/>
          <w:tl2br w:val="nil"/>
          <w:tr2bl w:val="nil"/>
        </w:tcBorders>
      </w:tcPr>
    </w:tblStylePr>
  </w:style>
  <w:style w:type="paragraph" w:customStyle="1" w:styleId="HJStylesTableTitle">
    <w:name w:val="HJ_Styles_Table_Title"/>
    <w:qFormat/>
    <w:rsid w:val="00D05253"/>
    <w:pPr>
      <w:keepNext/>
      <w:suppressAutoHyphens/>
      <w:spacing w:line="360" w:lineRule="exact"/>
      <w:jc w:val="both"/>
    </w:pPr>
    <w:rPr>
      <w:rFonts w:ascii="Arial" w:eastAsia="微软雅黑" w:hAnsi="Arial" w:cs="Times New Roman"/>
      <w:color w:val="0072BB"/>
      <w:sz w:val="18"/>
    </w:rPr>
  </w:style>
  <w:style w:type="table" w:customStyle="1" w:styleId="HJStylesTableDefalutStyle">
    <w:name w:val="HJ_Styles_Table_DefalutStyle"/>
    <w:basedOn w:val="a1"/>
    <w:uiPriority w:val="99"/>
    <w:qFormat/>
    <w:rsid w:val="00D05253"/>
    <w:rPr>
      <w:rFonts w:ascii="Arial" w:eastAsia="楷体_GB2312" w:hAnsi="Arial" w:cs="Times New Roman"/>
      <w:color w:val="000000"/>
      <w:kern w:val="0"/>
      <w:sz w:val="18"/>
      <w:szCs w:val="20"/>
    </w:rPr>
    <w:tblPr>
      <w:tblInd w:w="0" w:type="dxa"/>
      <w:tblBorders>
        <w:bottom w:val="single" w:sz="4" w:space="0" w:color="0072BB"/>
      </w:tblBorders>
      <w:tblCellMar>
        <w:top w:w="0" w:type="dxa"/>
        <w:left w:w="108" w:type="dxa"/>
        <w:bottom w:w="0" w:type="dxa"/>
        <w:right w:w="108" w:type="dxa"/>
      </w:tblCellMar>
    </w:tblPr>
    <w:tblStylePr w:type="firstRow">
      <w:pPr>
        <w:wordWrap/>
        <w:jc w:val="center"/>
      </w:pPr>
      <w:rPr>
        <w:rFonts w:eastAsia="微软雅黑"/>
        <w:b/>
        <w:i w:val="0"/>
        <w:color w:val="FFFFFF"/>
        <w:sz w:val="18"/>
      </w:rPr>
      <w:tblPr/>
      <w:tcPr>
        <w:shd w:val="clear" w:color="auto" w:fill="0072BB"/>
      </w:tcPr>
    </w:tblStylePr>
  </w:style>
  <w:style w:type="paragraph" w:customStyle="1" w:styleId="HJStylesMuluTitle">
    <w:name w:val="HJ_Styles_Mulu_Title"/>
    <w:rsid w:val="00D05253"/>
    <w:pPr>
      <w:ind w:leftChars="1000" w:left="1000"/>
    </w:pPr>
    <w:rPr>
      <w:rFonts w:ascii="Arial" w:eastAsia="微软雅黑" w:hAnsi="Arial" w:cs="Times New Roman"/>
      <w:b/>
      <w:color w:val="000000"/>
      <w:sz w:val="30"/>
    </w:rPr>
  </w:style>
  <w:style w:type="paragraph" w:customStyle="1" w:styleId="HJStylesMuluContent1">
    <w:name w:val="HJ_Styles_Mulu_Content1"/>
    <w:rsid w:val="00D05253"/>
    <w:pPr>
      <w:spacing w:line="320" w:lineRule="exact"/>
      <w:ind w:leftChars="1000" w:left="1000"/>
      <w:jc w:val="both"/>
    </w:pPr>
    <w:rPr>
      <w:rFonts w:ascii="Arial" w:eastAsia="微软雅黑" w:hAnsi="Arial" w:cs="Times New Roman"/>
      <w:b/>
      <w:color w:val="000000"/>
      <w:sz w:val="18"/>
    </w:rPr>
  </w:style>
  <w:style w:type="paragraph" w:customStyle="1" w:styleId="HJStylesMuluContent2">
    <w:name w:val="HJ_Styles_Mulu_Content2"/>
    <w:rsid w:val="00D05253"/>
    <w:pPr>
      <w:spacing w:line="320" w:lineRule="exact"/>
      <w:ind w:leftChars="1200" w:left="1200"/>
      <w:jc w:val="both"/>
    </w:pPr>
    <w:rPr>
      <w:rFonts w:ascii="Arial" w:eastAsia="微软雅黑" w:hAnsi="Arial" w:cs="Times New Roman"/>
      <w:color w:val="000000"/>
      <w:sz w:val="18"/>
    </w:rPr>
  </w:style>
  <w:style w:type="paragraph" w:customStyle="1" w:styleId="HJReportFirPageAuthorPosition">
    <w:name w:val="HJ_Report_FirPage_Author_Position"/>
    <w:qFormat/>
    <w:rsid w:val="00D05253"/>
    <w:pPr>
      <w:spacing w:line="240" w:lineRule="exact"/>
      <w:jc w:val="right"/>
    </w:pPr>
    <w:rPr>
      <w:rFonts w:ascii="Arial" w:eastAsia="微软雅黑" w:hAnsi="Arial" w:cs="Times New Roman"/>
      <w:color w:val="000000"/>
      <w:sz w:val="18"/>
    </w:rPr>
  </w:style>
  <w:style w:type="paragraph" w:customStyle="1" w:styleId="Default">
    <w:name w:val="Default"/>
    <w:rsid w:val="00AF1CF6"/>
    <w:pPr>
      <w:widowControl w:val="0"/>
      <w:autoSpaceDE w:val="0"/>
      <w:autoSpaceDN w:val="0"/>
      <w:adjustRightInd w:val="0"/>
    </w:pPr>
    <w:rPr>
      <w:rFonts w:ascii="楷体_GB2312" w:eastAsia="宋体" w:hAnsi="楷体_GB2312" w:cs="楷体_GB2312"/>
      <w:color w:val="000000"/>
      <w:kern w:val="0"/>
      <w:sz w:val="24"/>
      <w:szCs w:val="24"/>
    </w:rPr>
  </w:style>
  <w:style w:type="paragraph" w:customStyle="1" w:styleId="HJStylesMuluContent3">
    <w:name w:val="HJ_Styles_Mulu_Content3"/>
    <w:qFormat/>
    <w:rsid w:val="00D05253"/>
    <w:pPr>
      <w:spacing w:line="320" w:lineRule="exact"/>
      <w:ind w:leftChars="1400" w:left="1400"/>
    </w:pPr>
    <w:rPr>
      <w:rFonts w:ascii="Arial" w:eastAsia="微软雅黑" w:hAnsi="Arial" w:cs="Times New Roman"/>
      <w:color w:val="000000"/>
      <w:sz w:val="18"/>
    </w:rPr>
  </w:style>
  <w:style w:type="paragraph" w:customStyle="1" w:styleId="HJStylesMuluGraph">
    <w:name w:val="HJ_Styles_Mulu_Graph"/>
    <w:qFormat/>
    <w:rsid w:val="00D05253"/>
    <w:pPr>
      <w:spacing w:line="320" w:lineRule="exact"/>
      <w:ind w:leftChars="1000" w:left="1000"/>
    </w:pPr>
    <w:rPr>
      <w:rFonts w:ascii="Arial" w:eastAsia="微软雅黑" w:hAnsi="Arial" w:cs="Times New Roman"/>
      <w:color w:val="000000"/>
      <w:sz w:val="18"/>
    </w:rPr>
  </w:style>
  <w:style w:type="table" w:styleId="ab">
    <w:name w:val="Table Professional"/>
    <w:basedOn w:val="a1"/>
    <w:uiPriority w:val="99"/>
    <w:unhideWhenUsed/>
    <w:rsid w:val="0050127B"/>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253"/>
    <w:pPr>
      <w:widowControl w:val="0"/>
      <w:jc w:val="both"/>
    </w:pPr>
    <w:rPr>
      <w:rFonts w:ascii="Arial" w:eastAsia="宋体" w:hAnsi="Arial" w:cs="Times New Roman"/>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1AE3"/>
    <w:pPr>
      <w:pBdr>
        <w:bottom w:val="single" w:sz="6" w:space="1" w:color="auto"/>
      </w:pBdr>
      <w:tabs>
        <w:tab w:val="center" w:pos="4153"/>
        <w:tab w:val="right" w:pos="8306"/>
      </w:tabs>
      <w:snapToGrid w:val="0"/>
      <w:jc w:val="center"/>
    </w:pPr>
    <w:rPr>
      <w:szCs w:val="18"/>
    </w:rPr>
  </w:style>
  <w:style w:type="character" w:customStyle="1" w:styleId="Char">
    <w:name w:val="页眉 Char"/>
    <w:link w:val="a3"/>
    <w:uiPriority w:val="99"/>
    <w:rsid w:val="002D1AE3"/>
    <w:rPr>
      <w:rFonts w:ascii="Arial" w:eastAsia="楷体_GB2312" w:hAnsi="Arial" w:cs="Times New Roman"/>
      <w:sz w:val="18"/>
      <w:szCs w:val="18"/>
    </w:rPr>
  </w:style>
  <w:style w:type="paragraph" w:styleId="a4">
    <w:name w:val="footer"/>
    <w:basedOn w:val="a"/>
    <w:link w:val="Char0"/>
    <w:uiPriority w:val="99"/>
    <w:unhideWhenUsed/>
    <w:rsid w:val="002D1AE3"/>
    <w:pPr>
      <w:tabs>
        <w:tab w:val="center" w:pos="4153"/>
        <w:tab w:val="right" w:pos="8306"/>
      </w:tabs>
      <w:snapToGrid w:val="0"/>
      <w:jc w:val="left"/>
    </w:pPr>
    <w:rPr>
      <w:szCs w:val="18"/>
    </w:rPr>
  </w:style>
  <w:style w:type="character" w:customStyle="1" w:styleId="Char0">
    <w:name w:val="页脚 Char"/>
    <w:link w:val="a4"/>
    <w:uiPriority w:val="99"/>
    <w:rsid w:val="002D1AE3"/>
    <w:rPr>
      <w:rFonts w:ascii="Arial" w:eastAsia="楷体_GB2312" w:hAnsi="Arial" w:cs="Times New Roman"/>
      <w:sz w:val="18"/>
      <w:szCs w:val="18"/>
    </w:rPr>
  </w:style>
  <w:style w:type="paragraph" w:styleId="a5">
    <w:name w:val="Balloon Text"/>
    <w:basedOn w:val="a"/>
    <w:link w:val="Char1"/>
    <w:uiPriority w:val="99"/>
    <w:semiHidden/>
    <w:unhideWhenUsed/>
    <w:rsid w:val="00F7121A"/>
    <w:rPr>
      <w:szCs w:val="18"/>
    </w:rPr>
  </w:style>
  <w:style w:type="character" w:customStyle="1" w:styleId="Char1">
    <w:name w:val="批注框文本 Char"/>
    <w:basedOn w:val="a0"/>
    <w:link w:val="a5"/>
    <w:uiPriority w:val="99"/>
    <w:semiHidden/>
    <w:rsid w:val="00F7121A"/>
    <w:rPr>
      <w:sz w:val="18"/>
      <w:szCs w:val="18"/>
    </w:rPr>
  </w:style>
  <w:style w:type="table" w:styleId="a6">
    <w:name w:val="Table Grid"/>
    <w:basedOn w:val="a1"/>
    <w:uiPriority w:val="59"/>
    <w:rsid w:val="00D05253"/>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9B3BC3"/>
    <w:pPr>
      <w:ind w:firstLineChars="200" w:firstLine="420"/>
    </w:pPr>
  </w:style>
  <w:style w:type="paragraph" w:styleId="1">
    <w:name w:val="toc 1"/>
    <w:basedOn w:val="a"/>
    <w:next w:val="a"/>
    <w:autoRedefine/>
    <w:uiPriority w:val="39"/>
    <w:unhideWhenUsed/>
    <w:rsid w:val="008A48A4"/>
    <w:pPr>
      <w:tabs>
        <w:tab w:val="right" w:leader="dot" w:pos="10536"/>
      </w:tabs>
      <w:spacing w:line="320" w:lineRule="exact"/>
      <w:ind w:leftChars="1000" w:left="1000"/>
    </w:pPr>
    <w:rPr>
      <w:b/>
    </w:rPr>
  </w:style>
  <w:style w:type="paragraph" w:styleId="2">
    <w:name w:val="toc 2"/>
    <w:basedOn w:val="a"/>
    <w:next w:val="a"/>
    <w:autoRedefine/>
    <w:uiPriority w:val="39"/>
    <w:unhideWhenUsed/>
    <w:rsid w:val="008A48A4"/>
    <w:pPr>
      <w:spacing w:line="320" w:lineRule="exact"/>
      <w:ind w:leftChars="1200" w:left="1200"/>
    </w:pPr>
  </w:style>
  <w:style w:type="character" w:styleId="a8">
    <w:name w:val="Hyperlink"/>
    <w:basedOn w:val="a0"/>
    <w:uiPriority w:val="99"/>
    <w:unhideWhenUsed/>
    <w:rsid w:val="001071BB"/>
    <w:rPr>
      <w:color w:val="0000FF" w:themeColor="hyperlink"/>
      <w:u w:val="single"/>
    </w:rPr>
  </w:style>
  <w:style w:type="paragraph" w:styleId="a9">
    <w:name w:val="table of figures"/>
    <w:basedOn w:val="a"/>
    <w:next w:val="a"/>
    <w:uiPriority w:val="99"/>
    <w:unhideWhenUsed/>
    <w:rsid w:val="008A48A4"/>
    <w:pPr>
      <w:spacing w:line="320" w:lineRule="exact"/>
      <w:ind w:leftChars="1000" w:left="1200" w:hangingChars="200" w:hanging="200"/>
    </w:pPr>
  </w:style>
  <w:style w:type="paragraph" w:customStyle="1" w:styleId="SideComments">
    <w:name w:val="SideComments"/>
    <w:rsid w:val="00D05253"/>
    <w:pPr>
      <w:spacing w:line="200" w:lineRule="atLeast"/>
      <w:ind w:firstLineChars="200" w:firstLine="200"/>
      <w:jc w:val="both"/>
    </w:pPr>
    <w:rPr>
      <w:rFonts w:ascii="Arial" w:eastAsia="微软雅黑" w:hAnsi="Arial" w:cs="Times New Roman"/>
      <w:b/>
      <w:color w:val="000000"/>
      <w:sz w:val="18"/>
    </w:rPr>
  </w:style>
  <w:style w:type="paragraph" w:customStyle="1" w:styleId="GJStylesSummaryTitle">
    <w:name w:val="GJ_Styles_Summary_Title"/>
    <w:qFormat/>
    <w:rsid w:val="002D1AE3"/>
    <w:pPr>
      <w:spacing w:afterLines="50"/>
      <w:jc w:val="both"/>
    </w:pPr>
    <w:rPr>
      <w:rFonts w:ascii="Arial" w:eastAsia="楷体_GB2312" w:hAnsi="Arial" w:cs="Times New Roman"/>
      <w:b/>
      <w:color w:val="000000"/>
      <w:sz w:val="24"/>
    </w:rPr>
  </w:style>
  <w:style w:type="paragraph" w:customStyle="1" w:styleId="GJStylesSummaryContent">
    <w:name w:val="GJ_Styles_Summary_Content"/>
    <w:qFormat/>
    <w:rsid w:val="002D1AE3"/>
    <w:pPr>
      <w:numPr>
        <w:numId w:val="3"/>
      </w:numPr>
      <w:spacing w:afterLines="50" w:line="240" w:lineRule="exact"/>
      <w:jc w:val="both"/>
    </w:pPr>
    <w:rPr>
      <w:rFonts w:ascii="Arial" w:eastAsia="楷体_GB2312" w:hAnsi="Arial" w:cs="Times New Roman"/>
      <w:color w:val="000000"/>
    </w:rPr>
  </w:style>
  <w:style w:type="paragraph" w:customStyle="1" w:styleId="GJStylesSummarySubContent">
    <w:name w:val="GJ_Styles_Summary_SubContent"/>
    <w:qFormat/>
    <w:rsid w:val="002D1AE3"/>
    <w:pPr>
      <w:numPr>
        <w:ilvl w:val="1"/>
        <w:numId w:val="3"/>
      </w:numPr>
      <w:spacing w:after="156"/>
      <w:jc w:val="both"/>
    </w:pPr>
    <w:rPr>
      <w:rFonts w:ascii="Arial" w:eastAsia="楷体_GB2312" w:hAnsi="Arial" w:cs="Times New Roman"/>
      <w:color w:val="000000"/>
    </w:rPr>
  </w:style>
  <w:style w:type="paragraph" w:customStyle="1" w:styleId="GJStylesSummaryContentNoMark">
    <w:name w:val="GJ_Styles_Summary_Content_NoMark"/>
    <w:qFormat/>
    <w:rsid w:val="002D1AE3"/>
    <w:pPr>
      <w:spacing w:afterLines="50" w:line="240" w:lineRule="exact"/>
      <w:jc w:val="both"/>
    </w:pPr>
    <w:rPr>
      <w:rFonts w:ascii="Arial" w:eastAsia="楷体_GB2312" w:hAnsi="Arial" w:cs="Times New Roman"/>
      <w:color w:val="000000"/>
    </w:rPr>
  </w:style>
  <w:style w:type="numbering" w:customStyle="1" w:styleId="GJStylesSummaryContentMark">
    <w:name w:val="GJ_Styles_Summary_Content_Mark"/>
    <w:uiPriority w:val="99"/>
    <w:rsid w:val="002D1AE3"/>
    <w:pPr>
      <w:numPr>
        <w:numId w:val="2"/>
      </w:numPr>
    </w:pPr>
  </w:style>
  <w:style w:type="paragraph" w:customStyle="1" w:styleId="GJStylesContentFirTitle">
    <w:name w:val="GJ_Styles_Content_FirTitle"/>
    <w:qFormat/>
    <w:rsid w:val="002D1AE3"/>
    <w:pPr>
      <w:spacing w:after="240" w:line="300" w:lineRule="exact"/>
      <w:ind w:left="3402"/>
      <w:jc w:val="both"/>
      <w:outlineLvl w:val="0"/>
    </w:pPr>
    <w:rPr>
      <w:rFonts w:ascii="Arial" w:eastAsia="楷体_GB2312" w:hAnsi="Arial" w:cs="Times New Roman"/>
      <w:b/>
      <w:sz w:val="24"/>
    </w:rPr>
  </w:style>
  <w:style w:type="paragraph" w:customStyle="1" w:styleId="GJStylesContentSecTitle">
    <w:name w:val="GJ_Styles_Content_SecTitle"/>
    <w:qFormat/>
    <w:rsid w:val="002D1AE3"/>
    <w:pPr>
      <w:spacing w:after="120" w:line="240" w:lineRule="exact"/>
      <w:ind w:left="3402"/>
      <w:jc w:val="both"/>
      <w:outlineLvl w:val="1"/>
    </w:pPr>
    <w:rPr>
      <w:rFonts w:ascii="Arial" w:eastAsia="楷体_GB2312" w:hAnsi="Arial" w:cs="Times New Roman"/>
      <w:b/>
    </w:rPr>
  </w:style>
  <w:style w:type="paragraph" w:customStyle="1" w:styleId="GJStylesContentThirdTitle">
    <w:name w:val="GJ_Styles_Content_ThirdTitle"/>
    <w:qFormat/>
    <w:rsid w:val="002D1AE3"/>
    <w:pPr>
      <w:tabs>
        <w:tab w:val="num" w:pos="3430"/>
      </w:tabs>
      <w:spacing w:after="120" w:line="240" w:lineRule="exact"/>
      <w:ind w:left="3799" w:hanging="369"/>
      <w:jc w:val="both"/>
    </w:pPr>
    <w:rPr>
      <w:rFonts w:ascii="Arial" w:eastAsia="楷体_GB2312" w:hAnsi="Arial" w:cs="Times New Roman"/>
    </w:rPr>
  </w:style>
  <w:style w:type="paragraph" w:customStyle="1" w:styleId="GJStylesContentFourTitle">
    <w:name w:val="GJ_Styles_Content_FourTitle"/>
    <w:qFormat/>
    <w:rsid w:val="002D1AE3"/>
    <w:pPr>
      <w:spacing w:after="120" w:line="240" w:lineRule="exact"/>
      <w:ind w:left="4190" w:hanging="419"/>
      <w:jc w:val="both"/>
    </w:pPr>
    <w:rPr>
      <w:rFonts w:ascii="Arial" w:eastAsia="楷体_GB2312" w:hAnsi="Arial" w:cs="Times New Roman"/>
    </w:rPr>
  </w:style>
  <w:style w:type="paragraph" w:customStyle="1" w:styleId="GJStylesContentContent">
    <w:name w:val="GJ_Styles_Content_Content"/>
    <w:qFormat/>
    <w:rsid w:val="002D1AE3"/>
    <w:pPr>
      <w:spacing w:after="120" w:line="240" w:lineRule="exact"/>
      <w:ind w:left="3402" w:firstLineChars="200" w:firstLine="200"/>
      <w:jc w:val="both"/>
    </w:pPr>
    <w:rPr>
      <w:rFonts w:ascii="Arial" w:eastAsia="楷体_GB2312" w:hAnsi="Arial" w:cs="Times New Roman"/>
    </w:rPr>
  </w:style>
  <w:style w:type="paragraph" w:customStyle="1" w:styleId="GJStylesGraphTitle">
    <w:name w:val="GJ_Styles_Graph_Title"/>
    <w:qFormat/>
    <w:rsid w:val="002D1AE3"/>
    <w:pPr>
      <w:keepNext/>
      <w:suppressAutoHyphens/>
      <w:spacing w:after="40" w:line="240" w:lineRule="atLeast"/>
      <w:jc w:val="both"/>
    </w:pPr>
    <w:rPr>
      <w:rFonts w:ascii="Arial" w:eastAsia="楷体_GB2312" w:hAnsi="Arial" w:cs="Times New Roman"/>
      <w:b/>
      <w:i/>
      <w:color w:val="000000"/>
    </w:rPr>
  </w:style>
  <w:style w:type="paragraph" w:customStyle="1" w:styleId="GJStylesGraphSource">
    <w:name w:val="GJ_Styles_Graph_Source"/>
    <w:qFormat/>
    <w:rsid w:val="002D1AE3"/>
    <w:pPr>
      <w:spacing w:before="40" w:after="160"/>
      <w:jc w:val="both"/>
    </w:pPr>
    <w:rPr>
      <w:rFonts w:ascii="Arial" w:eastAsia="楷体_GB2312" w:hAnsi="Arial" w:cs="Times New Roman"/>
      <w:color w:val="000000"/>
      <w:sz w:val="15"/>
    </w:rPr>
  </w:style>
  <w:style w:type="numbering" w:customStyle="1" w:styleId="GJStylesContentMark">
    <w:name w:val="GJ_Styles_Content_Mark"/>
    <w:uiPriority w:val="99"/>
    <w:rsid w:val="00D05253"/>
    <w:pPr>
      <w:numPr>
        <w:numId w:val="4"/>
      </w:numPr>
    </w:pPr>
  </w:style>
  <w:style w:type="paragraph" w:customStyle="1" w:styleId="GJStylesContentFirTitleWide">
    <w:name w:val="GJ_Styles_Content_FirTitle_Wide"/>
    <w:qFormat/>
    <w:rsid w:val="002D1AE3"/>
    <w:pPr>
      <w:spacing w:after="240" w:line="300" w:lineRule="exact"/>
      <w:jc w:val="both"/>
      <w:outlineLvl w:val="0"/>
    </w:pPr>
    <w:rPr>
      <w:rFonts w:ascii="Arial" w:eastAsia="楷体_GB2312" w:hAnsi="Arial" w:cs="Times New Roman"/>
      <w:b/>
      <w:sz w:val="24"/>
    </w:rPr>
  </w:style>
  <w:style w:type="paragraph" w:customStyle="1" w:styleId="GJStylesContentSecTitleWide">
    <w:name w:val="GJ_Styles_Content_SecTitle_Wide"/>
    <w:qFormat/>
    <w:rsid w:val="002D1AE3"/>
    <w:pPr>
      <w:spacing w:after="120" w:line="240" w:lineRule="exact"/>
      <w:jc w:val="both"/>
      <w:outlineLvl w:val="1"/>
    </w:pPr>
    <w:rPr>
      <w:rFonts w:ascii="Arial" w:eastAsia="楷体_GB2312" w:hAnsi="Arial" w:cs="Times New Roman"/>
      <w:b/>
    </w:rPr>
  </w:style>
  <w:style w:type="paragraph" w:customStyle="1" w:styleId="GJStylesContentThirdTitleWide">
    <w:name w:val="GJ_Styles_Content_ThirdTitle_Wide"/>
    <w:qFormat/>
    <w:rsid w:val="002D1AE3"/>
    <w:pPr>
      <w:tabs>
        <w:tab w:val="num" w:pos="3430"/>
      </w:tabs>
      <w:spacing w:after="120" w:line="240" w:lineRule="exact"/>
      <w:ind w:left="3799" w:hanging="369"/>
      <w:jc w:val="both"/>
    </w:pPr>
    <w:rPr>
      <w:rFonts w:ascii="Arial" w:eastAsia="楷体_GB2312" w:hAnsi="Arial" w:cs="Times New Roman"/>
    </w:rPr>
  </w:style>
  <w:style w:type="paragraph" w:customStyle="1" w:styleId="GJStylesContentFourTitleWide">
    <w:name w:val="GJ_Styles_Content_FourTitle_Wide"/>
    <w:qFormat/>
    <w:rsid w:val="002D1AE3"/>
    <w:pPr>
      <w:spacing w:after="120" w:line="240" w:lineRule="exact"/>
      <w:ind w:left="4190" w:hanging="419"/>
      <w:jc w:val="both"/>
    </w:pPr>
    <w:rPr>
      <w:rFonts w:ascii="Arial" w:eastAsia="楷体_GB2312" w:hAnsi="Arial" w:cs="Times New Roman"/>
    </w:rPr>
  </w:style>
  <w:style w:type="paragraph" w:customStyle="1" w:styleId="GJStylesContentContentWide">
    <w:name w:val="GJ_Styles_Content_Content_Wide"/>
    <w:qFormat/>
    <w:rsid w:val="002D1AE3"/>
    <w:pPr>
      <w:spacing w:after="120" w:line="240" w:lineRule="exact"/>
      <w:ind w:firstLineChars="200" w:firstLine="200"/>
      <w:jc w:val="both"/>
    </w:pPr>
    <w:rPr>
      <w:rFonts w:ascii="Arial" w:eastAsia="楷体_GB2312" w:hAnsi="Arial" w:cs="Times New Roman"/>
    </w:rPr>
  </w:style>
  <w:style w:type="paragraph" w:customStyle="1" w:styleId="GJReportFirPageRelaReports">
    <w:name w:val="GJ_Report_FirPage_RelaReports"/>
    <w:qFormat/>
    <w:rsid w:val="002D1AE3"/>
    <w:pPr>
      <w:jc w:val="both"/>
    </w:pPr>
    <w:rPr>
      <w:rFonts w:ascii="Arial" w:eastAsia="楷体_GB2312" w:hAnsi="Arial" w:cs="Times New Roman"/>
      <w:sz w:val="18"/>
    </w:rPr>
  </w:style>
  <w:style w:type="paragraph" w:customStyle="1" w:styleId="GJReportFirPageAuthorName">
    <w:name w:val="GJ_Report_FirPage_Author_Name"/>
    <w:qFormat/>
    <w:rsid w:val="002D1AE3"/>
    <w:pPr>
      <w:jc w:val="both"/>
    </w:pPr>
    <w:rPr>
      <w:rFonts w:ascii="Arial" w:eastAsia="楷体_GB2312" w:hAnsi="Arial" w:cs="Times New Roman"/>
      <w:b/>
    </w:rPr>
  </w:style>
  <w:style w:type="paragraph" w:customStyle="1" w:styleId="GJReportFirPageAuthorEmail">
    <w:name w:val="GJ_Report_FirPage_Author_Email"/>
    <w:qFormat/>
    <w:rsid w:val="002D1AE3"/>
    <w:pPr>
      <w:jc w:val="both"/>
    </w:pPr>
    <w:rPr>
      <w:rFonts w:ascii="Arial" w:eastAsia="楷体_GB2312" w:hAnsi="Arial" w:cs="Times New Roman"/>
      <w:b/>
      <w:sz w:val="13"/>
    </w:rPr>
  </w:style>
  <w:style w:type="paragraph" w:customStyle="1" w:styleId="GJStylesTableTitleSuo">
    <w:name w:val="GJ_Styles_Table_Title_Suo"/>
    <w:qFormat/>
    <w:rsid w:val="002D1AE3"/>
    <w:pPr>
      <w:keepNext/>
      <w:pBdr>
        <w:top w:val="single" w:sz="4" w:space="1" w:color="00A0E9"/>
      </w:pBdr>
      <w:suppressAutoHyphens/>
      <w:spacing w:after="40" w:line="240" w:lineRule="atLeast"/>
      <w:ind w:left="3402"/>
      <w:jc w:val="both"/>
    </w:pPr>
    <w:rPr>
      <w:rFonts w:ascii="Arial" w:eastAsia="楷体_GB2312" w:hAnsi="Arial" w:cs="Times New Roman"/>
      <w:b/>
      <w:i/>
      <w:color w:val="000000"/>
    </w:rPr>
  </w:style>
  <w:style w:type="paragraph" w:customStyle="1" w:styleId="GJStylesTableSourceSuo">
    <w:name w:val="GJ_Styles_Table_Source_Suo"/>
    <w:qFormat/>
    <w:rsid w:val="002D1AE3"/>
    <w:pPr>
      <w:spacing w:before="40" w:after="160"/>
      <w:ind w:left="3402"/>
      <w:jc w:val="both"/>
    </w:pPr>
    <w:rPr>
      <w:rFonts w:ascii="Arial" w:eastAsia="楷体_GB2312" w:hAnsi="Arial" w:cs="Times New Roman"/>
      <w:color w:val="000000"/>
      <w:sz w:val="15"/>
    </w:rPr>
  </w:style>
  <w:style w:type="numbering" w:customStyle="1" w:styleId="GJStylesContentMarkWide">
    <w:name w:val="GJ_Styles_Content_Mark_Wide"/>
    <w:uiPriority w:val="99"/>
    <w:rsid w:val="00D05253"/>
    <w:pPr>
      <w:numPr>
        <w:numId w:val="6"/>
      </w:numPr>
    </w:pPr>
  </w:style>
  <w:style w:type="table" w:customStyle="1" w:styleId="GJStylesChartInsertSingleCol">
    <w:name w:val="GJ_Styles_Chart_InsertSingleCol"/>
    <w:basedOn w:val="a1"/>
    <w:uiPriority w:val="99"/>
    <w:qFormat/>
    <w:rsid w:val="002D1AE3"/>
    <w:rPr>
      <w:rFonts w:ascii="Calibri" w:eastAsia="宋体" w:hAnsi="Calibri" w:cs="Times New Roman"/>
      <w:kern w:val="0"/>
      <w:sz w:val="20"/>
      <w:szCs w:val="20"/>
    </w:rPr>
    <w:tblPr>
      <w:tblInd w:w="0" w:type="dxa"/>
      <w:tblBorders>
        <w:top w:val="single" w:sz="4" w:space="0" w:color="00A0E9"/>
        <w:insideH w:val="single" w:sz="4" w:space="0" w:color="00A0E9"/>
      </w:tblBorders>
      <w:tblCellMar>
        <w:top w:w="0" w:type="dxa"/>
        <w:left w:w="108" w:type="dxa"/>
        <w:bottom w:w="0" w:type="dxa"/>
        <w:right w:w="108" w:type="dxa"/>
      </w:tblCellMar>
    </w:tblPr>
    <w:tcPr>
      <w:tcMar>
        <w:left w:w="0" w:type="dxa"/>
        <w:right w:w="0" w:type="dxa"/>
      </w:tcMar>
    </w:tcPr>
    <w:tblStylePr w:type="firstRow">
      <w:pPr>
        <w:wordWrap/>
        <w:jc w:val="left"/>
      </w:pPr>
    </w:tblStylePr>
    <w:tblStylePr w:type="lastRow">
      <w:pPr>
        <w:wordWrap/>
        <w:jc w:val="left"/>
      </w:pPr>
    </w:tblStylePr>
  </w:style>
  <w:style w:type="table" w:customStyle="1" w:styleId="GJStylesChartInsertDoubleCol">
    <w:name w:val="GJ_Styles_Chart_InsertDoubleCol"/>
    <w:basedOn w:val="a1"/>
    <w:uiPriority w:val="99"/>
    <w:qFormat/>
    <w:rsid w:val="002D1AE3"/>
    <w:rPr>
      <w:rFonts w:ascii="Calibri" w:eastAsia="宋体" w:hAnsi="Calibri" w:cs="Times New Roman"/>
      <w:kern w:val="0"/>
      <w:sz w:val="20"/>
      <w:szCs w:val="20"/>
    </w:rPr>
    <w:tblPr>
      <w:tblInd w:w="0" w:type="dxa"/>
      <w:tblCellMar>
        <w:top w:w="0" w:type="dxa"/>
        <w:left w:w="108" w:type="dxa"/>
        <w:bottom w:w="0" w:type="dxa"/>
        <w:right w:w="108" w:type="dxa"/>
      </w:tblCellMar>
    </w:tblPr>
    <w:tcPr>
      <w:tcMar>
        <w:left w:w="0" w:type="dxa"/>
        <w:right w:w="0" w:type="dxa"/>
      </w:tcMar>
    </w:tcPr>
    <w:tblStylePr w:type="firstCol">
      <w:tblPr/>
      <w:tcPr>
        <w:tcBorders>
          <w:top w:val="single" w:sz="4" w:space="0" w:color="00A0E9"/>
          <w:insideH w:val="single" w:sz="4" w:space="0" w:color="00A0E9"/>
        </w:tcBorders>
      </w:tcPr>
    </w:tblStylePr>
    <w:tblStylePr w:type="lastCol">
      <w:tblPr/>
      <w:tcPr>
        <w:tcBorders>
          <w:top w:val="single" w:sz="4" w:space="0" w:color="00A0E9"/>
          <w:insideH w:val="single" w:sz="4" w:space="0" w:color="00A0E9"/>
        </w:tcBorders>
      </w:tcPr>
    </w:tblStylePr>
  </w:style>
  <w:style w:type="paragraph" w:customStyle="1" w:styleId="GJStylesTableTitle">
    <w:name w:val="GJ_Styles_Table_Title"/>
    <w:qFormat/>
    <w:rsid w:val="002D1AE3"/>
    <w:pPr>
      <w:keepNext/>
      <w:pBdr>
        <w:top w:val="single" w:sz="4" w:space="1" w:color="00A0E9"/>
      </w:pBdr>
      <w:suppressAutoHyphens/>
      <w:spacing w:after="40" w:line="240" w:lineRule="atLeast"/>
      <w:jc w:val="both"/>
    </w:pPr>
    <w:rPr>
      <w:rFonts w:ascii="Arial" w:eastAsia="楷体_GB2312" w:hAnsi="Arial" w:cs="Times New Roman"/>
      <w:b/>
      <w:i/>
      <w:color w:val="000000"/>
    </w:rPr>
  </w:style>
  <w:style w:type="table" w:customStyle="1" w:styleId="GJStylesTableDefalutStyle">
    <w:name w:val="GJ_Styles_Table_DefalutStyle"/>
    <w:basedOn w:val="a1"/>
    <w:uiPriority w:val="99"/>
    <w:qFormat/>
    <w:rsid w:val="002D1AE3"/>
    <w:rPr>
      <w:rFonts w:ascii="Arial" w:eastAsia="楷体_GB2312" w:hAnsi="Arial" w:cs="Times New Roman"/>
      <w:color w:val="000000"/>
      <w:kern w:val="0"/>
      <w:sz w:val="18"/>
      <w:szCs w:val="20"/>
    </w:rPr>
    <w:tblPr>
      <w:tblInd w:w="0" w:type="dxa"/>
      <w:tblBorders>
        <w:top w:val="single" w:sz="4" w:space="0" w:color="00A0E9"/>
        <w:bottom w:val="single" w:sz="4" w:space="0" w:color="00A0E9"/>
      </w:tblBorders>
      <w:tblCellMar>
        <w:top w:w="0" w:type="dxa"/>
        <w:left w:w="108" w:type="dxa"/>
        <w:bottom w:w="0" w:type="dxa"/>
        <w:right w:w="108" w:type="dxa"/>
      </w:tblCellMar>
    </w:tblPr>
    <w:tblStylePr w:type="firstRow">
      <w:pPr>
        <w:wordWrap/>
        <w:jc w:val="center"/>
      </w:pPr>
      <w:rPr>
        <w:b/>
      </w:rPr>
      <w:tblPr/>
      <w:tcPr>
        <w:tcBorders>
          <w:bottom w:val="single" w:sz="4" w:space="0" w:color="BFBFBF"/>
        </w:tcBorders>
      </w:tcPr>
    </w:tblStylePr>
  </w:style>
  <w:style w:type="paragraph" w:customStyle="1" w:styleId="GJStylesTableTitleRed">
    <w:name w:val="GJ_Styles_Table_Title_Red"/>
    <w:qFormat/>
    <w:rsid w:val="002D1AE3"/>
    <w:pPr>
      <w:keepNext/>
      <w:pBdr>
        <w:top w:val="single" w:sz="4" w:space="1" w:color="C00000"/>
      </w:pBdr>
      <w:suppressAutoHyphens/>
      <w:spacing w:after="40" w:line="240" w:lineRule="atLeast"/>
      <w:jc w:val="both"/>
    </w:pPr>
    <w:rPr>
      <w:rFonts w:ascii="Arial" w:eastAsia="楷体_GB2312" w:hAnsi="Arial" w:cs="Times New Roman"/>
      <w:b/>
      <w:i/>
      <w:color w:val="000000"/>
    </w:rPr>
  </w:style>
  <w:style w:type="paragraph" w:customStyle="1" w:styleId="GJStylesTableTitleSuoRed">
    <w:name w:val="GJ_Styles_Table_Title_Suo_Red"/>
    <w:qFormat/>
    <w:rsid w:val="002D1AE3"/>
    <w:pPr>
      <w:keepNext/>
      <w:pBdr>
        <w:top w:val="single" w:sz="4" w:space="1" w:color="C00000"/>
      </w:pBdr>
      <w:suppressAutoHyphens/>
      <w:spacing w:after="40" w:line="240" w:lineRule="atLeast"/>
      <w:ind w:left="3402"/>
      <w:jc w:val="both"/>
    </w:pPr>
    <w:rPr>
      <w:rFonts w:ascii="Arial" w:eastAsia="楷体_GB2312" w:hAnsi="Arial" w:cs="Times New Roman"/>
      <w:b/>
      <w:i/>
      <w:color w:val="000000"/>
    </w:rPr>
  </w:style>
  <w:style w:type="table" w:customStyle="1" w:styleId="GJStylesTableDefalutStyleRed">
    <w:name w:val="GJ_Styles_Table_DefalutStyle_Red"/>
    <w:basedOn w:val="a1"/>
    <w:uiPriority w:val="99"/>
    <w:qFormat/>
    <w:rsid w:val="002D1AE3"/>
    <w:rPr>
      <w:rFonts w:ascii="Arial" w:eastAsia="楷体_GB2312" w:hAnsi="Arial" w:cs="Times New Roman"/>
      <w:kern w:val="0"/>
      <w:sz w:val="18"/>
      <w:szCs w:val="20"/>
    </w:rPr>
    <w:tblPr>
      <w:tblInd w:w="0" w:type="dxa"/>
      <w:tblBorders>
        <w:top w:val="single" w:sz="4" w:space="0" w:color="C00000"/>
        <w:bottom w:val="single" w:sz="4" w:space="0" w:color="C00000"/>
      </w:tblBorders>
      <w:tblCellMar>
        <w:top w:w="0" w:type="dxa"/>
        <w:left w:w="108" w:type="dxa"/>
        <w:bottom w:w="0" w:type="dxa"/>
        <w:right w:w="108" w:type="dxa"/>
      </w:tblCellMar>
    </w:tblPr>
    <w:tblStylePr w:type="firstRow">
      <w:rPr>
        <w:b/>
      </w:rPr>
      <w:tblPr/>
      <w:tcPr>
        <w:tcBorders>
          <w:bottom w:val="single" w:sz="4" w:space="0" w:color="BFBFBF"/>
        </w:tcBorders>
      </w:tcPr>
    </w:tblStylePr>
  </w:style>
  <w:style w:type="table" w:customStyle="1" w:styleId="GJStylesChartInsertSingleColRed">
    <w:name w:val="GJ_Styles_Chart_InsertSingleCol_Red"/>
    <w:basedOn w:val="a1"/>
    <w:uiPriority w:val="99"/>
    <w:qFormat/>
    <w:rsid w:val="002D1AE3"/>
    <w:rPr>
      <w:rFonts w:ascii="Calibri" w:eastAsia="宋体" w:hAnsi="Calibri" w:cs="Times New Roman"/>
      <w:kern w:val="0"/>
      <w:sz w:val="20"/>
      <w:szCs w:val="20"/>
    </w:rPr>
    <w:tblPr>
      <w:tblInd w:w="0" w:type="dxa"/>
      <w:tblBorders>
        <w:top w:val="single" w:sz="4" w:space="0" w:color="C00000"/>
        <w:insideH w:val="single" w:sz="4" w:space="0" w:color="C00000"/>
      </w:tblBorders>
      <w:tblCellMar>
        <w:top w:w="0" w:type="dxa"/>
        <w:left w:w="108" w:type="dxa"/>
        <w:bottom w:w="0" w:type="dxa"/>
        <w:right w:w="108" w:type="dxa"/>
      </w:tblCellMar>
    </w:tblPr>
  </w:style>
  <w:style w:type="table" w:customStyle="1" w:styleId="GJStylesChartInsertDoubleColRed">
    <w:name w:val="GJ_Styles_Chart_InsertDoubleCol_Red"/>
    <w:basedOn w:val="a1"/>
    <w:uiPriority w:val="99"/>
    <w:qFormat/>
    <w:rsid w:val="002D1AE3"/>
    <w:rPr>
      <w:rFonts w:ascii="Calibri" w:eastAsia="宋体" w:hAnsi="Calibri" w:cs="Times New Roman"/>
      <w:kern w:val="0"/>
      <w:sz w:val="20"/>
      <w:szCs w:val="20"/>
    </w:rPr>
    <w:tblPr>
      <w:tblInd w:w="0" w:type="dxa"/>
      <w:tblCellMar>
        <w:top w:w="0" w:type="dxa"/>
        <w:left w:w="108" w:type="dxa"/>
        <w:bottom w:w="0" w:type="dxa"/>
        <w:right w:w="108" w:type="dxa"/>
      </w:tblCellMar>
    </w:tblPr>
    <w:tblStylePr w:type="firstCol">
      <w:tblPr/>
      <w:tcPr>
        <w:tcBorders>
          <w:top w:val="single" w:sz="4" w:space="0" w:color="C00000"/>
          <w:insideH w:val="single" w:sz="4" w:space="0" w:color="C00000"/>
        </w:tcBorders>
      </w:tcPr>
    </w:tblStylePr>
    <w:tblStylePr w:type="lastCol">
      <w:tblPr/>
      <w:tcPr>
        <w:tcBorders>
          <w:top w:val="single" w:sz="4" w:space="0" w:color="C00000"/>
          <w:insideH w:val="single" w:sz="4" w:space="0" w:color="C00000"/>
        </w:tcBorders>
      </w:tcPr>
    </w:tblStylePr>
  </w:style>
  <w:style w:type="paragraph" w:customStyle="1" w:styleId="GJStylesMuluTitle">
    <w:name w:val="GJ_Styles_Mulu_Title"/>
    <w:rsid w:val="002D1AE3"/>
    <w:pPr>
      <w:spacing w:after="120" w:line="480" w:lineRule="exact"/>
      <w:ind w:left="3402"/>
      <w:jc w:val="both"/>
    </w:pPr>
    <w:rPr>
      <w:rFonts w:ascii="Arial" w:eastAsia="楷体_GB2312" w:hAnsi="Arial" w:cs="Times New Roman"/>
      <w:b/>
      <w:color w:val="000000"/>
      <w:sz w:val="28"/>
    </w:rPr>
  </w:style>
  <w:style w:type="paragraph" w:customStyle="1" w:styleId="GJStylesMuluContent1">
    <w:name w:val="GJ_Styles_Mulu_Content1"/>
    <w:rsid w:val="002D1AE3"/>
    <w:pPr>
      <w:spacing w:line="312" w:lineRule="auto"/>
      <w:ind w:left="3402"/>
      <w:jc w:val="both"/>
    </w:pPr>
    <w:rPr>
      <w:rFonts w:ascii="Arial" w:eastAsia="楷体_GB2312" w:hAnsi="Arial" w:cs="Times New Roman"/>
      <w:color w:val="000000"/>
    </w:rPr>
  </w:style>
  <w:style w:type="paragraph" w:customStyle="1" w:styleId="GJStylesMuluContent2">
    <w:name w:val="GJ_Styles_Mulu_Content2"/>
    <w:rsid w:val="002D1AE3"/>
    <w:pPr>
      <w:spacing w:line="312" w:lineRule="auto"/>
      <w:ind w:leftChars="2000" w:left="2000"/>
      <w:jc w:val="both"/>
    </w:pPr>
    <w:rPr>
      <w:rFonts w:ascii="Arial" w:eastAsia="楷体_GB2312" w:hAnsi="Arial" w:cs="Times New Roman"/>
      <w:color w:val="000000"/>
    </w:rPr>
  </w:style>
  <w:style w:type="table" w:customStyle="1" w:styleId="GJStylesTableRatStyle">
    <w:name w:val="GJ_Styles_Table_RatStyle"/>
    <w:basedOn w:val="a1"/>
    <w:uiPriority w:val="99"/>
    <w:qFormat/>
    <w:rsid w:val="002D1AE3"/>
    <w:pPr>
      <w:jc w:val="center"/>
    </w:pPr>
    <w:rPr>
      <w:rFonts w:ascii="Arial" w:eastAsia="楷体_GB2312" w:hAnsi="Arial" w:cs="Times New Roman"/>
      <w:color w:val="000000"/>
      <w:kern w:val="0"/>
      <w:sz w:val="18"/>
      <w:szCs w:val="20"/>
    </w:rPr>
    <w:tblPr>
      <w:tblInd w:w="0" w:type="dxa"/>
      <w:tblBorders>
        <w:top w:val="single" w:sz="4" w:space="0" w:color="C0C0C0"/>
        <w:bottom w:val="single" w:sz="4" w:space="0" w:color="C0C0C0"/>
        <w:insideH w:val="single" w:sz="4" w:space="0" w:color="C0C0C0"/>
      </w:tblBorders>
      <w:tblCellMar>
        <w:top w:w="0" w:type="dxa"/>
        <w:left w:w="0" w:type="dxa"/>
        <w:bottom w:w="0" w:type="dxa"/>
        <w:right w:w="28" w:type="dxa"/>
      </w:tblCellMar>
    </w:tblPr>
    <w:tcPr>
      <w:vAlign w:val="center"/>
    </w:tcPr>
    <w:tblStylePr w:type="firstRow">
      <w:pPr>
        <w:wordWrap/>
        <w:jc w:val="center"/>
        <w:outlineLvl w:val="9"/>
      </w:pPr>
      <w:rPr>
        <w:rFonts w:ascii="Arial" w:eastAsia="楷体_GB2312" w:hAnsi="Arial"/>
        <w:b/>
        <w:i w:val="0"/>
        <w:color w:val="000000"/>
        <w:sz w:val="18"/>
      </w:rPr>
      <w:tblPr/>
      <w:tcPr>
        <w:tcBorders>
          <w:top w:val="single" w:sz="4" w:space="0" w:color="BFBFBF"/>
          <w:left w:val="nil"/>
          <w:bottom w:val="single" w:sz="4" w:space="0" w:color="BFBFBF"/>
          <w:right w:val="nil"/>
          <w:insideH w:val="nil"/>
          <w:insideV w:val="nil"/>
          <w:tl2br w:val="nil"/>
          <w:tr2bl w:val="nil"/>
        </w:tcBorders>
      </w:tcPr>
    </w:tblStylePr>
  </w:style>
  <w:style w:type="table" w:customStyle="1" w:styleId="GJStylesTableRatStyle2">
    <w:name w:val="GJ_Styles_Table_RatStyle_2"/>
    <w:basedOn w:val="a1"/>
    <w:uiPriority w:val="99"/>
    <w:qFormat/>
    <w:rsid w:val="002D1AE3"/>
    <w:pPr>
      <w:jc w:val="center"/>
    </w:pPr>
    <w:rPr>
      <w:rFonts w:ascii="Arial" w:eastAsia="楷体_GB2312" w:hAnsi="Arial" w:cs="Times New Roman"/>
      <w:color w:val="000000"/>
      <w:kern w:val="0"/>
      <w:sz w:val="18"/>
      <w:szCs w:val="20"/>
    </w:rPr>
    <w:tblPr>
      <w:tblInd w:w="0" w:type="dxa"/>
      <w:tblBorders>
        <w:top w:val="single" w:sz="4" w:space="0" w:color="00A0E9"/>
        <w:bottom w:val="single" w:sz="4" w:space="0" w:color="00A0E9"/>
      </w:tblBorders>
      <w:tblCellMar>
        <w:top w:w="0" w:type="dxa"/>
        <w:left w:w="0" w:type="dxa"/>
        <w:bottom w:w="0" w:type="dxa"/>
        <w:right w:w="28" w:type="dxa"/>
      </w:tblCellMar>
    </w:tblPr>
    <w:tcPr>
      <w:shd w:val="clear" w:color="auto" w:fill="FFFFFF"/>
      <w:vAlign w:val="center"/>
    </w:tcPr>
    <w:tblStylePr w:type="firstRow">
      <w:rPr>
        <w:rFonts w:ascii="楷体_GB2312" w:eastAsia="楷体_GB2312"/>
        <w:b/>
        <w:i w:val="0"/>
        <w:color w:val="000000"/>
        <w:sz w:val="18"/>
      </w:rPr>
      <w:tblPr/>
      <w:tcPr>
        <w:tcBorders>
          <w:top w:val="single" w:sz="4" w:space="0" w:color="00A0E9"/>
          <w:left w:val="nil"/>
          <w:bottom w:val="nil"/>
          <w:right w:val="nil"/>
          <w:insideH w:val="nil"/>
          <w:insideV w:val="nil"/>
          <w:tl2br w:val="nil"/>
          <w:tr2bl w:val="nil"/>
        </w:tcBorders>
        <w:shd w:val="clear" w:color="auto" w:fill="FFFFFF"/>
      </w:tcPr>
    </w:tblStylePr>
  </w:style>
  <w:style w:type="table" w:customStyle="1" w:styleId="GJStylesTableRatStyle3">
    <w:name w:val="GJ_Styles_Table_RatStyle_3"/>
    <w:basedOn w:val="a1"/>
    <w:uiPriority w:val="99"/>
    <w:qFormat/>
    <w:rsid w:val="002D1AE3"/>
    <w:pPr>
      <w:jc w:val="center"/>
    </w:pPr>
    <w:rPr>
      <w:rFonts w:ascii="Arial" w:eastAsia="楷体_GB2312" w:hAnsi="Arial" w:cs="Times New Roman"/>
      <w:kern w:val="0"/>
      <w:sz w:val="18"/>
      <w:szCs w:val="20"/>
    </w:rPr>
    <w:tblPr>
      <w:tblInd w:w="0" w:type="dxa"/>
      <w:tblBorders>
        <w:insideH w:val="single" w:sz="6" w:space="0" w:color="C0C0C0"/>
      </w:tblBorders>
      <w:tblCellMar>
        <w:top w:w="0" w:type="dxa"/>
        <w:left w:w="0" w:type="dxa"/>
        <w:bottom w:w="0" w:type="dxa"/>
        <w:right w:w="0" w:type="dxa"/>
      </w:tblCellMar>
    </w:tblPr>
  </w:style>
  <w:style w:type="table" w:customStyle="1" w:styleId="GJStylesTableRatStyle4">
    <w:name w:val="GJ_Styles_Table_RatStyle_4"/>
    <w:basedOn w:val="a1"/>
    <w:uiPriority w:val="99"/>
    <w:qFormat/>
    <w:rsid w:val="002D1AE3"/>
    <w:rPr>
      <w:rFonts w:ascii="Arial" w:eastAsia="楷体_GB2312" w:hAnsi="Arial" w:cs="Times New Roman"/>
      <w:kern w:val="0"/>
      <w:szCs w:val="20"/>
    </w:rPr>
    <w:tblPr>
      <w:tblInd w:w="0" w:type="dxa"/>
      <w:tblCellMar>
        <w:top w:w="0" w:type="dxa"/>
        <w:left w:w="0" w:type="dxa"/>
        <w:bottom w:w="0" w:type="dxa"/>
        <w:right w:w="0" w:type="dxa"/>
      </w:tblCellMar>
    </w:tblPr>
    <w:tblStylePr w:type="firstRow">
      <w:rPr>
        <w:rFonts w:ascii="Arial" w:eastAsia="楷体_GB2312" w:hAnsi="Arial"/>
        <w:b/>
        <w:i w:val="0"/>
        <w:sz w:val="21"/>
      </w:rPr>
    </w:tblStylePr>
  </w:style>
  <w:style w:type="table" w:customStyle="1" w:styleId="GJStylesTableRatStyle5">
    <w:name w:val="GJ_Styles_Table_RatStyle_5"/>
    <w:basedOn w:val="a1"/>
    <w:uiPriority w:val="99"/>
    <w:qFormat/>
    <w:rsid w:val="002D1AE3"/>
    <w:pPr>
      <w:spacing w:after="120" w:line="240" w:lineRule="exact"/>
      <w:jc w:val="both"/>
    </w:pPr>
    <w:rPr>
      <w:rFonts w:ascii="Calibri" w:eastAsia="宋体" w:hAnsi="Calibri" w:cs="Times New Roman"/>
      <w:kern w:val="0"/>
      <w:sz w:val="20"/>
      <w:szCs w:val="20"/>
    </w:rPr>
    <w:tblPr>
      <w:tblInd w:w="0" w:type="dxa"/>
      <w:tblCellMar>
        <w:top w:w="0" w:type="dxa"/>
        <w:left w:w="108" w:type="dxa"/>
        <w:bottom w:w="0" w:type="dxa"/>
        <w:right w:w="108" w:type="dxa"/>
      </w:tblCellMar>
    </w:tblPr>
  </w:style>
  <w:style w:type="table" w:customStyle="1" w:styleId="GJStylesTableRatStyle6">
    <w:name w:val="GJ_Styles_Table_RatStyle_6"/>
    <w:basedOn w:val="a1"/>
    <w:uiPriority w:val="99"/>
    <w:qFormat/>
    <w:rsid w:val="002D1AE3"/>
    <w:pPr>
      <w:jc w:val="right"/>
    </w:pPr>
    <w:rPr>
      <w:rFonts w:ascii="Arial" w:eastAsia="楷体_GB2312" w:hAnsi="Arial" w:cs="Times New Roman"/>
      <w:kern w:val="0"/>
      <w:sz w:val="18"/>
      <w:szCs w:val="20"/>
    </w:rPr>
    <w:tblPr>
      <w:tblInd w:w="0" w:type="dxa"/>
      <w:tblCellMar>
        <w:top w:w="0" w:type="dxa"/>
        <w:left w:w="0" w:type="dxa"/>
        <w:bottom w:w="0" w:type="dxa"/>
        <w:right w:w="0" w:type="dxa"/>
      </w:tblCellMar>
    </w:tblPr>
    <w:tblStylePr w:type="firstCol">
      <w:pPr>
        <w:jc w:val="center"/>
      </w:pPr>
      <w:rPr>
        <w:rFonts w:ascii="Arial" w:eastAsia="楷体_GB2312" w:hAnsi="Arial"/>
        <w:b w:val="0"/>
        <w:i w:val="0"/>
        <w:sz w:val="18"/>
      </w:rPr>
      <w:tblPr/>
      <w:tcPr>
        <w:tcBorders>
          <w:top w:val="nil"/>
          <w:left w:val="nil"/>
          <w:bottom w:val="nil"/>
          <w:right w:val="nil"/>
          <w:insideH w:val="nil"/>
          <w:insideV w:val="nil"/>
          <w:tl2br w:val="nil"/>
          <w:tr2bl w:val="nil"/>
        </w:tcBorders>
        <w:vAlign w:val="center"/>
      </w:tcPr>
    </w:tblStylePr>
  </w:style>
  <w:style w:type="table" w:customStyle="1" w:styleId="10">
    <w:name w:val="样式1"/>
    <w:basedOn w:val="a1"/>
    <w:uiPriority w:val="99"/>
    <w:qFormat/>
    <w:rsid w:val="002D1AE3"/>
    <w:rPr>
      <w:rFonts w:ascii="Calibri" w:eastAsia="宋体" w:hAnsi="Calibri" w:cs="Times New Roman"/>
      <w:kern w:val="0"/>
      <w:sz w:val="20"/>
      <w:szCs w:val="20"/>
    </w:rPr>
    <w:tblPr>
      <w:tblInd w:w="0" w:type="dxa"/>
      <w:tblCellMar>
        <w:top w:w="0" w:type="dxa"/>
        <w:left w:w="0" w:type="dxa"/>
        <w:bottom w:w="0" w:type="dxa"/>
        <w:right w:w="0" w:type="dxa"/>
      </w:tblCellMar>
    </w:tblPr>
  </w:style>
  <w:style w:type="table" w:customStyle="1" w:styleId="GJStylesTableRatStyle7">
    <w:name w:val="GJ_Styles_Table_RatStyle_7"/>
    <w:basedOn w:val="a1"/>
    <w:uiPriority w:val="99"/>
    <w:qFormat/>
    <w:rsid w:val="002D1AE3"/>
    <w:pPr>
      <w:jc w:val="both"/>
    </w:pPr>
    <w:rPr>
      <w:rFonts w:ascii="Calibri" w:eastAsia="楷体_GB2312" w:hAnsi="Calibri" w:cs="Times New Roman"/>
      <w:b/>
      <w:kern w:val="0"/>
      <w:sz w:val="13"/>
      <w:szCs w:val="20"/>
    </w:rPr>
    <w:tblPr>
      <w:tblInd w:w="-34" w:type="dxa"/>
      <w:tblCellMar>
        <w:top w:w="0" w:type="dxa"/>
        <w:left w:w="0" w:type="dxa"/>
        <w:bottom w:w="0" w:type="dxa"/>
        <w:right w:w="0" w:type="dxa"/>
      </w:tblCellMar>
    </w:tblPr>
    <w:tblStylePr w:type="firstRow">
      <w:pPr>
        <w:jc w:val="both"/>
      </w:pPr>
      <w:rPr>
        <w:rFonts w:ascii="Arial" w:eastAsia="Wingdings 2" w:hAnsi="Arial"/>
        <w:b/>
        <w:i w:val="0"/>
        <w:sz w:val="21"/>
      </w:rPr>
    </w:tblStylePr>
    <w:tblStylePr w:type="lastRow">
      <w:pPr>
        <w:jc w:val="both"/>
      </w:pPr>
      <w:rPr>
        <w:rFonts w:ascii="Arial" w:eastAsia="Wingdings 2" w:hAnsi="Arial"/>
        <w:b/>
        <w:i w:val="0"/>
        <w:sz w:val="13"/>
      </w:rPr>
    </w:tblStylePr>
  </w:style>
  <w:style w:type="character" w:styleId="aa">
    <w:name w:val="Placeholder Text"/>
    <w:basedOn w:val="a0"/>
    <w:uiPriority w:val="99"/>
    <w:semiHidden/>
    <w:rsid w:val="00351D85"/>
    <w:rPr>
      <w:color w:val="808080"/>
    </w:rPr>
  </w:style>
  <w:style w:type="table" w:customStyle="1" w:styleId="FXTABLEContentStyle">
    <w:name w:val="FX_TABLE_Content_Style"/>
    <w:basedOn w:val="a1"/>
    <w:uiPriority w:val="99"/>
    <w:qFormat/>
    <w:rsid w:val="00582E9E"/>
    <w:rPr>
      <w:rFonts w:ascii="Arial" w:eastAsia="宋体" w:hAnsi="Arial" w:cs="Times New Roman"/>
      <w:color w:val="003366"/>
      <w:kern w:val="0"/>
      <w:sz w:val="20"/>
      <w:szCs w:val="20"/>
    </w:rPr>
    <w:tblPr>
      <w:tblInd w:w="0" w:type="dxa"/>
      <w:tblBorders>
        <w:top w:val="single" w:sz="2" w:space="0" w:color="D9D9D9"/>
        <w:left w:val="single" w:sz="2" w:space="0" w:color="D9D9D9"/>
        <w:bottom w:val="single" w:sz="2" w:space="0" w:color="D9D9D9"/>
        <w:right w:val="single" w:sz="2" w:space="0" w:color="D9D9D9"/>
        <w:insideH w:val="single" w:sz="2" w:space="0" w:color="D9D9D9"/>
        <w:insideV w:val="single" w:sz="2" w:space="0" w:color="D9D9D9"/>
      </w:tblBorders>
      <w:tblCellMar>
        <w:top w:w="0" w:type="dxa"/>
        <w:left w:w="108" w:type="dxa"/>
        <w:bottom w:w="0" w:type="dxa"/>
        <w:right w:w="108" w:type="dxa"/>
      </w:tblCellMar>
    </w:tblPr>
    <w:tcPr>
      <w:tcMar>
        <w:left w:w="0" w:type="dxa"/>
        <w:right w:w="0" w:type="dxa"/>
      </w:tcMar>
    </w:tcPr>
    <w:tblStylePr w:type="lastCol">
      <w:pPr>
        <w:jc w:val="center"/>
      </w:pPr>
      <w:tblPr/>
      <w:tcPr>
        <w:tcBorders>
          <w:top w:val="single" w:sz="2" w:space="0" w:color="D9D9D9"/>
          <w:left w:val="single" w:sz="2" w:space="0" w:color="D9D9D9"/>
          <w:bottom w:val="single" w:sz="2" w:space="0" w:color="D9D9D9"/>
          <w:right w:val="single" w:sz="2" w:space="0" w:color="D9D9D9"/>
          <w:insideH w:val="single" w:sz="2" w:space="0" w:color="D9D9D9"/>
          <w:insideV w:val="single" w:sz="2" w:space="0" w:color="D9D9D9"/>
          <w:tl2br w:val="nil"/>
          <w:tr2bl w:val="nil"/>
        </w:tcBorders>
        <w:shd w:val="clear" w:color="auto" w:fill="D9D9D9"/>
      </w:tcPr>
    </w:tblStylePr>
  </w:style>
  <w:style w:type="table" w:customStyle="1" w:styleId="FXTABLERISKSHOWSTYLES">
    <w:name w:val="FX_TABLE_RISKSHOW_STYLES"/>
    <w:basedOn w:val="a1"/>
    <w:uiPriority w:val="99"/>
    <w:qFormat/>
    <w:rsid w:val="00582E9E"/>
    <w:rPr>
      <w:rFonts w:ascii="Calibri" w:eastAsia="宋体" w:hAnsi="Calibri" w:cs="Times New Roman"/>
      <w:color w:val="003366"/>
      <w:kern w:val="0"/>
      <w:sz w:val="20"/>
      <w:szCs w:val="20"/>
    </w:rPr>
    <w:tblPr>
      <w:tblInd w:w="0" w:type="dxa"/>
      <w:tblCellMar>
        <w:top w:w="0" w:type="dxa"/>
        <w:left w:w="108" w:type="dxa"/>
        <w:bottom w:w="0" w:type="dxa"/>
        <w:right w:w="108" w:type="dxa"/>
      </w:tblCellMar>
    </w:tblPr>
    <w:tcPr>
      <w:tcMar>
        <w:left w:w="0" w:type="dxa"/>
        <w:right w:w="0" w:type="dxa"/>
      </w:tcMar>
    </w:tcPr>
    <w:tblStylePr w:type="lastRow">
      <w:tblPr/>
      <w:tcPr>
        <w:tcBorders>
          <w:top w:val="single" w:sz="2" w:space="0" w:color="D9D9D9"/>
          <w:left w:val="single" w:sz="2" w:space="0" w:color="D9D9D9"/>
          <w:bottom w:val="single" w:sz="2" w:space="0" w:color="D9D9D9"/>
          <w:right w:val="single" w:sz="2" w:space="0" w:color="D9D9D9"/>
          <w:insideH w:val="single" w:sz="2" w:space="0" w:color="D9D9D9"/>
          <w:insideV w:val="single" w:sz="2" w:space="0" w:color="D9D9D9"/>
        </w:tcBorders>
      </w:tcPr>
    </w:tblStylePr>
    <w:tblStylePr w:type="seCell">
      <w:tblPr/>
      <w:tcPr>
        <w:tcBorders>
          <w:top w:val="single" w:sz="2" w:space="0" w:color="D9D9D9"/>
          <w:left w:val="single" w:sz="2" w:space="0" w:color="D9D9D9"/>
          <w:bottom w:val="single" w:sz="2" w:space="0" w:color="D9D9D9"/>
          <w:right w:val="single" w:sz="2" w:space="0" w:color="D9D9D9"/>
          <w:insideH w:val="nil"/>
          <w:insideV w:val="nil"/>
          <w:tl2br w:val="nil"/>
          <w:tr2bl w:val="nil"/>
        </w:tcBorders>
        <w:shd w:val="clear" w:color="auto" w:fill="D9D9D9"/>
      </w:tcPr>
    </w:tblStylePr>
  </w:style>
  <w:style w:type="table" w:customStyle="1" w:styleId="FXTableStylesDefaultStyle1">
    <w:name w:val="FX_Table_Styles_DefaultStyle1"/>
    <w:basedOn w:val="a1"/>
    <w:uiPriority w:val="99"/>
    <w:qFormat/>
    <w:rsid w:val="00582E9E"/>
    <w:rPr>
      <w:rFonts w:ascii="Arial" w:eastAsia="黑体" w:hAnsi="Arial" w:cs="Times New Roman"/>
      <w:color w:val="003366"/>
      <w:kern w:val="0"/>
      <w:sz w:val="16"/>
      <w:szCs w:val="20"/>
    </w:rPr>
    <w:tblPr>
      <w:tblInd w:w="0" w:type="dxa"/>
      <w:tblBorders>
        <w:top w:val="single" w:sz="4" w:space="0" w:color="003366"/>
        <w:left w:val="single" w:sz="4" w:space="0" w:color="003366"/>
        <w:bottom w:val="single" w:sz="4" w:space="0" w:color="003366"/>
        <w:right w:val="single" w:sz="4" w:space="0" w:color="003366"/>
        <w:insideH w:val="single" w:sz="4" w:space="0" w:color="D9D9D9"/>
        <w:insideV w:val="single" w:sz="4" w:space="0" w:color="D9D9D9"/>
      </w:tblBorders>
      <w:tblCellMar>
        <w:top w:w="0" w:type="dxa"/>
        <w:left w:w="108" w:type="dxa"/>
        <w:bottom w:w="0" w:type="dxa"/>
        <w:right w:w="108" w:type="dxa"/>
      </w:tblCellMar>
    </w:tblPr>
    <w:tcPr>
      <w:tcMar>
        <w:left w:w="57" w:type="dxa"/>
        <w:right w:w="57" w:type="dxa"/>
      </w:tcMar>
    </w:tcPr>
    <w:tblStylePr w:type="firstRow">
      <w:rPr>
        <w:rFonts w:ascii="Arial" w:eastAsia="黑体" w:hAnsi="Arial"/>
        <w:b/>
        <w:color w:val="FFFFFF"/>
        <w:sz w:val="16"/>
      </w:rPr>
      <w:tblPr/>
      <w:tcPr>
        <w:tcBorders>
          <w:top w:val="single" w:sz="4" w:space="0" w:color="00457C"/>
          <w:left w:val="single" w:sz="4" w:space="0" w:color="00457C"/>
          <w:bottom w:val="nil"/>
          <w:right w:val="single" w:sz="4" w:space="0" w:color="00457C"/>
          <w:insideH w:val="nil"/>
          <w:insideV w:val="single" w:sz="4" w:space="0" w:color="D9D9D9"/>
          <w:tl2br w:val="nil"/>
          <w:tr2bl w:val="nil"/>
        </w:tcBorders>
        <w:shd w:val="clear" w:color="auto" w:fill="00457C"/>
      </w:tcPr>
    </w:tblStylePr>
  </w:style>
  <w:style w:type="table" w:customStyle="1" w:styleId="FXChartStylesOneCol">
    <w:name w:val="FX_Chart_Styles_OneCol"/>
    <w:basedOn w:val="a1"/>
    <w:uiPriority w:val="99"/>
    <w:rsid w:val="00582E9E"/>
    <w:pPr>
      <w:jc w:val="both"/>
    </w:pPr>
    <w:rPr>
      <w:rFonts w:ascii="黑体" w:eastAsia="黑体" w:hAnsi="Calibri" w:cs="Times New Roman"/>
      <w:kern w:val="0"/>
      <w:sz w:val="20"/>
      <w:szCs w:val="20"/>
    </w:rPr>
    <w:tblPr>
      <w:tblInd w:w="0" w:type="dxa"/>
      <w:tblBorders>
        <w:insideH w:val="single" w:sz="4" w:space="0" w:color="00457C"/>
      </w:tblBorders>
      <w:tblCellMar>
        <w:top w:w="0" w:type="dxa"/>
        <w:left w:w="108" w:type="dxa"/>
        <w:bottom w:w="0" w:type="dxa"/>
        <w:right w:w="108" w:type="dxa"/>
      </w:tblCellMar>
    </w:tblPr>
    <w:tcPr>
      <w:tcMar>
        <w:left w:w="0" w:type="dxa"/>
        <w:right w:w="0" w:type="dxa"/>
      </w:tcMar>
    </w:tcPr>
  </w:style>
  <w:style w:type="table" w:customStyle="1" w:styleId="FXChartStylesThreeCol">
    <w:name w:val="FX_Chart_Styles_ThreeCol"/>
    <w:basedOn w:val="a1"/>
    <w:uiPriority w:val="99"/>
    <w:rsid w:val="00582E9E"/>
    <w:pPr>
      <w:jc w:val="both"/>
    </w:pPr>
    <w:rPr>
      <w:rFonts w:ascii="黑体" w:eastAsia="黑体" w:hAnsi="Calibri" w:cs="Times New Roman"/>
      <w:kern w:val="0"/>
      <w:sz w:val="20"/>
      <w:szCs w:val="20"/>
    </w:rPr>
    <w:tblPr>
      <w:tblInd w:w="0" w:type="dxa"/>
      <w:tblCellMar>
        <w:top w:w="0" w:type="dxa"/>
        <w:left w:w="108" w:type="dxa"/>
        <w:bottom w:w="0" w:type="dxa"/>
        <w:right w:w="108" w:type="dxa"/>
      </w:tblCellMar>
    </w:tblPr>
    <w:tcPr>
      <w:tcMar>
        <w:left w:w="0" w:type="dxa"/>
        <w:right w:w="0" w:type="dxa"/>
      </w:tcMar>
    </w:tcPr>
    <w:tblStylePr w:type="neCell">
      <w:tblPr/>
      <w:tcPr>
        <w:tcBorders>
          <w:top w:val="nil"/>
          <w:bottom w:val="single" w:sz="4" w:space="0" w:color="00457C"/>
        </w:tcBorders>
      </w:tcPr>
    </w:tblStylePr>
    <w:tblStylePr w:type="nwCell">
      <w:tblPr/>
      <w:tcPr>
        <w:tcBorders>
          <w:bottom w:val="single" w:sz="4" w:space="0" w:color="00457C"/>
        </w:tcBorders>
      </w:tcPr>
    </w:tblStylePr>
    <w:tblStylePr w:type="seCell">
      <w:tblPr/>
      <w:tcPr>
        <w:tcBorders>
          <w:top w:val="single" w:sz="4" w:space="0" w:color="00457C"/>
          <w:bottom w:val="nil"/>
        </w:tcBorders>
      </w:tcPr>
    </w:tblStylePr>
    <w:tblStylePr w:type="swCell">
      <w:tblPr/>
      <w:tcPr>
        <w:tcBorders>
          <w:top w:val="single" w:sz="4" w:space="0" w:color="00457C"/>
        </w:tcBorders>
      </w:tcPr>
    </w:tblStylePr>
  </w:style>
  <w:style w:type="paragraph" w:customStyle="1" w:styleId="FXMULUSTYLES">
    <w:name w:val="FX_MULU_STYLES"/>
    <w:qFormat/>
    <w:rsid w:val="00582E9E"/>
    <w:pPr>
      <w:spacing w:line="14" w:lineRule="exact"/>
      <w:jc w:val="center"/>
    </w:pPr>
    <w:rPr>
      <w:rFonts w:ascii="Calibri" w:eastAsia="宋体" w:hAnsi="Calibri" w:cs="Times New Roman"/>
      <w:color w:val="000000"/>
      <w:sz w:val="10"/>
    </w:rPr>
  </w:style>
  <w:style w:type="paragraph" w:customStyle="1" w:styleId="FXStylesTextTextFirTitle">
    <w:name w:val="FX_Styles_Text_Text_FirTitle"/>
    <w:qFormat/>
    <w:rsid w:val="00582E9E"/>
    <w:pPr>
      <w:spacing w:afterLines="30"/>
      <w:jc w:val="both"/>
    </w:pPr>
    <w:rPr>
      <w:rFonts w:ascii="Arial" w:eastAsia="黑体" w:hAnsi="Arial" w:cs="Times New Roman"/>
      <w:b/>
      <w:color w:val="003366"/>
      <w:sz w:val="23"/>
    </w:rPr>
  </w:style>
  <w:style w:type="paragraph" w:customStyle="1" w:styleId="FXStylesTextTextSecTitle">
    <w:name w:val="FX_Styles_Text_Text_SecTitle"/>
    <w:qFormat/>
    <w:rsid w:val="00582E9E"/>
    <w:pPr>
      <w:numPr>
        <w:numId w:val="9"/>
      </w:numPr>
      <w:spacing w:afterLines="30"/>
      <w:jc w:val="both"/>
    </w:pPr>
    <w:rPr>
      <w:rFonts w:ascii="Arial" w:eastAsia="黑体" w:hAnsi="Arial" w:cs="Times New Roman"/>
      <w:b/>
      <w:color w:val="003366"/>
      <w:sz w:val="20"/>
    </w:rPr>
  </w:style>
  <w:style w:type="table" w:customStyle="1" w:styleId="FXTableFinaDataDefaultStyle">
    <w:name w:val="FX_Table_FinaData_DefaultStyle"/>
    <w:basedOn w:val="a1"/>
    <w:uiPriority w:val="99"/>
    <w:rsid w:val="00582E9E"/>
    <w:pPr>
      <w:spacing w:line="200" w:lineRule="exact"/>
      <w:jc w:val="right"/>
    </w:pPr>
    <w:rPr>
      <w:rFonts w:ascii="Arial" w:eastAsia="宋体" w:hAnsi="Arial" w:cs="Times New Roman"/>
      <w:color w:val="003366"/>
      <w:kern w:val="0"/>
      <w:sz w:val="15"/>
      <w:szCs w:val="20"/>
    </w:rPr>
    <w:tblPr>
      <w:tblInd w:w="0" w:type="dxa"/>
      <w:tblBorders>
        <w:top w:val="single" w:sz="8" w:space="0" w:color="003366"/>
        <w:bottom w:val="single" w:sz="8" w:space="0" w:color="003366"/>
      </w:tblBorders>
      <w:tblCellMar>
        <w:top w:w="0" w:type="dxa"/>
        <w:left w:w="108" w:type="dxa"/>
        <w:bottom w:w="0" w:type="dxa"/>
        <w:right w:w="108" w:type="dxa"/>
      </w:tblCellMar>
    </w:tblPr>
    <w:tcPr>
      <w:tcMar>
        <w:left w:w="57" w:type="dxa"/>
        <w:right w:w="57" w:type="dxa"/>
      </w:tcMar>
    </w:tcPr>
    <w:tblStylePr w:type="firstRow">
      <w:pPr>
        <w:wordWrap/>
        <w:jc w:val="center"/>
      </w:pPr>
      <w:rPr>
        <w:b/>
      </w:rPr>
      <w:tblPr/>
      <w:tcPr>
        <w:tcBorders>
          <w:top w:val="single" w:sz="8" w:space="0" w:color="003366"/>
          <w:left w:val="nil"/>
          <w:bottom w:val="single" w:sz="8" w:space="0" w:color="003366"/>
          <w:right w:val="nil"/>
          <w:insideH w:val="nil"/>
          <w:insideV w:val="nil"/>
          <w:tl2br w:val="nil"/>
          <w:tr2bl w:val="nil"/>
        </w:tcBorders>
      </w:tcPr>
    </w:tblStylePr>
    <w:tblStylePr w:type="firstCol">
      <w:pPr>
        <w:wordWrap/>
        <w:jc w:val="left"/>
      </w:pPr>
    </w:tblStylePr>
  </w:style>
  <w:style w:type="table" w:customStyle="1" w:styleId="FXTableStylesDefaultStyle">
    <w:name w:val="FX_Table_Styles_DefaultStyle"/>
    <w:basedOn w:val="a1"/>
    <w:uiPriority w:val="99"/>
    <w:rsid w:val="00582E9E"/>
    <w:rPr>
      <w:rFonts w:ascii="Arial" w:eastAsia="黑体" w:hAnsi="Arial" w:cs="Times New Roman"/>
      <w:color w:val="003366"/>
      <w:kern w:val="0"/>
      <w:sz w:val="16"/>
      <w:szCs w:val="20"/>
    </w:rPr>
    <w:tblPr>
      <w:tblInd w:w="0" w:type="dxa"/>
      <w:tblBorders>
        <w:top w:val="single" w:sz="4" w:space="0" w:color="00457C"/>
        <w:left w:val="single" w:sz="4" w:space="0" w:color="00457C"/>
        <w:bottom w:val="single" w:sz="4" w:space="0" w:color="00457C"/>
        <w:right w:val="single" w:sz="4" w:space="0" w:color="00457C"/>
        <w:insideH w:val="single" w:sz="4" w:space="0" w:color="D9D9D9"/>
        <w:insideV w:val="single" w:sz="4" w:space="0" w:color="D9D9D9"/>
      </w:tblBorders>
      <w:tblCellMar>
        <w:top w:w="0" w:type="dxa"/>
        <w:left w:w="108" w:type="dxa"/>
        <w:bottom w:w="0" w:type="dxa"/>
        <w:right w:w="108" w:type="dxa"/>
      </w:tblCellMar>
    </w:tblPr>
    <w:tcPr>
      <w:tcMar>
        <w:left w:w="0" w:type="dxa"/>
        <w:right w:w="0" w:type="dxa"/>
      </w:tcMar>
    </w:tcPr>
    <w:tblStylePr w:type="firstRow">
      <w:pPr>
        <w:wordWrap/>
        <w:jc w:val="center"/>
      </w:pPr>
      <w:rPr>
        <w:b/>
        <w:color w:val="FFFFFF"/>
      </w:rPr>
      <w:tblPr/>
      <w:tcPr>
        <w:tcBorders>
          <w:top w:val="single" w:sz="4" w:space="0" w:color="00457C"/>
          <w:left w:val="single" w:sz="4" w:space="0" w:color="00457C"/>
          <w:bottom w:val="nil"/>
          <w:right w:val="single" w:sz="4" w:space="0" w:color="00457C"/>
          <w:insideH w:val="nil"/>
          <w:insideV w:val="single" w:sz="4" w:space="0" w:color="D9D9D9"/>
          <w:tl2br w:val="nil"/>
          <w:tr2bl w:val="nil"/>
        </w:tcBorders>
        <w:shd w:val="clear" w:color="auto" w:fill="00457C"/>
      </w:tcPr>
    </w:tblStylePr>
    <w:tblStylePr w:type="lastRow">
      <w:tblPr/>
      <w:tcPr>
        <w:tcBorders>
          <w:top w:val="single" w:sz="4" w:space="0" w:color="D9D9D9"/>
          <w:left w:val="single" w:sz="4" w:space="0" w:color="00457C"/>
          <w:bottom w:val="single" w:sz="4" w:space="0" w:color="00457C"/>
          <w:right w:val="single" w:sz="4" w:space="0" w:color="00457C"/>
          <w:insideH w:val="nil"/>
          <w:insideV w:val="single" w:sz="4" w:space="0" w:color="D9D9D9"/>
          <w:tl2br w:val="nil"/>
          <w:tr2bl w:val="nil"/>
        </w:tcBorders>
      </w:tcPr>
    </w:tblStylePr>
  </w:style>
  <w:style w:type="numbering" w:customStyle="1" w:styleId="FXStylesTextTextSecTitleMark">
    <w:name w:val="FX_Styles_Text_Text_SecTitle_Mark"/>
    <w:uiPriority w:val="99"/>
    <w:rsid w:val="00582E9E"/>
    <w:pPr>
      <w:numPr>
        <w:numId w:val="8"/>
      </w:numPr>
    </w:pPr>
  </w:style>
  <w:style w:type="numbering" w:customStyle="1" w:styleId="SWTextStylesSummaryContMark">
    <w:name w:val="SW_Text_Styles_Summary_ContMark"/>
    <w:uiPriority w:val="99"/>
    <w:rsid w:val="00582E9E"/>
    <w:pPr>
      <w:numPr>
        <w:numId w:val="7"/>
      </w:numPr>
    </w:pPr>
  </w:style>
  <w:style w:type="paragraph" w:customStyle="1" w:styleId="FXStylesTableSource">
    <w:name w:val="FX_Styles_Table_Source"/>
    <w:rsid w:val="00582E9E"/>
    <w:pPr>
      <w:spacing w:afterLines="50" w:line="240" w:lineRule="exact"/>
      <w:ind w:rightChars="258" w:right="258"/>
    </w:pPr>
    <w:rPr>
      <w:rFonts w:ascii="Arial" w:eastAsia="宋体" w:hAnsi="Arial" w:cs="Times New Roman"/>
      <w:color w:val="003366"/>
      <w:sz w:val="15"/>
    </w:rPr>
  </w:style>
  <w:style w:type="paragraph" w:customStyle="1" w:styleId="FXStylesTableTitle">
    <w:name w:val="FX_Styles_Table_Title"/>
    <w:rsid w:val="00582E9E"/>
    <w:pPr>
      <w:spacing w:line="240" w:lineRule="exact"/>
      <w:jc w:val="both"/>
    </w:pPr>
    <w:rPr>
      <w:rFonts w:ascii="Arial" w:eastAsia="黑体" w:hAnsi="Arial" w:cs="Times New Roman"/>
      <w:color w:val="003366"/>
      <w:sz w:val="18"/>
    </w:rPr>
  </w:style>
  <w:style w:type="paragraph" w:customStyle="1" w:styleId="FXStylesTextFirTitle">
    <w:name w:val="FX_Styles_Text_FirTitle"/>
    <w:qFormat/>
    <w:rsid w:val="00582E9E"/>
    <w:pPr>
      <w:outlineLvl w:val="0"/>
    </w:pPr>
    <w:rPr>
      <w:rFonts w:ascii="Arial" w:eastAsia="黑体" w:hAnsi="Arial" w:cs="Times New Roman"/>
      <w:b/>
      <w:color w:val="00457C"/>
      <w:sz w:val="28"/>
    </w:rPr>
  </w:style>
  <w:style w:type="paragraph" w:customStyle="1" w:styleId="FXStylesTextSecTitle">
    <w:name w:val="FX_Styles_Text_SecTitle"/>
    <w:qFormat/>
    <w:rsid w:val="00582E9E"/>
    <w:pPr>
      <w:spacing w:afterLines="30"/>
      <w:outlineLvl w:val="1"/>
    </w:pPr>
    <w:rPr>
      <w:rFonts w:ascii="Arial" w:eastAsia="黑体" w:hAnsi="Arial" w:cs="Times New Roman"/>
      <w:color w:val="003366"/>
    </w:rPr>
  </w:style>
  <w:style w:type="paragraph" w:customStyle="1" w:styleId="FXStylesTextText">
    <w:name w:val="FX_Styles_Text_Text"/>
    <w:qFormat/>
    <w:rsid w:val="00582E9E"/>
    <w:pPr>
      <w:spacing w:afterLines="50"/>
      <w:jc w:val="both"/>
    </w:pPr>
    <w:rPr>
      <w:rFonts w:ascii="Arial" w:eastAsia="宋体" w:hAnsi="Arial" w:cs="Times New Roman"/>
      <w:color w:val="003366"/>
      <w:sz w:val="20"/>
    </w:rPr>
  </w:style>
  <w:style w:type="character" w:customStyle="1" w:styleId="GB2312">
    <w:name w:val="样式 楷体_GB2312"/>
    <w:basedOn w:val="a0"/>
    <w:rsid w:val="003D1FD6"/>
    <w:rPr>
      <w:rFonts w:ascii="Times New Roman" w:eastAsia="楷体_GB2312" w:hAnsi="Times New Roman"/>
    </w:rPr>
  </w:style>
  <w:style w:type="paragraph" w:customStyle="1" w:styleId="HJStylesSummaryContent">
    <w:name w:val="HJ_Styles_Summary_Content"/>
    <w:qFormat/>
    <w:rsid w:val="00D05253"/>
    <w:pPr>
      <w:numPr>
        <w:numId w:val="11"/>
      </w:numPr>
      <w:spacing w:afterLines="50" w:after="50"/>
      <w:jc w:val="both"/>
    </w:pPr>
    <w:rPr>
      <w:rFonts w:ascii="Arial" w:eastAsia="微软雅黑" w:hAnsi="Arial" w:cs="Times New Roman"/>
      <w:color w:val="000000"/>
      <w:sz w:val="18"/>
    </w:rPr>
  </w:style>
  <w:style w:type="numbering" w:customStyle="1" w:styleId="HJStylesSummaryContentMark">
    <w:name w:val="HJ_Styles_Summary_Content_Mark"/>
    <w:uiPriority w:val="99"/>
    <w:rsid w:val="00D05253"/>
    <w:pPr>
      <w:numPr>
        <w:numId w:val="10"/>
      </w:numPr>
    </w:pPr>
  </w:style>
  <w:style w:type="paragraph" w:customStyle="1" w:styleId="HJStylesContentFirTitle">
    <w:name w:val="HJ_Styles_Content_FirTitle"/>
    <w:qFormat/>
    <w:rsid w:val="00D05253"/>
    <w:pPr>
      <w:spacing w:beforeLines="100" w:before="100" w:afterLines="50" w:after="50"/>
      <w:ind w:leftChars="1000" w:left="1000"/>
      <w:jc w:val="both"/>
      <w:outlineLvl w:val="0"/>
    </w:pPr>
    <w:rPr>
      <w:rFonts w:ascii="Arial" w:eastAsia="微软雅黑" w:hAnsi="Arial" w:cs="Times New Roman"/>
      <w:color w:val="0072BB"/>
      <w:sz w:val="32"/>
    </w:rPr>
  </w:style>
  <w:style w:type="paragraph" w:customStyle="1" w:styleId="HJStylesContentSecTitle">
    <w:name w:val="HJ_Styles_Content_SecTitle"/>
    <w:qFormat/>
    <w:rsid w:val="00D05253"/>
    <w:pPr>
      <w:spacing w:beforeLines="100" w:before="100" w:afterLines="50" w:after="50"/>
      <w:ind w:leftChars="1000" w:left="1000"/>
      <w:jc w:val="both"/>
      <w:outlineLvl w:val="1"/>
    </w:pPr>
    <w:rPr>
      <w:rFonts w:ascii="Arial" w:eastAsia="微软雅黑" w:hAnsi="Arial" w:cs="Times New Roman"/>
      <w:color w:val="0072BB"/>
      <w:sz w:val="30"/>
    </w:rPr>
  </w:style>
  <w:style w:type="paragraph" w:customStyle="1" w:styleId="HJStylesContentThirdTitle">
    <w:name w:val="HJ_Styles_Content_ThirdTitle"/>
    <w:qFormat/>
    <w:rsid w:val="00D05253"/>
    <w:pPr>
      <w:spacing w:afterLines="50" w:after="50"/>
      <w:ind w:leftChars="1000" w:left="1000"/>
      <w:jc w:val="both"/>
      <w:outlineLvl w:val="2"/>
    </w:pPr>
    <w:rPr>
      <w:rFonts w:ascii="Arial" w:eastAsia="微软雅黑" w:hAnsi="Arial" w:cs="Times New Roman"/>
      <w:color w:val="0072BB"/>
      <w:sz w:val="28"/>
    </w:rPr>
  </w:style>
  <w:style w:type="paragraph" w:customStyle="1" w:styleId="HJStylesContentFourTitle">
    <w:name w:val="HJ_Styles_Content_FourTitle"/>
    <w:qFormat/>
    <w:rsid w:val="00D05253"/>
    <w:pPr>
      <w:spacing w:afterLines="50" w:after="50"/>
      <w:ind w:leftChars="1000" w:left="1000"/>
      <w:jc w:val="both"/>
      <w:outlineLvl w:val="3"/>
    </w:pPr>
    <w:rPr>
      <w:rFonts w:ascii="Arial" w:eastAsia="微软雅黑" w:hAnsi="Arial" w:cs="Times New Roman"/>
      <w:color w:val="0072BB"/>
      <w:sz w:val="24"/>
    </w:rPr>
  </w:style>
  <w:style w:type="paragraph" w:customStyle="1" w:styleId="HJStylesContentContent">
    <w:name w:val="HJ_Styles_Content_Content"/>
    <w:qFormat/>
    <w:rsid w:val="00D05253"/>
    <w:pPr>
      <w:spacing w:afterLines="50" w:after="50" w:line="360" w:lineRule="exact"/>
      <w:ind w:leftChars="1000" w:left="1000" w:firstLineChars="200" w:firstLine="200"/>
      <w:jc w:val="both"/>
    </w:pPr>
    <w:rPr>
      <w:rFonts w:ascii="Arial" w:eastAsia="微软雅黑" w:hAnsi="Arial" w:cs="Times New Roman"/>
      <w:color w:val="000000"/>
    </w:rPr>
  </w:style>
  <w:style w:type="paragraph" w:customStyle="1" w:styleId="HJStylesGraphTitle">
    <w:name w:val="HJ_Styles_Graph_Title"/>
    <w:qFormat/>
    <w:rsid w:val="00D05253"/>
    <w:pPr>
      <w:keepNext/>
      <w:suppressAutoHyphens/>
      <w:spacing w:line="360" w:lineRule="exact"/>
      <w:jc w:val="both"/>
    </w:pPr>
    <w:rPr>
      <w:rFonts w:ascii="Arial" w:eastAsia="微软雅黑" w:hAnsi="Arial" w:cs="Times New Roman"/>
      <w:color w:val="0072BB"/>
      <w:sz w:val="18"/>
    </w:rPr>
  </w:style>
  <w:style w:type="paragraph" w:customStyle="1" w:styleId="HJStylesGraphSource">
    <w:name w:val="HJ_Styles_Graph_Source"/>
    <w:qFormat/>
    <w:rsid w:val="00D05253"/>
    <w:pPr>
      <w:spacing w:afterLines="50" w:after="50" w:line="240" w:lineRule="atLeast"/>
      <w:jc w:val="both"/>
    </w:pPr>
    <w:rPr>
      <w:rFonts w:ascii="Arial" w:eastAsia="微软雅黑" w:hAnsi="Arial" w:cs="Times New Roman"/>
      <w:i/>
      <w:color w:val="0072BB"/>
      <w:sz w:val="15"/>
    </w:rPr>
  </w:style>
  <w:style w:type="paragraph" w:customStyle="1" w:styleId="HJReportFirPageRelaReports">
    <w:name w:val="HJ_Report_FirPage_RelaReports"/>
    <w:qFormat/>
    <w:rsid w:val="00D05253"/>
    <w:pPr>
      <w:jc w:val="both"/>
    </w:pPr>
    <w:rPr>
      <w:rFonts w:ascii="Arial" w:eastAsia="微软雅黑" w:hAnsi="Arial" w:cs="Times New Roman"/>
      <w:sz w:val="18"/>
    </w:rPr>
  </w:style>
  <w:style w:type="paragraph" w:customStyle="1" w:styleId="HJReportFirPageAuthorName">
    <w:name w:val="HJ_Report_FirPage_Author_Name"/>
    <w:qFormat/>
    <w:rsid w:val="00D05253"/>
    <w:pPr>
      <w:spacing w:line="320" w:lineRule="exact"/>
      <w:jc w:val="center"/>
    </w:pPr>
    <w:rPr>
      <w:rFonts w:ascii="Arial" w:eastAsia="微软雅黑" w:hAnsi="Arial" w:cs="Times New Roman"/>
      <w:sz w:val="24"/>
    </w:rPr>
  </w:style>
  <w:style w:type="paragraph" w:customStyle="1" w:styleId="HJReportFirPageAuthorEmail">
    <w:name w:val="HJ_Report_FirPage_Author_Email"/>
    <w:qFormat/>
    <w:rsid w:val="00D05253"/>
    <w:pPr>
      <w:spacing w:line="180" w:lineRule="exact"/>
      <w:jc w:val="right"/>
    </w:pPr>
    <w:rPr>
      <w:rFonts w:ascii="Arial" w:eastAsia="微软雅黑" w:hAnsi="Arial" w:cs="Times New Roman"/>
      <w:sz w:val="15"/>
    </w:rPr>
  </w:style>
  <w:style w:type="paragraph" w:customStyle="1" w:styleId="HJStylesTableTitleSuo">
    <w:name w:val="HJ_Styles_Table_Title_Suo"/>
    <w:qFormat/>
    <w:rsid w:val="00D05253"/>
    <w:pPr>
      <w:keepNext/>
      <w:suppressAutoHyphens/>
      <w:spacing w:line="360" w:lineRule="exact"/>
      <w:ind w:leftChars="1000" w:left="1000"/>
      <w:jc w:val="both"/>
    </w:pPr>
    <w:rPr>
      <w:rFonts w:ascii="Arial" w:eastAsia="微软雅黑" w:hAnsi="Arial" w:cs="Times New Roman"/>
      <w:color w:val="0072BB"/>
      <w:sz w:val="18"/>
    </w:rPr>
  </w:style>
  <w:style w:type="paragraph" w:customStyle="1" w:styleId="HJStylesTableSourceSuo">
    <w:name w:val="HJ_Styles_Table_Source_Suo"/>
    <w:qFormat/>
    <w:rsid w:val="00D05253"/>
    <w:pPr>
      <w:spacing w:afterLines="50" w:after="50" w:line="240" w:lineRule="exact"/>
      <w:ind w:leftChars="1000" w:left="1000"/>
      <w:jc w:val="both"/>
    </w:pPr>
    <w:rPr>
      <w:rFonts w:ascii="Arial" w:eastAsia="微软雅黑" w:hAnsi="Arial" w:cs="Times New Roman"/>
      <w:i/>
      <w:color w:val="0072BB"/>
      <w:sz w:val="15"/>
    </w:rPr>
  </w:style>
  <w:style w:type="table" w:customStyle="1" w:styleId="HJStylesChartInsertSingleCol">
    <w:name w:val="HJ_Styles_Chart_InsertSingleCol"/>
    <w:basedOn w:val="a1"/>
    <w:uiPriority w:val="99"/>
    <w:qFormat/>
    <w:rsid w:val="00D05253"/>
    <w:rPr>
      <w:rFonts w:ascii="Calibri" w:eastAsia="宋体" w:hAnsi="Calibri" w:cs="Times New Roman"/>
      <w:kern w:val="0"/>
      <w:sz w:val="20"/>
      <w:szCs w:val="20"/>
    </w:rPr>
    <w:tblPr>
      <w:tblInd w:w="0" w:type="dxa"/>
      <w:tblBorders>
        <w:insideH w:val="single" w:sz="4" w:space="0" w:color="0072BB"/>
      </w:tblBorders>
      <w:tblCellMar>
        <w:top w:w="0" w:type="dxa"/>
        <w:left w:w="108" w:type="dxa"/>
        <w:bottom w:w="0" w:type="dxa"/>
        <w:right w:w="108" w:type="dxa"/>
      </w:tblCellMar>
    </w:tblPr>
    <w:tcPr>
      <w:tcMar>
        <w:left w:w="0" w:type="dxa"/>
        <w:right w:w="0" w:type="dxa"/>
      </w:tcMar>
    </w:tcPr>
    <w:tblStylePr w:type="firstRow">
      <w:pPr>
        <w:wordWrap/>
        <w:jc w:val="left"/>
      </w:pPr>
    </w:tblStylePr>
    <w:tblStylePr w:type="lastRow">
      <w:pPr>
        <w:wordWrap/>
        <w:jc w:val="left"/>
      </w:pPr>
    </w:tblStylePr>
  </w:style>
  <w:style w:type="table" w:customStyle="1" w:styleId="HJStylesChartInsertDoubleCol">
    <w:name w:val="HJ_Styles_Chart_InsertDoubleCol"/>
    <w:basedOn w:val="a1"/>
    <w:uiPriority w:val="99"/>
    <w:qFormat/>
    <w:rsid w:val="00D05253"/>
    <w:rPr>
      <w:rFonts w:ascii="Calibri" w:eastAsia="宋体" w:hAnsi="Calibri" w:cs="Times New Roman"/>
      <w:kern w:val="0"/>
      <w:sz w:val="20"/>
      <w:szCs w:val="20"/>
    </w:rPr>
    <w:tblPr>
      <w:tblInd w:w="0" w:type="dxa"/>
      <w:tblCellMar>
        <w:top w:w="0" w:type="dxa"/>
        <w:left w:w="108" w:type="dxa"/>
        <w:bottom w:w="0" w:type="dxa"/>
        <w:right w:w="108" w:type="dxa"/>
      </w:tblCellMar>
    </w:tblPr>
    <w:tcPr>
      <w:tcMar>
        <w:left w:w="0" w:type="dxa"/>
        <w:right w:w="0" w:type="dxa"/>
      </w:tcMar>
    </w:tcPr>
    <w:tblStylePr w:type="firstCol">
      <w:tblPr/>
      <w:tcPr>
        <w:tcBorders>
          <w:top w:val="nil"/>
          <w:left w:val="nil"/>
          <w:bottom w:val="nil"/>
          <w:right w:val="nil"/>
          <w:insideH w:val="single" w:sz="4" w:space="0" w:color="0072BB"/>
          <w:insideV w:val="nil"/>
          <w:tl2br w:val="nil"/>
          <w:tr2bl w:val="nil"/>
        </w:tcBorders>
      </w:tcPr>
    </w:tblStylePr>
    <w:tblStylePr w:type="lastCol">
      <w:tblPr/>
      <w:tcPr>
        <w:tcBorders>
          <w:top w:val="nil"/>
          <w:left w:val="nil"/>
          <w:bottom w:val="nil"/>
          <w:right w:val="nil"/>
          <w:insideH w:val="single" w:sz="4" w:space="0" w:color="0072BB"/>
          <w:insideV w:val="nil"/>
          <w:tl2br w:val="nil"/>
          <w:tr2bl w:val="nil"/>
        </w:tcBorders>
      </w:tcPr>
    </w:tblStylePr>
  </w:style>
  <w:style w:type="paragraph" w:customStyle="1" w:styleId="HJStylesTableTitle">
    <w:name w:val="HJ_Styles_Table_Title"/>
    <w:qFormat/>
    <w:rsid w:val="00D05253"/>
    <w:pPr>
      <w:keepNext/>
      <w:suppressAutoHyphens/>
      <w:spacing w:line="360" w:lineRule="exact"/>
      <w:jc w:val="both"/>
    </w:pPr>
    <w:rPr>
      <w:rFonts w:ascii="Arial" w:eastAsia="微软雅黑" w:hAnsi="Arial" w:cs="Times New Roman"/>
      <w:color w:val="0072BB"/>
      <w:sz w:val="18"/>
    </w:rPr>
  </w:style>
  <w:style w:type="table" w:customStyle="1" w:styleId="HJStylesTableDefalutStyle">
    <w:name w:val="HJ_Styles_Table_DefalutStyle"/>
    <w:basedOn w:val="a1"/>
    <w:uiPriority w:val="99"/>
    <w:qFormat/>
    <w:rsid w:val="00D05253"/>
    <w:rPr>
      <w:rFonts w:ascii="Arial" w:eastAsia="楷体_GB2312" w:hAnsi="Arial" w:cs="Times New Roman"/>
      <w:color w:val="000000"/>
      <w:kern w:val="0"/>
      <w:sz w:val="18"/>
      <w:szCs w:val="20"/>
    </w:rPr>
    <w:tblPr>
      <w:tblInd w:w="0" w:type="dxa"/>
      <w:tblBorders>
        <w:bottom w:val="single" w:sz="4" w:space="0" w:color="0072BB"/>
      </w:tblBorders>
      <w:tblCellMar>
        <w:top w:w="0" w:type="dxa"/>
        <w:left w:w="108" w:type="dxa"/>
        <w:bottom w:w="0" w:type="dxa"/>
        <w:right w:w="108" w:type="dxa"/>
      </w:tblCellMar>
    </w:tblPr>
    <w:tblStylePr w:type="firstRow">
      <w:pPr>
        <w:wordWrap/>
        <w:jc w:val="center"/>
      </w:pPr>
      <w:rPr>
        <w:rFonts w:eastAsia="微软雅黑"/>
        <w:b/>
        <w:i w:val="0"/>
        <w:color w:val="FFFFFF"/>
        <w:sz w:val="18"/>
      </w:rPr>
      <w:tblPr/>
      <w:tcPr>
        <w:shd w:val="clear" w:color="auto" w:fill="0072BB"/>
      </w:tcPr>
    </w:tblStylePr>
  </w:style>
  <w:style w:type="paragraph" w:customStyle="1" w:styleId="HJStylesMuluTitle">
    <w:name w:val="HJ_Styles_Mulu_Title"/>
    <w:rsid w:val="00D05253"/>
    <w:pPr>
      <w:ind w:leftChars="1000" w:left="1000"/>
    </w:pPr>
    <w:rPr>
      <w:rFonts w:ascii="Arial" w:eastAsia="微软雅黑" w:hAnsi="Arial" w:cs="Times New Roman"/>
      <w:b/>
      <w:color w:val="000000"/>
      <w:sz w:val="30"/>
    </w:rPr>
  </w:style>
  <w:style w:type="paragraph" w:customStyle="1" w:styleId="HJStylesMuluContent1">
    <w:name w:val="HJ_Styles_Mulu_Content1"/>
    <w:rsid w:val="00D05253"/>
    <w:pPr>
      <w:spacing w:line="320" w:lineRule="exact"/>
      <w:ind w:leftChars="1000" w:left="1000"/>
      <w:jc w:val="both"/>
    </w:pPr>
    <w:rPr>
      <w:rFonts w:ascii="Arial" w:eastAsia="微软雅黑" w:hAnsi="Arial" w:cs="Times New Roman"/>
      <w:b/>
      <w:color w:val="000000"/>
      <w:sz w:val="18"/>
    </w:rPr>
  </w:style>
  <w:style w:type="paragraph" w:customStyle="1" w:styleId="HJStylesMuluContent2">
    <w:name w:val="HJ_Styles_Mulu_Content2"/>
    <w:rsid w:val="00D05253"/>
    <w:pPr>
      <w:spacing w:line="320" w:lineRule="exact"/>
      <w:ind w:leftChars="1200" w:left="1200"/>
      <w:jc w:val="both"/>
    </w:pPr>
    <w:rPr>
      <w:rFonts w:ascii="Arial" w:eastAsia="微软雅黑" w:hAnsi="Arial" w:cs="Times New Roman"/>
      <w:color w:val="000000"/>
      <w:sz w:val="18"/>
    </w:rPr>
  </w:style>
  <w:style w:type="paragraph" w:customStyle="1" w:styleId="HJReportFirPageAuthorPosition">
    <w:name w:val="HJ_Report_FirPage_Author_Position"/>
    <w:qFormat/>
    <w:rsid w:val="00D05253"/>
    <w:pPr>
      <w:spacing w:line="240" w:lineRule="exact"/>
      <w:jc w:val="right"/>
    </w:pPr>
    <w:rPr>
      <w:rFonts w:ascii="Arial" w:eastAsia="微软雅黑" w:hAnsi="Arial" w:cs="Times New Roman"/>
      <w:color w:val="000000"/>
      <w:sz w:val="18"/>
    </w:rPr>
  </w:style>
  <w:style w:type="paragraph" w:customStyle="1" w:styleId="Default">
    <w:name w:val="Default"/>
    <w:rsid w:val="00AF1CF6"/>
    <w:pPr>
      <w:widowControl w:val="0"/>
      <w:autoSpaceDE w:val="0"/>
      <w:autoSpaceDN w:val="0"/>
      <w:adjustRightInd w:val="0"/>
    </w:pPr>
    <w:rPr>
      <w:rFonts w:ascii="楷体_GB2312" w:eastAsia="宋体" w:hAnsi="楷体_GB2312" w:cs="楷体_GB2312"/>
      <w:color w:val="000000"/>
      <w:kern w:val="0"/>
      <w:sz w:val="24"/>
      <w:szCs w:val="24"/>
    </w:rPr>
  </w:style>
  <w:style w:type="paragraph" w:customStyle="1" w:styleId="HJStylesMuluContent3">
    <w:name w:val="HJ_Styles_Mulu_Content3"/>
    <w:qFormat/>
    <w:rsid w:val="00D05253"/>
    <w:pPr>
      <w:spacing w:line="320" w:lineRule="exact"/>
      <w:ind w:leftChars="1400" w:left="1400"/>
    </w:pPr>
    <w:rPr>
      <w:rFonts w:ascii="Arial" w:eastAsia="微软雅黑" w:hAnsi="Arial" w:cs="Times New Roman"/>
      <w:color w:val="000000"/>
      <w:sz w:val="18"/>
    </w:rPr>
  </w:style>
  <w:style w:type="paragraph" w:customStyle="1" w:styleId="HJStylesMuluGraph">
    <w:name w:val="HJ_Styles_Mulu_Graph"/>
    <w:qFormat/>
    <w:rsid w:val="00D05253"/>
    <w:pPr>
      <w:spacing w:line="320" w:lineRule="exact"/>
      <w:ind w:leftChars="1000" w:left="1000"/>
    </w:pPr>
    <w:rPr>
      <w:rFonts w:ascii="Arial" w:eastAsia="微软雅黑" w:hAnsi="Arial" w:cs="Times New Roman"/>
      <w:color w:val="000000"/>
      <w:sz w:val="18"/>
    </w:rPr>
  </w:style>
  <w:style w:type="table" w:styleId="ab">
    <w:name w:val="Table Professional"/>
    <w:basedOn w:val="a1"/>
    <w:uiPriority w:val="99"/>
    <w:unhideWhenUsed/>
    <w:rsid w:val="0050127B"/>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963867">
      <w:bodyDiv w:val="1"/>
      <w:marLeft w:val="0"/>
      <w:marRight w:val="0"/>
      <w:marTop w:val="0"/>
      <w:marBottom w:val="0"/>
      <w:divBdr>
        <w:top w:val="none" w:sz="0" w:space="0" w:color="auto"/>
        <w:left w:val="none" w:sz="0" w:space="0" w:color="auto"/>
        <w:bottom w:val="none" w:sz="0" w:space="0" w:color="auto"/>
        <w:right w:val="none" w:sz="0" w:space="0" w:color="auto"/>
      </w:divBdr>
    </w:div>
    <w:div w:id="1669747050">
      <w:bodyDiv w:val="1"/>
      <w:marLeft w:val="0"/>
      <w:marRight w:val="0"/>
      <w:marTop w:val="0"/>
      <w:marBottom w:val="0"/>
      <w:divBdr>
        <w:top w:val="none" w:sz="0" w:space="0" w:color="auto"/>
        <w:left w:val="none" w:sz="0" w:space="0" w:color="auto"/>
        <w:bottom w:val="none" w:sz="0" w:space="0" w:color="auto"/>
        <w:right w:val="none" w:sz="0" w:space="0" w:color="auto"/>
      </w:divBdr>
    </w:div>
    <w:div w:id="1862670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BigData\&#21326;&#37329;Word&#25554;&#20214;\config\Word\RptTemplate\&#20844;&#21496;&#24555;&#25253;.dotx"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573995558247527"/>
          <c:y val="0.16724245406824143"/>
          <c:w val="0.69455949256342953"/>
          <c:h val="0.72224901574803146"/>
        </c:manualLayout>
      </c:layout>
      <c:lineChart>
        <c:grouping val="standard"/>
        <c:varyColors val="0"/>
        <c:ser>
          <c:idx val="0"/>
          <c:order val="0"/>
          <c:tx>
            <c:strRef>
              <c:f>Sheet1!$B$1</c:f>
              <c:strCache>
                <c:ptCount val="1"/>
                <c:pt idx="0">
                  <c:v>新华保险</c:v>
                </c:pt>
              </c:strCache>
            </c:strRef>
          </c:tx>
          <c:spPr>
            <a:ln w="12700">
              <a:solidFill>
                <a:srgbClr val="0054E3"/>
              </a:solidFill>
            </a:ln>
          </c:spPr>
          <c:marker>
            <c:symbol val="none"/>
          </c:marker>
          <c:cat>
            <c:numRef>
              <c:f>Sheet1!$A$2:$A$257</c:f>
              <c:numCache>
                <c:formatCode>m/d/yyyy</c:formatCode>
                <c:ptCount val="256"/>
                <c:pt idx="0">
                  <c:v>42354</c:v>
                </c:pt>
                <c:pt idx="1">
                  <c:v>42355</c:v>
                </c:pt>
                <c:pt idx="2">
                  <c:v>42356</c:v>
                </c:pt>
                <c:pt idx="3">
                  <c:v>42359</c:v>
                </c:pt>
                <c:pt idx="4">
                  <c:v>42360</c:v>
                </c:pt>
                <c:pt idx="5">
                  <c:v>42361</c:v>
                </c:pt>
                <c:pt idx="6">
                  <c:v>42362</c:v>
                </c:pt>
                <c:pt idx="7">
                  <c:v>42363</c:v>
                </c:pt>
                <c:pt idx="8">
                  <c:v>42366</c:v>
                </c:pt>
                <c:pt idx="9">
                  <c:v>42367</c:v>
                </c:pt>
                <c:pt idx="10">
                  <c:v>42368</c:v>
                </c:pt>
                <c:pt idx="11">
                  <c:v>42369</c:v>
                </c:pt>
                <c:pt idx="12">
                  <c:v>42370</c:v>
                </c:pt>
                <c:pt idx="13">
                  <c:v>42373</c:v>
                </c:pt>
                <c:pt idx="14">
                  <c:v>42374</c:v>
                </c:pt>
                <c:pt idx="15">
                  <c:v>42375</c:v>
                </c:pt>
                <c:pt idx="16">
                  <c:v>42376</c:v>
                </c:pt>
                <c:pt idx="17">
                  <c:v>42377</c:v>
                </c:pt>
                <c:pt idx="18">
                  <c:v>42380</c:v>
                </c:pt>
                <c:pt idx="19">
                  <c:v>42381</c:v>
                </c:pt>
                <c:pt idx="20">
                  <c:v>42382</c:v>
                </c:pt>
                <c:pt idx="21">
                  <c:v>42383</c:v>
                </c:pt>
                <c:pt idx="22">
                  <c:v>42384</c:v>
                </c:pt>
                <c:pt idx="23">
                  <c:v>42387</c:v>
                </c:pt>
                <c:pt idx="24">
                  <c:v>42388</c:v>
                </c:pt>
                <c:pt idx="25">
                  <c:v>42389</c:v>
                </c:pt>
                <c:pt idx="26">
                  <c:v>42390</c:v>
                </c:pt>
                <c:pt idx="27">
                  <c:v>42391</c:v>
                </c:pt>
                <c:pt idx="28">
                  <c:v>42394</c:v>
                </c:pt>
                <c:pt idx="29">
                  <c:v>42395</c:v>
                </c:pt>
                <c:pt idx="30">
                  <c:v>42396</c:v>
                </c:pt>
                <c:pt idx="31">
                  <c:v>42397</c:v>
                </c:pt>
                <c:pt idx="32">
                  <c:v>42398</c:v>
                </c:pt>
                <c:pt idx="33">
                  <c:v>42401</c:v>
                </c:pt>
                <c:pt idx="34">
                  <c:v>42402</c:v>
                </c:pt>
                <c:pt idx="35">
                  <c:v>42403</c:v>
                </c:pt>
                <c:pt idx="36">
                  <c:v>42404</c:v>
                </c:pt>
                <c:pt idx="37">
                  <c:v>42405</c:v>
                </c:pt>
                <c:pt idx="38">
                  <c:v>42408</c:v>
                </c:pt>
                <c:pt idx="39">
                  <c:v>42409</c:v>
                </c:pt>
                <c:pt idx="40">
                  <c:v>42410</c:v>
                </c:pt>
                <c:pt idx="41">
                  <c:v>42411</c:v>
                </c:pt>
                <c:pt idx="42">
                  <c:v>42412</c:v>
                </c:pt>
                <c:pt idx="43">
                  <c:v>42415</c:v>
                </c:pt>
                <c:pt idx="44">
                  <c:v>42416</c:v>
                </c:pt>
                <c:pt idx="45">
                  <c:v>42417</c:v>
                </c:pt>
                <c:pt idx="46">
                  <c:v>42418</c:v>
                </c:pt>
                <c:pt idx="47">
                  <c:v>42419</c:v>
                </c:pt>
                <c:pt idx="48">
                  <c:v>42422</c:v>
                </c:pt>
                <c:pt idx="49">
                  <c:v>42423</c:v>
                </c:pt>
                <c:pt idx="50">
                  <c:v>42424</c:v>
                </c:pt>
                <c:pt idx="51">
                  <c:v>42425</c:v>
                </c:pt>
                <c:pt idx="52">
                  <c:v>42426</c:v>
                </c:pt>
                <c:pt idx="53">
                  <c:v>42429</c:v>
                </c:pt>
                <c:pt idx="54">
                  <c:v>42430</c:v>
                </c:pt>
                <c:pt idx="55">
                  <c:v>42431</c:v>
                </c:pt>
                <c:pt idx="56">
                  <c:v>42432</c:v>
                </c:pt>
                <c:pt idx="57">
                  <c:v>42433</c:v>
                </c:pt>
                <c:pt idx="58">
                  <c:v>42436</c:v>
                </c:pt>
                <c:pt idx="59">
                  <c:v>42437</c:v>
                </c:pt>
                <c:pt idx="60">
                  <c:v>42438</c:v>
                </c:pt>
                <c:pt idx="61">
                  <c:v>42439</c:v>
                </c:pt>
                <c:pt idx="62">
                  <c:v>42440</c:v>
                </c:pt>
                <c:pt idx="63">
                  <c:v>42443</c:v>
                </c:pt>
                <c:pt idx="64">
                  <c:v>42444</c:v>
                </c:pt>
                <c:pt idx="65">
                  <c:v>42445</c:v>
                </c:pt>
                <c:pt idx="66">
                  <c:v>42446</c:v>
                </c:pt>
                <c:pt idx="67">
                  <c:v>42447</c:v>
                </c:pt>
                <c:pt idx="68">
                  <c:v>42450</c:v>
                </c:pt>
                <c:pt idx="69">
                  <c:v>42451</c:v>
                </c:pt>
                <c:pt idx="70">
                  <c:v>42452</c:v>
                </c:pt>
                <c:pt idx="71">
                  <c:v>42453</c:v>
                </c:pt>
                <c:pt idx="72">
                  <c:v>42454</c:v>
                </c:pt>
                <c:pt idx="73">
                  <c:v>42457</c:v>
                </c:pt>
                <c:pt idx="74">
                  <c:v>42458</c:v>
                </c:pt>
                <c:pt idx="75">
                  <c:v>42459</c:v>
                </c:pt>
                <c:pt idx="76">
                  <c:v>42460</c:v>
                </c:pt>
                <c:pt idx="77">
                  <c:v>42461</c:v>
                </c:pt>
                <c:pt idx="78">
                  <c:v>42464</c:v>
                </c:pt>
                <c:pt idx="79">
                  <c:v>42465</c:v>
                </c:pt>
                <c:pt idx="80">
                  <c:v>42466</c:v>
                </c:pt>
                <c:pt idx="81">
                  <c:v>42467</c:v>
                </c:pt>
                <c:pt idx="82">
                  <c:v>42468</c:v>
                </c:pt>
                <c:pt idx="83">
                  <c:v>42471</c:v>
                </c:pt>
                <c:pt idx="84">
                  <c:v>42472</c:v>
                </c:pt>
                <c:pt idx="85">
                  <c:v>42473</c:v>
                </c:pt>
                <c:pt idx="86">
                  <c:v>42474</c:v>
                </c:pt>
                <c:pt idx="87">
                  <c:v>42475</c:v>
                </c:pt>
                <c:pt idx="88">
                  <c:v>42478</c:v>
                </c:pt>
                <c:pt idx="89">
                  <c:v>42479</c:v>
                </c:pt>
                <c:pt idx="90">
                  <c:v>42480</c:v>
                </c:pt>
                <c:pt idx="91">
                  <c:v>42481</c:v>
                </c:pt>
                <c:pt idx="92">
                  <c:v>42482</c:v>
                </c:pt>
                <c:pt idx="93">
                  <c:v>42485</c:v>
                </c:pt>
                <c:pt idx="94">
                  <c:v>42486</c:v>
                </c:pt>
                <c:pt idx="95">
                  <c:v>42487</c:v>
                </c:pt>
                <c:pt idx="96">
                  <c:v>42488</c:v>
                </c:pt>
                <c:pt idx="97">
                  <c:v>42489</c:v>
                </c:pt>
                <c:pt idx="98">
                  <c:v>42492</c:v>
                </c:pt>
                <c:pt idx="99">
                  <c:v>42493</c:v>
                </c:pt>
                <c:pt idx="100">
                  <c:v>42494</c:v>
                </c:pt>
                <c:pt idx="101">
                  <c:v>42495</c:v>
                </c:pt>
                <c:pt idx="102">
                  <c:v>42496</c:v>
                </c:pt>
                <c:pt idx="103">
                  <c:v>42499</c:v>
                </c:pt>
                <c:pt idx="104">
                  <c:v>42500</c:v>
                </c:pt>
                <c:pt idx="105">
                  <c:v>42501</c:v>
                </c:pt>
                <c:pt idx="106">
                  <c:v>42502</c:v>
                </c:pt>
                <c:pt idx="107">
                  <c:v>42503</c:v>
                </c:pt>
                <c:pt idx="108">
                  <c:v>42506</c:v>
                </c:pt>
                <c:pt idx="109">
                  <c:v>42507</c:v>
                </c:pt>
                <c:pt idx="110">
                  <c:v>42508</c:v>
                </c:pt>
                <c:pt idx="111">
                  <c:v>42509</c:v>
                </c:pt>
                <c:pt idx="112">
                  <c:v>42510</c:v>
                </c:pt>
                <c:pt idx="113">
                  <c:v>42513</c:v>
                </c:pt>
                <c:pt idx="114">
                  <c:v>42514</c:v>
                </c:pt>
                <c:pt idx="115">
                  <c:v>42515</c:v>
                </c:pt>
                <c:pt idx="116">
                  <c:v>42516</c:v>
                </c:pt>
                <c:pt idx="117">
                  <c:v>42517</c:v>
                </c:pt>
                <c:pt idx="118">
                  <c:v>42520</c:v>
                </c:pt>
                <c:pt idx="119">
                  <c:v>42521</c:v>
                </c:pt>
                <c:pt idx="120">
                  <c:v>42522</c:v>
                </c:pt>
                <c:pt idx="121">
                  <c:v>42523</c:v>
                </c:pt>
                <c:pt idx="122">
                  <c:v>42524</c:v>
                </c:pt>
                <c:pt idx="123">
                  <c:v>42527</c:v>
                </c:pt>
                <c:pt idx="124">
                  <c:v>42528</c:v>
                </c:pt>
                <c:pt idx="125">
                  <c:v>42529</c:v>
                </c:pt>
                <c:pt idx="126">
                  <c:v>42530</c:v>
                </c:pt>
                <c:pt idx="127">
                  <c:v>42531</c:v>
                </c:pt>
                <c:pt idx="128">
                  <c:v>42534</c:v>
                </c:pt>
                <c:pt idx="129">
                  <c:v>42535</c:v>
                </c:pt>
                <c:pt idx="130">
                  <c:v>42536</c:v>
                </c:pt>
                <c:pt idx="131">
                  <c:v>42537</c:v>
                </c:pt>
                <c:pt idx="132">
                  <c:v>42538</c:v>
                </c:pt>
                <c:pt idx="133">
                  <c:v>42541</c:v>
                </c:pt>
                <c:pt idx="134">
                  <c:v>42542</c:v>
                </c:pt>
                <c:pt idx="135">
                  <c:v>42543</c:v>
                </c:pt>
                <c:pt idx="136">
                  <c:v>42544</c:v>
                </c:pt>
                <c:pt idx="137">
                  <c:v>42545</c:v>
                </c:pt>
                <c:pt idx="138">
                  <c:v>42548</c:v>
                </c:pt>
                <c:pt idx="139">
                  <c:v>42549</c:v>
                </c:pt>
                <c:pt idx="140">
                  <c:v>42550</c:v>
                </c:pt>
                <c:pt idx="141">
                  <c:v>42551</c:v>
                </c:pt>
                <c:pt idx="142">
                  <c:v>42552</c:v>
                </c:pt>
                <c:pt idx="143">
                  <c:v>42555</c:v>
                </c:pt>
                <c:pt idx="144">
                  <c:v>42556</c:v>
                </c:pt>
                <c:pt idx="145">
                  <c:v>42557</c:v>
                </c:pt>
                <c:pt idx="146">
                  <c:v>42558</c:v>
                </c:pt>
                <c:pt idx="147">
                  <c:v>42559</c:v>
                </c:pt>
                <c:pt idx="148">
                  <c:v>42562</c:v>
                </c:pt>
                <c:pt idx="149">
                  <c:v>42563</c:v>
                </c:pt>
                <c:pt idx="150">
                  <c:v>42564</c:v>
                </c:pt>
                <c:pt idx="151">
                  <c:v>42565</c:v>
                </c:pt>
                <c:pt idx="152">
                  <c:v>42566</c:v>
                </c:pt>
                <c:pt idx="153">
                  <c:v>42569</c:v>
                </c:pt>
                <c:pt idx="154">
                  <c:v>42570</c:v>
                </c:pt>
                <c:pt idx="155">
                  <c:v>42571</c:v>
                </c:pt>
                <c:pt idx="156">
                  <c:v>42572</c:v>
                </c:pt>
                <c:pt idx="157">
                  <c:v>42573</c:v>
                </c:pt>
                <c:pt idx="158">
                  <c:v>42576</c:v>
                </c:pt>
                <c:pt idx="159">
                  <c:v>42577</c:v>
                </c:pt>
                <c:pt idx="160">
                  <c:v>42578</c:v>
                </c:pt>
                <c:pt idx="161">
                  <c:v>42579</c:v>
                </c:pt>
                <c:pt idx="162">
                  <c:v>42580</c:v>
                </c:pt>
                <c:pt idx="163">
                  <c:v>42583</c:v>
                </c:pt>
                <c:pt idx="164">
                  <c:v>42584</c:v>
                </c:pt>
                <c:pt idx="165">
                  <c:v>42585</c:v>
                </c:pt>
                <c:pt idx="166">
                  <c:v>42586</c:v>
                </c:pt>
                <c:pt idx="167">
                  <c:v>42587</c:v>
                </c:pt>
                <c:pt idx="168">
                  <c:v>42590</c:v>
                </c:pt>
                <c:pt idx="169">
                  <c:v>42591</c:v>
                </c:pt>
                <c:pt idx="170">
                  <c:v>42592</c:v>
                </c:pt>
                <c:pt idx="171">
                  <c:v>42593</c:v>
                </c:pt>
                <c:pt idx="172">
                  <c:v>42594</c:v>
                </c:pt>
                <c:pt idx="173">
                  <c:v>42597</c:v>
                </c:pt>
                <c:pt idx="174">
                  <c:v>42598</c:v>
                </c:pt>
                <c:pt idx="175">
                  <c:v>42599</c:v>
                </c:pt>
                <c:pt idx="176">
                  <c:v>42600</c:v>
                </c:pt>
                <c:pt idx="177">
                  <c:v>42601</c:v>
                </c:pt>
                <c:pt idx="178">
                  <c:v>42604</c:v>
                </c:pt>
                <c:pt idx="179">
                  <c:v>42605</c:v>
                </c:pt>
                <c:pt idx="180">
                  <c:v>42606</c:v>
                </c:pt>
                <c:pt idx="181">
                  <c:v>42607</c:v>
                </c:pt>
                <c:pt idx="182">
                  <c:v>42608</c:v>
                </c:pt>
                <c:pt idx="183">
                  <c:v>42611</c:v>
                </c:pt>
                <c:pt idx="184">
                  <c:v>42612</c:v>
                </c:pt>
                <c:pt idx="185">
                  <c:v>42613</c:v>
                </c:pt>
                <c:pt idx="186">
                  <c:v>42614</c:v>
                </c:pt>
                <c:pt idx="187">
                  <c:v>42615</c:v>
                </c:pt>
                <c:pt idx="188">
                  <c:v>42618</c:v>
                </c:pt>
                <c:pt idx="189">
                  <c:v>42619</c:v>
                </c:pt>
                <c:pt idx="190">
                  <c:v>42620</c:v>
                </c:pt>
                <c:pt idx="191">
                  <c:v>42621</c:v>
                </c:pt>
                <c:pt idx="192">
                  <c:v>42622</c:v>
                </c:pt>
                <c:pt idx="193">
                  <c:v>42625</c:v>
                </c:pt>
                <c:pt idx="194">
                  <c:v>42626</c:v>
                </c:pt>
                <c:pt idx="195">
                  <c:v>42627</c:v>
                </c:pt>
                <c:pt idx="196">
                  <c:v>42632</c:v>
                </c:pt>
                <c:pt idx="197">
                  <c:v>42633</c:v>
                </c:pt>
                <c:pt idx="198">
                  <c:v>42634</c:v>
                </c:pt>
                <c:pt idx="199">
                  <c:v>42635</c:v>
                </c:pt>
                <c:pt idx="200">
                  <c:v>42636</c:v>
                </c:pt>
                <c:pt idx="201">
                  <c:v>42639</c:v>
                </c:pt>
                <c:pt idx="202">
                  <c:v>42640</c:v>
                </c:pt>
                <c:pt idx="203">
                  <c:v>42641</c:v>
                </c:pt>
                <c:pt idx="204">
                  <c:v>42642</c:v>
                </c:pt>
                <c:pt idx="205">
                  <c:v>42643</c:v>
                </c:pt>
                <c:pt idx="206">
                  <c:v>42653</c:v>
                </c:pt>
                <c:pt idx="207">
                  <c:v>42654</c:v>
                </c:pt>
                <c:pt idx="208">
                  <c:v>42655</c:v>
                </c:pt>
                <c:pt idx="209">
                  <c:v>42656</c:v>
                </c:pt>
                <c:pt idx="210">
                  <c:v>42657</c:v>
                </c:pt>
                <c:pt idx="211">
                  <c:v>42660</c:v>
                </c:pt>
                <c:pt idx="212">
                  <c:v>42661</c:v>
                </c:pt>
                <c:pt idx="213">
                  <c:v>42662</c:v>
                </c:pt>
                <c:pt idx="214">
                  <c:v>42663</c:v>
                </c:pt>
                <c:pt idx="215">
                  <c:v>42664</c:v>
                </c:pt>
                <c:pt idx="216">
                  <c:v>42667</c:v>
                </c:pt>
                <c:pt idx="217">
                  <c:v>42668</c:v>
                </c:pt>
                <c:pt idx="218">
                  <c:v>42669</c:v>
                </c:pt>
                <c:pt idx="219">
                  <c:v>42670</c:v>
                </c:pt>
                <c:pt idx="220">
                  <c:v>42671</c:v>
                </c:pt>
                <c:pt idx="221">
                  <c:v>42674</c:v>
                </c:pt>
                <c:pt idx="222">
                  <c:v>42675</c:v>
                </c:pt>
                <c:pt idx="223">
                  <c:v>42676</c:v>
                </c:pt>
                <c:pt idx="224">
                  <c:v>42677</c:v>
                </c:pt>
                <c:pt idx="225">
                  <c:v>42678</c:v>
                </c:pt>
                <c:pt idx="226">
                  <c:v>42681</c:v>
                </c:pt>
                <c:pt idx="227">
                  <c:v>42682</c:v>
                </c:pt>
                <c:pt idx="228">
                  <c:v>42683</c:v>
                </c:pt>
                <c:pt idx="229">
                  <c:v>42684</c:v>
                </c:pt>
                <c:pt idx="230">
                  <c:v>42685</c:v>
                </c:pt>
                <c:pt idx="231">
                  <c:v>42688</c:v>
                </c:pt>
                <c:pt idx="232">
                  <c:v>42689</c:v>
                </c:pt>
                <c:pt idx="233">
                  <c:v>42690</c:v>
                </c:pt>
                <c:pt idx="234">
                  <c:v>42691</c:v>
                </c:pt>
                <c:pt idx="235">
                  <c:v>42692</c:v>
                </c:pt>
                <c:pt idx="236">
                  <c:v>42695</c:v>
                </c:pt>
                <c:pt idx="237">
                  <c:v>42696</c:v>
                </c:pt>
                <c:pt idx="238">
                  <c:v>42697</c:v>
                </c:pt>
                <c:pt idx="239">
                  <c:v>42698</c:v>
                </c:pt>
                <c:pt idx="240">
                  <c:v>42699</c:v>
                </c:pt>
                <c:pt idx="241">
                  <c:v>42702</c:v>
                </c:pt>
                <c:pt idx="242">
                  <c:v>42703</c:v>
                </c:pt>
                <c:pt idx="243">
                  <c:v>42704</c:v>
                </c:pt>
                <c:pt idx="244">
                  <c:v>42705</c:v>
                </c:pt>
                <c:pt idx="245">
                  <c:v>42706</c:v>
                </c:pt>
                <c:pt idx="246">
                  <c:v>42709</c:v>
                </c:pt>
                <c:pt idx="247">
                  <c:v>42710</c:v>
                </c:pt>
                <c:pt idx="248">
                  <c:v>42711</c:v>
                </c:pt>
                <c:pt idx="249">
                  <c:v>42712</c:v>
                </c:pt>
                <c:pt idx="250">
                  <c:v>42713</c:v>
                </c:pt>
                <c:pt idx="251">
                  <c:v>42716</c:v>
                </c:pt>
                <c:pt idx="252">
                  <c:v>42717</c:v>
                </c:pt>
                <c:pt idx="253">
                  <c:v>42718</c:v>
                </c:pt>
                <c:pt idx="254">
                  <c:v>42719</c:v>
                </c:pt>
                <c:pt idx="255">
                  <c:v>42720</c:v>
                </c:pt>
              </c:numCache>
            </c:numRef>
          </c:cat>
          <c:val>
            <c:numRef>
              <c:f>Sheet1!$B$2:$B$257</c:f>
              <c:numCache>
                <c:formatCode>General</c:formatCode>
                <c:ptCount val="256"/>
                <c:pt idx="0">
                  <c:v>0</c:v>
                </c:pt>
                <c:pt idx="1">
                  <c:v>1.61E-2</c:v>
                </c:pt>
                <c:pt idx="2">
                  <c:v>1.7299999999999999E-2</c:v>
                </c:pt>
                <c:pt idx="3">
                  <c:v>6.5100000000000005E-2</c:v>
                </c:pt>
                <c:pt idx="4">
                  <c:v>6.59E-2</c:v>
                </c:pt>
                <c:pt idx="5">
                  <c:v>8.1600000000000006E-2</c:v>
                </c:pt>
                <c:pt idx="6">
                  <c:v>8.2100000000000006E-2</c:v>
                </c:pt>
                <c:pt idx="7">
                  <c:v>6.59E-2</c:v>
                </c:pt>
                <c:pt idx="8">
                  <c:v>2.1000000000000001E-2</c:v>
                </c:pt>
                <c:pt idx="9">
                  <c:v>3.1800000000000002E-2</c:v>
                </c:pt>
                <c:pt idx="10">
                  <c:v>2.3699999999999999E-2</c:v>
                </c:pt>
                <c:pt idx="11">
                  <c:v>2.35E-2</c:v>
                </c:pt>
                <c:pt idx="12">
                  <c:v>2.35E-2</c:v>
                </c:pt>
                <c:pt idx="13">
                  <c:v>-7.8600000000000003E-2</c:v>
                </c:pt>
                <c:pt idx="14">
                  <c:v>-5.7799999999999997E-2</c:v>
                </c:pt>
                <c:pt idx="15">
                  <c:v>-5.6899999999999999E-2</c:v>
                </c:pt>
                <c:pt idx="16">
                  <c:v>-0.1459</c:v>
                </c:pt>
                <c:pt idx="17">
                  <c:v>-0.1104</c:v>
                </c:pt>
                <c:pt idx="18">
                  <c:v>-0.17369999999999999</c:v>
                </c:pt>
                <c:pt idx="19">
                  <c:v>-0.1676</c:v>
                </c:pt>
                <c:pt idx="20">
                  <c:v>-0.1913</c:v>
                </c:pt>
                <c:pt idx="21">
                  <c:v>-0.1749</c:v>
                </c:pt>
                <c:pt idx="22">
                  <c:v>-0.2298</c:v>
                </c:pt>
                <c:pt idx="23">
                  <c:v>-0.2298</c:v>
                </c:pt>
                <c:pt idx="24">
                  <c:v>-0.1976</c:v>
                </c:pt>
                <c:pt idx="25">
                  <c:v>-0.2205</c:v>
                </c:pt>
                <c:pt idx="26">
                  <c:v>-0.24840000000000001</c:v>
                </c:pt>
                <c:pt idx="27">
                  <c:v>-0.23269999999999999</c:v>
                </c:pt>
                <c:pt idx="28">
                  <c:v>-0.22919999999999999</c:v>
                </c:pt>
                <c:pt idx="29">
                  <c:v>-0.28210000000000002</c:v>
                </c:pt>
                <c:pt idx="30">
                  <c:v>-0.30070000000000002</c:v>
                </c:pt>
                <c:pt idx="31">
                  <c:v>-0.31090000000000001</c:v>
                </c:pt>
                <c:pt idx="32">
                  <c:v>-0.2782</c:v>
                </c:pt>
                <c:pt idx="33">
                  <c:v>-0.29620000000000002</c:v>
                </c:pt>
                <c:pt idx="34">
                  <c:v>-0.27700000000000002</c:v>
                </c:pt>
                <c:pt idx="35">
                  <c:v>-0.28839999999999999</c:v>
                </c:pt>
                <c:pt idx="36">
                  <c:v>-0.27429999999999999</c:v>
                </c:pt>
                <c:pt idx="37">
                  <c:v>-0.27989999999999998</c:v>
                </c:pt>
                <c:pt idx="38">
                  <c:v>-0.27989999999999998</c:v>
                </c:pt>
                <c:pt idx="39">
                  <c:v>-0.27989999999999998</c:v>
                </c:pt>
                <c:pt idx="40">
                  <c:v>-0.27989999999999998</c:v>
                </c:pt>
                <c:pt idx="41">
                  <c:v>-0.27989999999999998</c:v>
                </c:pt>
                <c:pt idx="42">
                  <c:v>-0.27989999999999998</c:v>
                </c:pt>
                <c:pt idx="43">
                  <c:v>-0.28699999999999998</c:v>
                </c:pt>
                <c:pt idx="44">
                  <c:v>-0.25840000000000002</c:v>
                </c:pt>
                <c:pt idx="45">
                  <c:v>-0.25330000000000003</c:v>
                </c:pt>
                <c:pt idx="46">
                  <c:v>-0.25979999999999998</c:v>
                </c:pt>
                <c:pt idx="47">
                  <c:v>-0.25800000000000001</c:v>
                </c:pt>
                <c:pt idx="48">
                  <c:v>-0.2137</c:v>
                </c:pt>
                <c:pt idx="49">
                  <c:v>-0.2311</c:v>
                </c:pt>
                <c:pt idx="50">
                  <c:v>-0.23</c:v>
                </c:pt>
                <c:pt idx="51">
                  <c:v>-0.30030000000000001</c:v>
                </c:pt>
                <c:pt idx="52">
                  <c:v>-0.29970000000000002</c:v>
                </c:pt>
                <c:pt idx="53">
                  <c:v>-0.33700000000000002</c:v>
                </c:pt>
                <c:pt idx="54">
                  <c:v>-0.31659999999999999</c:v>
                </c:pt>
                <c:pt idx="55">
                  <c:v>-0.28460000000000002</c:v>
                </c:pt>
                <c:pt idx="56">
                  <c:v>-0.2792</c:v>
                </c:pt>
                <c:pt idx="57">
                  <c:v>-0.25900000000000001</c:v>
                </c:pt>
                <c:pt idx="58">
                  <c:v>-0.25990000000000002</c:v>
                </c:pt>
                <c:pt idx="59">
                  <c:v>-0.2666</c:v>
                </c:pt>
                <c:pt idx="60">
                  <c:v>-0.28520000000000001</c:v>
                </c:pt>
                <c:pt idx="61">
                  <c:v>-0.30430000000000001</c:v>
                </c:pt>
                <c:pt idx="62">
                  <c:v>-0.29970000000000002</c:v>
                </c:pt>
                <c:pt idx="63">
                  <c:v>-0.28560000000000002</c:v>
                </c:pt>
                <c:pt idx="64">
                  <c:v>-0.27739999999999998</c:v>
                </c:pt>
                <c:pt idx="65">
                  <c:v>-0.2752</c:v>
                </c:pt>
                <c:pt idx="66">
                  <c:v>-0.26229999999999998</c:v>
                </c:pt>
                <c:pt idx="67">
                  <c:v>-0.24560000000000001</c:v>
                </c:pt>
                <c:pt idx="68">
                  <c:v>-0.1986</c:v>
                </c:pt>
                <c:pt idx="69">
                  <c:v>-0.22539999999999999</c:v>
                </c:pt>
                <c:pt idx="70">
                  <c:v>-0.21229999999999999</c:v>
                </c:pt>
                <c:pt idx="71">
                  <c:v>-0.2374</c:v>
                </c:pt>
                <c:pt idx="72">
                  <c:v>-0.21779999999999999</c:v>
                </c:pt>
                <c:pt idx="73">
                  <c:v>-0.23069999999999999</c:v>
                </c:pt>
                <c:pt idx="74">
                  <c:v>-0.22720000000000001</c:v>
                </c:pt>
                <c:pt idx="75">
                  <c:v>-0.1978</c:v>
                </c:pt>
                <c:pt idx="76">
                  <c:v>-0.20469999999999999</c:v>
                </c:pt>
                <c:pt idx="77">
                  <c:v>-0.21290000000000001</c:v>
                </c:pt>
                <c:pt idx="78">
                  <c:v>-0.21290000000000001</c:v>
                </c:pt>
                <c:pt idx="79">
                  <c:v>-0.2041</c:v>
                </c:pt>
                <c:pt idx="80">
                  <c:v>-0.21290000000000001</c:v>
                </c:pt>
                <c:pt idx="81">
                  <c:v>-0.23</c:v>
                </c:pt>
                <c:pt idx="82">
                  <c:v>-0.24110000000000001</c:v>
                </c:pt>
                <c:pt idx="83">
                  <c:v>-0.2276</c:v>
                </c:pt>
                <c:pt idx="84">
                  <c:v>-0.22450000000000001</c:v>
                </c:pt>
                <c:pt idx="85">
                  <c:v>-0.2117</c:v>
                </c:pt>
                <c:pt idx="86">
                  <c:v>-0.2074</c:v>
                </c:pt>
                <c:pt idx="87">
                  <c:v>-0.2092</c:v>
                </c:pt>
                <c:pt idx="88">
                  <c:v>-0.22539999999999999</c:v>
                </c:pt>
                <c:pt idx="89">
                  <c:v>-0.22600000000000001</c:v>
                </c:pt>
                <c:pt idx="90">
                  <c:v>-0.23269999999999999</c:v>
                </c:pt>
                <c:pt idx="91">
                  <c:v>-0.23350000000000001</c:v>
                </c:pt>
                <c:pt idx="92">
                  <c:v>-0.22509999999999999</c:v>
                </c:pt>
                <c:pt idx="93">
                  <c:v>-0.216</c:v>
                </c:pt>
                <c:pt idx="94">
                  <c:v>-0.21290000000000001</c:v>
                </c:pt>
                <c:pt idx="95">
                  <c:v>-0.21560000000000001</c:v>
                </c:pt>
                <c:pt idx="96">
                  <c:v>-0.21410000000000001</c:v>
                </c:pt>
                <c:pt idx="97">
                  <c:v>-0.21779999999999999</c:v>
                </c:pt>
                <c:pt idx="98">
                  <c:v>-0.21779999999999999</c:v>
                </c:pt>
                <c:pt idx="99">
                  <c:v>-0.21579999999999999</c:v>
                </c:pt>
                <c:pt idx="100">
                  <c:v>-0.218</c:v>
                </c:pt>
                <c:pt idx="101">
                  <c:v>-0.22020000000000001</c:v>
                </c:pt>
                <c:pt idx="102">
                  <c:v>-0.24129999999999999</c:v>
                </c:pt>
                <c:pt idx="103">
                  <c:v>-0.24429999999999999</c:v>
                </c:pt>
                <c:pt idx="104">
                  <c:v>-0.2492</c:v>
                </c:pt>
                <c:pt idx="105">
                  <c:v>-0.24390000000000001</c:v>
                </c:pt>
                <c:pt idx="106">
                  <c:v>-0.22919999999999999</c:v>
                </c:pt>
                <c:pt idx="107">
                  <c:v>-0.22700000000000001</c:v>
                </c:pt>
                <c:pt idx="108">
                  <c:v>-0.22409999999999999</c:v>
                </c:pt>
                <c:pt idx="109">
                  <c:v>-0.22170000000000001</c:v>
                </c:pt>
                <c:pt idx="110">
                  <c:v>-0.21</c:v>
                </c:pt>
                <c:pt idx="111">
                  <c:v>-0.21</c:v>
                </c:pt>
                <c:pt idx="112">
                  <c:v>-0.2084</c:v>
                </c:pt>
                <c:pt idx="113">
                  <c:v>-0.21579999999999999</c:v>
                </c:pt>
                <c:pt idx="114">
                  <c:v>-0.2278</c:v>
                </c:pt>
                <c:pt idx="115">
                  <c:v>-0.23050000000000001</c:v>
                </c:pt>
                <c:pt idx="116">
                  <c:v>-0.22389999999999999</c:v>
                </c:pt>
                <c:pt idx="117">
                  <c:v>-0.22559999999999999</c:v>
                </c:pt>
                <c:pt idx="118">
                  <c:v>-0.22020000000000001</c:v>
                </c:pt>
                <c:pt idx="119">
                  <c:v>-0.1711</c:v>
                </c:pt>
                <c:pt idx="120">
                  <c:v>-0.1774</c:v>
                </c:pt>
                <c:pt idx="121">
                  <c:v>-0.17680000000000001</c:v>
                </c:pt>
                <c:pt idx="122">
                  <c:v>-0.1764</c:v>
                </c:pt>
                <c:pt idx="123">
                  <c:v>-0.187</c:v>
                </c:pt>
                <c:pt idx="124">
                  <c:v>-0.18229999999999999</c:v>
                </c:pt>
                <c:pt idx="125">
                  <c:v>-0.1925</c:v>
                </c:pt>
                <c:pt idx="126">
                  <c:v>-0.1925</c:v>
                </c:pt>
                <c:pt idx="127">
                  <c:v>-0.1925</c:v>
                </c:pt>
                <c:pt idx="128">
                  <c:v>-0.22450000000000001</c:v>
                </c:pt>
                <c:pt idx="129">
                  <c:v>-0.21390000000000001</c:v>
                </c:pt>
                <c:pt idx="130">
                  <c:v>-0.20760000000000001</c:v>
                </c:pt>
                <c:pt idx="131">
                  <c:v>-0.2203</c:v>
                </c:pt>
                <c:pt idx="132">
                  <c:v>-0.21490000000000001</c:v>
                </c:pt>
                <c:pt idx="133">
                  <c:v>-0.21490000000000001</c:v>
                </c:pt>
                <c:pt idx="134">
                  <c:v>-0.2145</c:v>
                </c:pt>
                <c:pt idx="135">
                  <c:v>-0.2104</c:v>
                </c:pt>
                <c:pt idx="136">
                  <c:v>-0.2147</c:v>
                </c:pt>
                <c:pt idx="137">
                  <c:v>-0.22720000000000001</c:v>
                </c:pt>
                <c:pt idx="138">
                  <c:v>-0.22</c:v>
                </c:pt>
                <c:pt idx="139">
                  <c:v>-0.21310000000000001</c:v>
                </c:pt>
                <c:pt idx="140">
                  <c:v>-0.20269999999999999</c:v>
                </c:pt>
                <c:pt idx="141">
                  <c:v>-0.20799999999999999</c:v>
                </c:pt>
                <c:pt idx="142">
                  <c:v>-0.2039</c:v>
                </c:pt>
                <c:pt idx="143">
                  <c:v>-0.188</c:v>
                </c:pt>
                <c:pt idx="144">
                  <c:v>-0.19370000000000001</c:v>
                </c:pt>
                <c:pt idx="145">
                  <c:v>-0.19550000000000001</c:v>
                </c:pt>
                <c:pt idx="146">
                  <c:v>-0.20050000000000001</c:v>
                </c:pt>
                <c:pt idx="147">
                  <c:v>-0.20530000000000001</c:v>
                </c:pt>
                <c:pt idx="148">
                  <c:v>-0.20039999999999999</c:v>
                </c:pt>
                <c:pt idx="149">
                  <c:v>-0.1668</c:v>
                </c:pt>
                <c:pt idx="150">
                  <c:v>-0.1651</c:v>
                </c:pt>
                <c:pt idx="151">
                  <c:v>-0.17</c:v>
                </c:pt>
                <c:pt idx="152">
                  <c:v>-0.1739</c:v>
                </c:pt>
                <c:pt idx="153">
                  <c:v>-0.17879999999999999</c:v>
                </c:pt>
                <c:pt idx="154">
                  <c:v>-0.19059999999999999</c:v>
                </c:pt>
                <c:pt idx="155">
                  <c:v>-0.19800000000000001</c:v>
                </c:pt>
                <c:pt idx="156">
                  <c:v>-0.1925</c:v>
                </c:pt>
                <c:pt idx="157">
                  <c:v>-0.20150000000000001</c:v>
                </c:pt>
                <c:pt idx="158">
                  <c:v>-0.20619999999999999</c:v>
                </c:pt>
                <c:pt idx="159">
                  <c:v>-0.19620000000000001</c:v>
                </c:pt>
                <c:pt idx="160">
                  <c:v>-0.20069999999999999</c:v>
                </c:pt>
                <c:pt idx="161">
                  <c:v>-0.21540000000000001</c:v>
                </c:pt>
                <c:pt idx="162">
                  <c:v>-0.2205</c:v>
                </c:pt>
                <c:pt idx="163">
                  <c:v>-0.22270000000000001</c:v>
                </c:pt>
                <c:pt idx="164">
                  <c:v>-0.22090000000000001</c:v>
                </c:pt>
                <c:pt idx="165">
                  <c:v>-0.22489999999999999</c:v>
                </c:pt>
                <c:pt idx="166">
                  <c:v>-0.2225</c:v>
                </c:pt>
                <c:pt idx="167">
                  <c:v>-0.21920000000000001</c:v>
                </c:pt>
                <c:pt idx="168">
                  <c:v>-0.2137</c:v>
                </c:pt>
                <c:pt idx="169">
                  <c:v>-0.21129999999999999</c:v>
                </c:pt>
                <c:pt idx="170">
                  <c:v>-0.21429999999999999</c:v>
                </c:pt>
                <c:pt idx="171">
                  <c:v>-0.1807</c:v>
                </c:pt>
                <c:pt idx="172">
                  <c:v>-0.1452</c:v>
                </c:pt>
                <c:pt idx="173">
                  <c:v>-7.8899999999999998E-2</c:v>
                </c:pt>
                <c:pt idx="174">
                  <c:v>-9.8199999999999996E-2</c:v>
                </c:pt>
                <c:pt idx="175">
                  <c:v>-0.1069</c:v>
                </c:pt>
                <c:pt idx="176">
                  <c:v>-0.1118</c:v>
                </c:pt>
                <c:pt idx="177">
                  <c:v>-0.12620000000000001</c:v>
                </c:pt>
                <c:pt idx="178">
                  <c:v>-0.13139999999999999</c:v>
                </c:pt>
                <c:pt idx="179">
                  <c:v>-0.1231</c:v>
                </c:pt>
                <c:pt idx="180">
                  <c:v>-0.1452</c:v>
                </c:pt>
                <c:pt idx="181">
                  <c:v>-0.15049999999999999</c:v>
                </c:pt>
                <c:pt idx="182">
                  <c:v>-0.15509999999999999</c:v>
                </c:pt>
                <c:pt idx="183">
                  <c:v>-0.1517</c:v>
                </c:pt>
                <c:pt idx="184">
                  <c:v>-0.14860000000000001</c:v>
                </c:pt>
                <c:pt idx="185">
                  <c:v>-0.1381</c:v>
                </c:pt>
                <c:pt idx="186">
                  <c:v>-0.16159999999999999</c:v>
                </c:pt>
                <c:pt idx="187">
                  <c:v>-0.15720000000000001</c:v>
                </c:pt>
                <c:pt idx="188">
                  <c:v>-0.16020000000000001</c:v>
                </c:pt>
                <c:pt idx="189">
                  <c:v>-0.14760000000000001</c:v>
                </c:pt>
                <c:pt idx="190">
                  <c:v>-0.14399999999999999</c:v>
                </c:pt>
                <c:pt idx="191">
                  <c:v>-0.14860000000000001</c:v>
                </c:pt>
                <c:pt idx="192">
                  <c:v>-0.15409999999999999</c:v>
                </c:pt>
                <c:pt idx="193">
                  <c:v>-0.17299999999999999</c:v>
                </c:pt>
                <c:pt idx="194">
                  <c:v>-0.18290000000000001</c:v>
                </c:pt>
                <c:pt idx="195">
                  <c:v>-0.18920000000000001</c:v>
                </c:pt>
                <c:pt idx="196">
                  <c:v>-0.1845</c:v>
                </c:pt>
                <c:pt idx="197">
                  <c:v>-0.18329999999999999</c:v>
                </c:pt>
                <c:pt idx="198">
                  <c:v>-0.18190000000000001</c:v>
                </c:pt>
                <c:pt idx="199">
                  <c:v>-0.16850000000000001</c:v>
                </c:pt>
                <c:pt idx="200">
                  <c:v>-0.17199999999999999</c:v>
                </c:pt>
                <c:pt idx="201">
                  <c:v>-0.19059999999999999</c:v>
                </c:pt>
                <c:pt idx="202">
                  <c:v>-0.18410000000000001</c:v>
                </c:pt>
                <c:pt idx="203">
                  <c:v>-0.1855</c:v>
                </c:pt>
                <c:pt idx="204">
                  <c:v>-0.17929999999999999</c:v>
                </c:pt>
                <c:pt idx="205">
                  <c:v>-0.1865</c:v>
                </c:pt>
                <c:pt idx="206">
                  <c:v>-0.17480000000000001</c:v>
                </c:pt>
                <c:pt idx="207">
                  <c:v>-0.16869999999999999</c:v>
                </c:pt>
                <c:pt idx="208">
                  <c:v>-0.16969999999999999</c:v>
                </c:pt>
                <c:pt idx="209">
                  <c:v>-0.17130000000000001</c:v>
                </c:pt>
                <c:pt idx="210">
                  <c:v>-0.16869999999999999</c:v>
                </c:pt>
                <c:pt idx="211">
                  <c:v>-0.17899999999999999</c:v>
                </c:pt>
                <c:pt idx="212">
                  <c:v>-0.1661</c:v>
                </c:pt>
                <c:pt idx="213">
                  <c:v>-0.1734</c:v>
                </c:pt>
                <c:pt idx="214">
                  <c:v>-0.17399999999999999</c:v>
                </c:pt>
                <c:pt idx="215">
                  <c:v>-0.17480000000000001</c:v>
                </c:pt>
                <c:pt idx="216">
                  <c:v>-0.15720000000000001</c:v>
                </c:pt>
                <c:pt idx="217">
                  <c:v>-0.1628</c:v>
                </c:pt>
                <c:pt idx="218">
                  <c:v>-0.1641</c:v>
                </c:pt>
                <c:pt idx="219">
                  <c:v>-0.17050000000000001</c:v>
                </c:pt>
                <c:pt idx="220">
                  <c:v>-0.1638</c:v>
                </c:pt>
                <c:pt idx="221">
                  <c:v>-0.1651</c:v>
                </c:pt>
                <c:pt idx="222">
                  <c:v>-0.15840000000000001</c:v>
                </c:pt>
                <c:pt idx="223">
                  <c:v>-0.16850000000000001</c:v>
                </c:pt>
                <c:pt idx="224">
                  <c:v>-0.1555</c:v>
                </c:pt>
                <c:pt idx="225">
                  <c:v>-0.15329999999999999</c:v>
                </c:pt>
                <c:pt idx="226">
                  <c:v>-0.14680000000000001</c:v>
                </c:pt>
                <c:pt idx="227">
                  <c:v>-0.14180000000000001</c:v>
                </c:pt>
                <c:pt idx="228">
                  <c:v>-0.14599999999999999</c:v>
                </c:pt>
                <c:pt idx="229">
                  <c:v>-0.14050000000000001</c:v>
                </c:pt>
                <c:pt idx="230">
                  <c:v>-0.112</c:v>
                </c:pt>
                <c:pt idx="231">
                  <c:v>-0.1128</c:v>
                </c:pt>
                <c:pt idx="232">
                  <c:v>-0.1195</c:v>
                </c:pt>
                <c:pt idx="233">
                  <c:v>-0.1249</c:v>
                </c:pt>
                <c:pt idx="234">
                  <c:v>-0.126</c:v>
                </c:pt>
                <c:pt idx="235">
                  <c:v>-0.12740000000000001</c:v>
                </c:pt>
                <c:pt idx="236">
                  <c:v>-7.7499999999999999E-2</c:v>
                </c:pt>
                <c:pt idx="237">
                  <c:v>-5.7500000000000002E-2</c:v>
                </c:pt>
                <c:pt idx="238">
                  <c:v>-7.9899999999999999E-2</c:v>
                </c:pt>
                <c:pt idx="239">
                  <c:v>-6.6600000000000006E-2</c:v>
                </c:pt>
                <c:pt idx="240">
                  <c:v>-5.91E-2</c:v>
                </c:pt>
                <c:pt idx="241">
                  <c:v>-0.05</c:v>
                </c:pt>
                <c:pt idx="242">
                  <c:v>-6.1899999999999997E-2</c:v>
                </c:pt>
                <c:pt idx="243">
                  <c:v>-8.6999999999999994E-2</c:v>
                </c:pt>
                <c:pt idx="244">
                  <c:v>-8.1799999999999998E-2</c:v>
                </c:pt>
                <c:pt idx="245">
                  <c:v>-0.1012</c:v>
                </c:pt>
                <c:pt idx="246">
                  <c:v>-0.1067</c:v>
                </c:pt>
                <c:pt idx="247">
                  <c:v>-0.1132</c:v>
                </c:pt>
                <c:pt idx="248">
                  <c:v>-0.1061</c:v>
                </c:pt>
                <c:pt idx="249">
                  <c:v>-9.98E-2</c:v>
                </c:pt>
                <c:pt idx="250">
                  <c:v>-7.6100000000000001E-2</c:v>
                </c:pt>
                <c:pt idx="251">
                  <c:v>-9.2700000000000005E-2</c:v>
                </c:pt>
                <c:pt idx="252">
                  <c:v>-9.9000000000000005E-2</c:v>
                </c:pt>
                <c:pt idx="253">
                  <c:v>-9.2299999999999993E-2</c:v>
                </c:pt>
                <c:pt idx="254">
                  <c:v>-0.12859999999999999</c:v>
                </c:pt>
                <c:pt idx="255">
                  <c:v>-0.13389999999999999</c:v>
                </c:pt>
              </c:numCache>
            </c:numRef>
          </c:val>
          <c:smooth val="0"/>
        </c:ser>
        <c:ser>
          <c:idx val="1"/>
          <c:order val="1"/>
          <c:tx>
            <c:strRef>
              <c:f>Sheet1!$C$1</c:f>
              <c:strCache>
                <c:ptCount val="1"/>
                <c:pt idx="0">
                  <c:v>保险</c:v>
                </c:pt>
              </c:strCache>
            </c:strRef>
          </c:tx>
          <c:spPr>
            <a:ln w="12700">
              <a:solidFill>
                <a:srgbClr val="FFA500"/>
              </a:solidFill>
            </a:ln>
          </c:spPr>
          <c:marker>
            <c:symbol val="none"/>
          </c:marker>
          <c:cat>
            <c:numRef>
              <c:f>Sheet1!$A$2:$A$257</c:f>
              <c:numCache>
                <c:formatCode>m/d/yyyy</c:formatCode>
                <c:ptCount val="256"/>
                <c:pt idx="0">
                  <c:v>42354</c:v>
                </c:pt>
                <c:pt idx="1">
                  <c:v>42355</c:v>
                </c:pt>
                <c:pt idx="2">
                  <c:v>42356</c:v>
                </c:pt>
                <c:pt idx="3">
                  <c:v>42359</c:v>
                </c:pt>
                <c:pt idx="4">
                  <c:v>42360</c:v>
                </c:pt>
                <c:pt idx="5">
                  <c:v>42361</c:v>
                </c:pt>
                <c:pt idx="6">
                  <c:v>42362</c:v>
                </c:pt>
                <c:pt idx="7">
                  <c:v>42363</c:v>
                </c:pt>
                <c:pt idx="8">
                  <c:v>42366</c:v>
                </c:pt>
                <c:pt idx="9">
                  <c:v>42367</c:v>
                </c:pt>
                <c:pt idx="10">
                  <c:v>42368</c:v>
                </c:pt>
                <c:pt idx="11">
                  <c:v>42369</c:v>
                </c:pt>
                <c:pt idx="12">
                  <c:v>42370</c:v>
                </c:pt>
                <c:pt idx="13">
                  <c:v>42373</c:v>
                </c:pt>
                <c:pt idx="14">
                  <c:v>42374</c:v>
                </c:pt>
                <c:pt idx="15">
                  <c:v>42375</c:v>
                </c:pt>
                <c:pt idx="16">
                  <c:v>42376</c:v>
                </c:pt>
                <c:pt idx="17">
                  <c:v>42377</c:v>
                </c:pt>
                <c:pt idx="18">
                  <c:v>42380</c:v>
                </c:pt>
                <c:pt idx="19">
                  <c:v>42381</c:v>
                </c:pt>
                <c:pt idx="20">
                  <c:v>42382</c:v>
                </c:pt>
                <c:pt idx="21">
                  <c:v>42383</c:v>
                </c:pt>
                <c:pt idx="22">
                  <c:v>42384</c:v>
                </c:pt>
                <c:pt idx="23">
                  <c:v>42387</c:v>
                </c:pt>
                <c:pt idx="24">
                  <c:v>42388</c:v>
                </c:pt>
                <c:pt idx="25">
                  <c:v>42389</c:v>
                </c:pt>
                <c:pt idx="26">
                  <c:v>42390</c:v>
                </c:pt>
                <c:pt idx="27">
                  <c:v>42391</c:v>
                </c:pt>
                <c:pt idx="28">
                  <c:v>42394</c:v>
                </c:pt>
                <c:pt idx="29">
                  <c:v>42395</c:v>
                </c:pt>
                <c:pt idx="30">
                  <c:v>42396</c:v>
                </c:pt>
                <c:pt idx="31">
                  <c:v>42397</c:v>
                </c:pt>
                <c:pt idx="32">
                  <c:v>42398</c:v>
                </c:pt>
                <c:pt idx="33">
                  <c:v>42401</c:v>
                </c:pt>
                <c:pt idx="34">
                  <c:v>42402</c:v>
                </c:pt>
                <c:pt idx="35">
                  <c:v>42403</c:v>
                </c:pt>
                <c:pt idx="36">
                  <c:v>42404</c:v>
                </c:pt>
                <c:pt idx="37">
                  <c:v>42405</c:v>
                </c:pt>
                <c:pt idx="38">
                  <c:v>42408</c:v>
                </c:pt>
                <c:pt idx="39">
                  <c:v>42409</c:v>
                </c:pt>
                <c:pt idx="40">
                  <c:v>42410</c:v>
                </c:pt>
                <c:pt idx="41">
                  <c:v>42411</c:v>
                </c:pt>
                <c:pt idx="42">
                  <c:v>42412</c:v>
                </c:pt>
                <c:pt idx="43">
                  <c:v>42415</c:v>
                </c:pt>
                <c:pt idx="44">
                  <c:v>42416</c:v>
                </c:pt>
                <c:pt idx="45">
                  <c:v>42417</c:v>
                </c:pt>
                <c:pt idx="46">
                  <c:v>42418</c:v>
                </c:pt>
                <c:pt idx="47">
                  <c:v>42419</c:v>
                </c:pt>
                <c:pt idx="48">
                  <c:v>42422</c:v>
                </c:pt>
                <c:pt idx="49">
                  <c:v>42423</c:v>
                </c:pt>
                <c:pt idx="50">
                  <c:v>42424</c:v>
                </c:pt>
                <c:pt idx="51">
                  <c:v>42425</c:v>
                </c:pt>
                <c:pt idx="52">
                  <c:v>42426</c:v>
                </c:pt>
                <c:pt idx="53">
                  <c:v>42429</c:v>
                </c:pt>
                <c:pt idx="54">
                  <c:v>42430</c:v>
                </c:pt>
                <c:pt idx="55">
                  <c:v>42431</c:v>
                </c:pt>
                <c:pt idx="56">
                  <c:v>42432</c:v>
                </c:pt>
                <c:pt idx="57">
                  <c:v>42433</c:v>
                </c:pt>
                <c:pt idx="58">
                  <c:v>42436</c:v>
                </c:pt>
                <c:pt idx="59">
                  <c:v>42437</c:v>
                </c:pt>
                <c:pt idx="60">
                  <c:v>42438</c:v>
                </c:pt>
                <c:pt idx="61">
                  <c:v>42439</c:v>
                </c:pt>
                <c:pt idx="62">
                  <c:v>42440</c:v>
                </c:pt>
                <c:pt idx="63">
                  <c:v>42443</c:v>
                </c:pt>
                <c:pt idx="64">
                  <c:v>42444</c:v>
                </c:pt>
                <c:pt idx="65">
                  <c:v>42445</c:v>
                </c:pt>
                <c:pt idx="66">
                  <c:v>42446</c:v>
                </c:pt>
                <c:pt idx="67">
                  <c:v>42447</c:v>
                </c:pt>
                <c:pt idx="68">
                  <c:v>42450</c:v>
                </c:pt>
                <c:pt idx="69">
                  <c:v>42451</c:v>
                </c:pt>
                <c:pt idx="70">
                  <c:v>42452</c:v>
                </c:pt>
                <c:pt idx="71">
                  <c:v>42453</c:v>
                </c:pt>
                <c:pt idx="72">
                  <c:v>42454</c:v>
                </c:pt>
                <c:pt idx="73">
                  <c:v>42457</c:v>
                </c:pt>
                <c:pt idx="74">
                  <c:v>42458</c:v>
                </c:pt>
                <c:pt idx="75">
                  <c:v>42459</c:v>
                </c:pt>
                <c:pt idx="76">
                  <c:v>42460</c:v>
                </c:pt>
                <c:pt idx="77">
                  <c:v>42461</c:v>
                </c:pt>
                <c:pt idx="78">
                  <c:v>42464</c:v>
                </c:pt>
                <c:pt idx="79">
                  <c:v>42465</c:v>
                </c:pt>
                <c:pt idx="80">
                  <c:v>42466</c:v>
                </c:pt>
                <c:pt idx="81">
                  <c:v>42467</c:v>
                </c:pt>
                <c:pt idx="82">
                  <c:v>42468</c:v>
                </c:pt>
                <c:pt idx="83">
                  <c:v>42471</c:v>
                </c:pt>
                <c:pt idx="84">
                  <c:v>42472</c:v>
                </c:pt>
                <c:pt idx="85">
                  <c:v>42473</c:v>
                </c:pt>
                <c:pt idx="86">
                  <c:v>42474</c:v>
                </c:pt>
                <c:pt idx="87">
                  <c:v>42475</c:v>
                </c:pt>
                <c:pt idx="88">
                  <c:v>42478</c:v>
                </c:pt>
                <c:pt idx="89">
                  <c:v>42479</c:v>
                </c:pt>
                <c:pt idx="90">
                  <c:v>42480</c:v>
                </c:pt>
                <c:pt idx="91">
                  <c:v>42481</c:v>
                </c:pt>
                <c:pt idx="92">
                  <c:v>42482</c:v>
                </c:pt>
                <c:pt idx="93">
                  <c:v>42485</c:v>
                </c:pt>
                <c:pt idx="94">
                  <c:v>42486</c:v>
                </c:pt>
                <c:pt idx="95">
                  <c:v>42487</c:v>
                </c:pt>
                <c:pt idx="96">
                  <c:v>42488</c:v>
                </c:pt>
                <c:pt idx="97">
                  <c:v>42489</c:v>
                </c:pt>
                <c:pt idx="98">
                  <c:v>42492</c:v>
                </c:pt>
                <c:pt idx="99">
                  <c:v>42493</c:v>
                </c:pt>
                <c:pt idx="100">
                  <c:v>42494</c:v>
                </c:pt>
                <c:pt idx="101">
                  <c:v>42495</c:v>
                </c:pt>
                <c:pt idx="102">
                  <c:v>42496</c:v>
                </c:pt>
                <c:pt idx="103">
                  <c:v>42499</c:v>
                </c:pt>
                <c:pt idx="104">
                  <c:v>42500</c:v>
                </c:pt>
                <c:pt idx="105">
                  <c:v>42501</c:v>
                </c:pt>
                <c:pt idx="106">
                  <c:v>42502</c:v>
                </c:pt>
                <c:pt idx="107">
                  <c:v>42503</c:v>
                </c:pt>
                <c:pt idx="108">
                  <c:v>42506</c:v>
                </c:pt>
                <c:pt idx="109">
                  <c:v>42507</c:v>
                </c:pt>
                <c:pt idx="110">
                  <c:v>42508</c:v>
                </c:pt>
                <c:pt idx="111">
                  <c:v>42509</c:v>
                </c:pt>
                <c:pt idx="112">
                  <c:v>42510</c:v>
                </c:pt>
                <c:pt idx="113">
                  <c:v>42513</c:v>
                </c:pt>
                <c:pt idx="114">
                  <c:v>42514</c:v>
                </c:pt>
                <c:pt idx="115">
                  <c:v>42515</c:v>
                </c:pt>
                <c:pt idx="116">
                  <c:v>42516</c:v>
                </c:pt>
                <c:pt idx="117">
                  <c:v>42517</c:v>
                </c:pt>
                <c:pt idx="118">
                  <c:v>42520</c:v>
                </c:pt>
                <c:pt idx="119">
                  <c:v>42521</c:v>
                </c:pt>
                <c:pt idx="120">
                  <c:v>42522</c:v>
                </c:pt>
                <c:pt idx="121">
                  <c:v>42523</c:v>
                </c:pt>
                <c:pt idx="122">
                  <c:v>42524</c:v>
                </c:pt>
                <c:pt idx="123">
                  <c:v>42527</c:v>
                </c:pt>
                <c:pt idx="124">
                  <c:v>42528</c:v>
                </c:pt>
                <c:pt idx="125">
                  <c:v>42529</c:v>
                </c:pt>
                <c:pt idx="126">
                  <c:v>42530</c:v>
                </c:pt>
                <c:pt idx="127">
                  <c:v>42531</c:v>
                </c:pt>
                <c:pt idx="128">
                  <c:v>42534</c:v>
                </c:pt>
                <c:pt idx="129">
                  <c:v>42535</c:v>
                </c:pt>
                <c:pt idx="130">
                  <c:v>42536</c:v>
                </c:pt>
                <c:pt idx="131">
                  <c:v>42537</c:v>
                </c:pt>
                <c:pt idx="132">
                  <c:v>42538</c:v>
                </c:pt>
                <c:pt idx="133">
                  <c:v>42541</c:v>
                </c:pt>
                <c:pt idx="134">
                  <c:v>42542</c:v>
                </c:pt>
                <c:pt idx="135">
                  <c:v>42543</c:v>
                </c:pt>
                <c:pt idx="136">
                  <c:v>42544</c:v>
                </c:pt>
                <c:pt idx="137">
                  <c:v>42545</c:v>
                </c:pt>
                <c:pt idx="138">
                  <c:v>42548</c:v>
                </c:pt>
                <c:pt idx="139">
                  <c:v>42549</c:v>
                </c:pt>
                <c:pt idx="140">
                  <c:v>42550</c:v>
                </c:pt>
                <c:pt idx="141">
                  <c:v>42551</c:v>
                </c:pt>
                <c:pt idx="142">
                  <c:v>42552</c:v>
                </c:pt>
                <c:pt idx="143">
                  <c:v>42555</c:v>
                </c:pt>
                <c:pt idx="144">
                  <c:v>42556</c:v>
                </c:pt>
                <c:pt idx="145">
                  <c:v>42557</c:v>
                </c:pt>
                <c:pt idx="146">
                  <c:v>42558</c:v>
                </c:pt>
                <c:pt idx="147">
                  <c:v>42559</c:v>
                </c:pt>
                <c:pt idx="148">
                  <c:v>42562</c:v>
                </c:pt>
                <c:pt idx="149">
                  <c:v>42563</c:v>
                </c:pt>
                <c:pt idx="150">
                  <c:v>42564</c:v>
                </c:pt>
                <c:pt idx="151">
                  <c:v>42565</c:v>
                </c:pt>
                <c:pt idx="152">
                  <c:v>42566</c:v>
                </c:pt>
                <c:pt idx="153">
                  <c:v>42569</c:v>
                </c:pt>
                <c:pt idx="154">
                  <c:v>42570</c:v>
                </c:pt>
                <c:pt idx="155">
                  <c:v>42571</c:v>
                </c:pt>
                <c:pt idx="156">
                  <c:v>42572</c:v>
                </c:pt>
                <c:pt idx="157">
                  <c:v>42573</c:v>
                </c:pt>
                <c:pt idx="158">
                  <c:v>42576</c:v>
                </c:pt>
                <c:pt idx="159">
                  <c:v>42577</c:v>
                </c:pt>
                <c:pt idx="160">
                  <c:v>42578</c:v>
                </c:pt>
                <c:pt idx="161">
                  <c:v>42579</c:v>
                </c:pt>
                <c:pt idx="162">
                  <c:v>42580</c:v>
                </c:pt>
                <c:pt idx="163">
                  <c:v>42583</c:v>
                </c:pt>
                <c:pt idx="164">
                  <c:v>42584</c:v>
                </c:pt>
                <c:pt idx="165">
                  <c:v>42585</c:v>
                </c:pt>
                <c:pt idx="166">
                  <c:v>42586</c:v>
                </c:pt>
                <c:pt idx="167">
                  <c:v>42587</c:v>
                </c:pt>
                <c:pt idx="168">
                  <c:v>42590</c:v>
                </c:pt>
                <c:pt idx="169">
                  <c:v>42591</c:v>
                </c:pt>
                <c:pt idx="170">
                  <c:v>42592</c:v>
                </c:pt>
                <c:pt idx="171">
                  <c:v>42593</c:v>
                </c:pt>
                <c:pt idx="172">
                  <c:v>42594</c:v>
                </c:pt>
                <c:pt idx="173">
                  <c:v>42597</c:v>
                </c:pt>
                <c:pt idx="174">
                  <c:v>42598</c:v>
                </c:pt>
                <c:pt idx="175">
                  <c:v>42599</c:v>
                </c:pt>
                <c:pt idx="176">
                  <c:v>42600</c:v>
                </c:pt>
                <c:pt idx="177">
                  <c:v>42601</c:v>
                </c:pt>
                <c:pt idx="178">
                  <c:v>42604</c:v>
                </c:pt>
                <c:pt idx="179">
                  <c:v>42605</c:v>
                </c:pt>
                <c:pt idx="180">
                  <c:v>42606</c:v>
                </c:pt>
                <c:pt idx="181">
                  <c:v>42607</c:v>
                </c:pt>
                <c:pt idx="182">
                  <c:v>42608</c:v>
                </c:pt>
                <c:pt idx="183">
                  <c:v>42611</c:v>
                </c:pt>
                <c:pt idx="184">
                  <c:v>42612</c:v>
                </c:pt>
                <c:pt idx="185">
                  <c:v>42613</c:v>
                </c:pt>
                <c:pt idx="186">
                  <c:v>42614</c:v>
                </c:pt>
                <c:pt idx="187">
                  <c:v>42615</c:v>
                </c:pt>
                <c:pt idx="188">
                  <c:v>42618</c:v>
                </c:pt>
                <c:pt idx="189">
                  <c:v>42619</c:v>
                </c:pt>
                <c:pt idx="190">
                  <c:v>42620</c:v>
                </c:pt>
                <c:pt idx="191">
                  <c:v>42621</c:v>
                </c:pt>
                <c:pt idx="192">
                  <c:v>42622</c:v>
                </c:pt>
                <c:pt idx="193">
                  <c:v>42625</c:v>
                </c:pt>
                <c:pt idx="194">
                  <c:v>42626</c:v>
                </c:pt>
                <c:pt idx="195">
                  <c:v>42627</c:v>
                </c:pt>
                <c:pt idx="196">
                  <c:v>42632</c:v>
                </c:pt>
                <c:pt idx="197">
                  <c:v>42633</c:v>
                </c:pt>
                <c:pt idx="198">
                  <c:v>42634</c:v>
                </c:pt>
                <c:pt idx="199">
                  <c:v>42635</c:v>
                </c:pt>
                <c:pt idx="200">
                  <c:v>42636</c:v>
                </c:pt>
                <c:pt idx="201">
                  <c:v>42639</c:v>
                </c:pt>
                <c:pt idx="202">
                  <c:v>42640</c:v>
                </c:pt>
                <c:pt idx="203">
                  <c:v>42641</c:v>
                </c:pt>
                <c:pt idx="204">
                  <c:v>42642</c:v>
                </c:pt>
                <c:pt idx="205">
                  <c:v>42643</c:v>
                </c:pt>
                <c:pt idx="206">
                  <c:v>42653</c:v>
                </c:pt>
                <c:pt idx="207">
                  <c:v>42654</c:v>
                </c:pt>
                <c:pt idx="208">
                  <c:v>42655</c:v>
                </c:pt>
                <c:pt idx="209">
                  <c:v>42656</c:v>
                </c:pt>
                <c:pt idx="210">
                  <c:v>42657</c:v>
                </c:pt>
                <c:pt idx="211">
                  <c:v>42660</c:v>
                </c:pt>
                <c:pt idx="212">
                  <c:v>42661</c:v>
                </c:pt>
                <c:pt idx="213">
                  <c:v>42662</c:v>
                </c:pt>
                <c:pt idx="214">
                  <c:v>42663</c:v>
                </c:pt>
                <c:pt idx="215">
                  <c:v>42664</c:v>
                </c:pt>
                <c:pt idx="216">
                  <c:v>42667</c:v>
                </c:pt>
                <c:pt idx="217">
                  <c:v>42668</c:v>
                </c:pt>
                <c:pt idx="218">
                  <c:v>42669</c:v>
                </c:pt>
                <c:pt idx="219">
                  <c:v>42670</c:v>
                </c:pt>
                <c:pt idx="220">
                  <c:v>42671</c:v>
                </c:pt>
                <c:pt idx="221">
                  <c:v>42674</c:v>
                </c:pt>
                <c:pt idx="222">
                  <c:v>42675</c:v>
                </c:pt>
                <c:pt idx="223">
                  <c:v>42676</c:v>
                </c:pt>
                <c:pt idx="224">
                  <c:v>42677</c:v>
                </c:pt>
                <c:pt idx="225">
                  <c:v>42678</c:v>
                </c:pt>
                <c:pt idx="226">
                  <c:v>42681</c:v>
                </c:pt>
                <c:pt idx="227">
                  <c:v>42682</c:v>
                </c:pt>
                <c:pt idx="228">
                  <c:v>42683</c:v>
                </c:pt>
                <c:pt idx="229">
                  <c:v>42684</c:v>
                </c:pt>
                <c:pt idx="230">
                  <c:v>42685</c:v>
                </c:pt>
                <c:pt idx="231">
                  <c:v>42688</c:v>
                </c:pt>
                <c:pt idx="232">
                  <c:v>42689</c:v>
                </c:pt>
                <c:pt idx="233">
                  <c:v>42690</c:v>
                </c:pt>
                <c:pt idx="234">
                  <c:v>42691</c:v>
                </c:pt>
                <c:pt idx="235">
                  <c:v>42692</c:v>
                </c:pt>
                <c:pt idx="236">
                  <c:v>42695</c:v>
                </c:pt>
                <c:pt idx="237">
                  <c:v>42696</c:v>
                </c:pt>
                <c:pt idx="238">
                  <c:v>42697</c:v>
                </c:pt>
                <c:pt idx="239">
                  <c:v>42698</c:v>
                </c:pt>
                <c:pt idx="240">
                  <c:v>42699</c:v>
                </c:pt>
                <c:pt idx="241">
                  <c:v>42702</c:v>
                </c:pt>
                <c:pt idx="242">
                  <c:v>42703</c:v>
                </c:pt>
                <c:pt idx="243">
                  <c:v>42704</c:v>
                </c:pt>
                <c:pt idx="244">
                  <c:v>42705</c:v>
                </c:pt>
                <c:pt idx="245">
                  <c:v>42706</c:v>
                </c:pt>
                <c:pt idx="246">
                  <c:v>42709</c:v>
                </c:pt>
                <c:pt idx="247">
                  <c:v>42710</c:v>
                </c:pt>
                <c:pt idx="248">
                  <c:v>42711</c:v>
                </c:pt>
                <c:pt idx="249">
                  <c:v>42712</c:v>
                </c:pt>
                <c:pt idx="250">
                  <c:v>42713</c:v>
                </c:pt>
                <c:pt idx="251">
                  <c:v>42716</c:v>
                </c:pt>
                <c:pt idx="252">
                  <c:v>42717</c:v>
                </c:pt>
                <c:pt idx="253">
                  <c:v>42718</c:v>
                </c:pt>
                <c:pt idx="254">
                  <c:v>42719</c:v>
                </c:pt>
                <c:pt idx="255">
                  <c:v>42720</c:v>
                </c:pt>
              </c:numCache>
            </c:numRef>
          </c:cat>
          <c:val>
            <c:numRef>
              <c:f>Sheet1!$C$2:$C$257</c:f>
              <c:numCache>
                <c:formatCode>General</c:formatCode>
                <c:ptCount val="256"/>
                <c:pt idx="0">
                  <c:v>0</c:v>
                </c:pt>
                <c:pt idx="1">
                  <c:v>9.1000000000000004E-3</c:v>
                </c:pt>
                <c:pt idx="2">
                  <c:v>1.46E-2</c:v>
                </c:pt>
                <c:pt idx="3">
                  <c:v>4.5600000000000002E-2</c:v>
                </c:pt>
                <c:pt idx="4">
                  <c:v>4.9599999999999998E-2</c:v>
                </c:pt>
                <c:pt idx="5">
                  <c:v>5.4100000000000002E-2</c:v>
                </c:pt>
                <c:pt idx="6">
                  <c:v>5.6099999999999997E-2</c:v>
                </c:pt>
                <c:pt idx="7">
                  <c:v>5.79E-2</c:v>
                </c:pt>
                <c:pt idx="8">
                  <c:v>2.1100000000000001E-2</c:v>
                </c:pt>
                <c:pt idx="9">
                  <c:v>3.0200000000000001E-2</c:v>
                </c:pt>
                <c:pt idx="10">
                  <c:v>1.8800000000000001E-2</c:v>
                </c:pt>
                <c:pt idx="11">
                  <c:v>2.3E-2</c:v>
                </c:pt>
                <c:pt idx="13">
                  <c:v>-3.8399999999999997E-2</c:v>
                </c:pt>
                <c:pt idx="14">
                  <c:v>-2.4E-2</c:v>
                </c:pt>
                <c:pt idx="15">
                  <c:v>-2.1100000000000001E-2</c:v>
                </c:pt>
                <c:pt idx="16">
                  <c:v>-6.3200000000000006E-2</c:v>
                </c:pt>
                <c:pt idx="17">
                  <c:v>-4.9000000000000002E-2</c:v>
                </c:pt>
                <c:pt idx="18">
                  <c:v>-0.1021</c:v>
                </c:pt>
                <c:pt idx="19">
                  <c:v>-9.3899999999999997E-2</c:v>
                </c:pt>
                <c:pt idx="20">
                  <c:v>-0.10290000000000001</c:v>
                </c:pt>
                <c:pt idx="21">
                  <c:v>-9.8400000000000001E-2</c:v>
                </c:pt>
                <c:pt idx="22">
                  <c:v>-0.12189999999999999</c:v>
                </c:pt>
                <c:pt idx="23">
                  <c:v>-0.1273</c:v>
                </c:pt>
                <c:pt idx="24">
                  <c:v>-0.11360000000000001</c:v>
                </c:pt>
                <c:pt idx="25">
                  <c:v>-0.14299999999999999</c:v>
                </c:pt>
                <c:pt idx="26">
                  <c:v>-0.15620000000000001</c:v>
                </c:pt>
                <c:pt idx="27">
                  <c:v>-0.15359999999999999</c:v>
                </c:pt>
                <c:pt idx="28">
                  <c:v>-0.15340000000000001</c:v>
                </c:pt>
                <c:pt idx="29">
                  <c:v>-0.18909999999999999</c:v>
                </c:pt>
                <c:pt idx="30">
                  <c:v>-0.1918</c:v>
                </c:pt>
                <c:pt idx="31">
                  <c:v>-0.19270000000000001</c:v>
                </c:pt>
                <c:pt idx="32">
                  <c:v>-0.1668</c:v>
                </c:pt>
                <c:pt idx="33">
                  <c:v>-0.18410000000000001</c:v>
                </c:pt>
                <c:pt idx="34">
                  <c:v>-0.17150000000000001</c:v>
                </c:pt>
                <c:pt idx="35">
                  <c:v>-0.18290000000000001</c:v>
                </c:pt>
                <c:pt idx="36">
                  <c:v>-0.17780000000000001</c:v>
                </c:pt>
                <c:pt idx="37">
                  <c:v>-0.18049999999999999</c:v>
                </c:pt>
                <c:pt idx="43">
                  <c:v>-0.18870000000000001</c:v>
                </c:pt>
                <c:pt idx="44">
                  <c:v>-0.16689999999999999</c:v>
                </c:pt>
                <c:pt idx="45">
                  <c:v>-0.1676</c:v>
                </c:pt>
                <c:pt idx="46">
                  <c:v>-0.1696</c:v>
                </c:pt>
                <c:pt idx="47">
                  <c:v>-0.1704</c:v>
                </c:pt>
                <c:pt idx="48">
                  <c:v>-0.1363</c:v>
                </c:pt>
                <c:pt idx="49">
                  <c:v>-0.15079999999999999</c:v>
                </c:pt>
                <c:pt idx="50">
                  <c:v>-0.15060000000000001</c:v>
                </c:pt>
                <c:pt idx="51">
                  <c:v>-0.1948</c:v>
                </c:pt>
                <c:pt idx="52">
                  <c:v>-0.18779999999999999</c:v>
                </c:pt>
                <c:pt idx="53">
                  <c:v>-0.1933</c:v>
                </c:pt>
                <c:pt idx="54">
                  <c:v>-0.183</c:v>
                </c:pt>
                <c:pt idx="55">
                  <c:v>-0.15590000000000001</c:v>
                </c:pt>
                <c:pt idx="56">
                  <c:v>-0.15010000000000001</c:v>
                </c:pt>
                <c:pt idx="57">
                  <c:v>-0.121</c:v>
                </c:pt>
                <c:pt idx="58">
                  <c:v>-0.13519999999999999</c:v>
                </c:pt>
                <c:pt idx="59">
                  <c:v>-0.13020000000000001</c:v>
                </c:pt>
                <c:pt idx="60">
                  <c:v>-0.1285</c:v>
                </c:pt>
                <c:pt idx="61">
                  <c:v>-0.14829999999999999</c:v>
                </c:pt>
                <c:pt idx="62">
                  <c:v>-0.14000000000000001</c:v>
                </c:pt>
                <c:pt idx="63">
                  <c:v>-0.13780000000000001</c:v>
                </c:pt>
                <c:pt idx="64">
                  <c:v>-0.127</c:v>
                </c:pt>
                <c:pt idx="65">
                  <c:v>-0.10829999999999999</c:v>
                </c:pt>
                <c:pt idx="66">
                  <c:v>-0.11210000000000001</c:v>
                </c:pt>
                <c:pt idx="67">
                  <c:v>-0.1082</c:v>
                </c:pt>
                <c:pt idx="68">
                  <c:v>-8.3099999999999993E-2</c:v>
                </c:pt>
                <c:pt idx="69">
                  <c:v>-0.10009999999999999</c:v>
                </c:pt>
                <c:pt idx="70">
                  <c:v>-9.3600000000000003E-2</c:v>
                </c:pt>
                <c:pt idx="71">
                  <c:v>-0.1084</c:v>
                </c:pt>
                <c:pt idx="72">
                  <c:v>-9.7199999999999995E-2</c:v>
                </c:pt>
                <c:pt idx="73">
                  <c:v>-0.115</c:v>
                </c:pt>
                <c:pt idx="74">
                  <c:v>-0.11990000000000001</c:v>
                </c:pt>
                <c:pt idx="75">
                  <c:v>-9.6500000000000002E-2</c:v>
                </c:pt>
                <c:pt idx="76">
                  <c:v>-0.1017</c:v>
                </c:pt>
                <c:pt idx="77">
                  <c:v>-9.9299999999999999E-2</c:v>
                </c:pt>
                <c:pt idx="79">
                  <c:v>-9.6299999999999997E-2</c:v>
                </c:pt>
                <c:pt idx="80">
                  <c:v>-0.10440000000000001</c:v>
                </c:pt>
                <c:pt idx="81">
                  <c:v>-0.1149</c:v>
                </c:pt>
                <c:pt idx="82">
                  <c:v>-0.12089999999999999</c:v>
                </c:pt>
                <c:pt idx="83">
                  <c:v>-0.1124</c:v>
                </c:pt>
                <c:pt idx="84">
                  <c:v>-0.11169999999999999</c:v>
                </c:pt>
                <c:pt idx="85">
                  <c:v>-0.1013</c:v>
                </c:pt>
                <c:pt idx="86">
                  <c:v>-9.8199999999999996E-2</c:v>
                </c:pt>
                <c:pt idx="87">
                  <c:v>-9.8000000000000004E-2</c:v>
                </c:pt>
                <c:pt idx="88">
                  <c:v>-0.104</c:v>
                </c:pt>
                <c:pt idx="89">
                  <c:v>-9.4200000000000006E-2</c:v>
                </c:pt>
                <c:pt idx="90">
                  <c:v>-9.0700000000000003E-2</c:v>
                </c:pt>
                <c:pt idx="91">
                  <c:v>-9.1399999999999995E-2</c:v>
                </c:pt>
                <c:pt idx="92">
                  <c:v>-8.6900000000000005E-2</c:v>
                </c:pt>
                <c:pt idx="93">
                  <c:v>-8.8099999999999998E-2</c:v>
                </c:pt>
                <c:pt idx="94">
                  <c:v>-8.6199999999999999E-2</c:v>
                </c:pt>
                <c:pt idx="95">
                  <c:v>-8.9399999999999993E-2</c:v>
                </c:pt>
                <c:pt idx="96">
                  <c:v>-9.1300000000000006E-2</c:v>
                </c:pt>
                <c:pt idx="97">
                  <c:v>-9.5100000000000004E-2</c:v>
                </c:pt>
                <c:pt idx="99">
                  <c:v>-9.8199999999999996E-2</c:v>
                </c:pt>
                <c:pt idx="100">
                  <c:v>-9.8400000000000001E-2</c:v>
                </c:pt>
                <c:pt idx="101">
                  <c:v>-9.8799999999999999E-2</c:v>
                </c:pt>
                <c:pt idx="102">
                  <c:v>-0.1206</c:v>
                </c:pt>
                <c:pt idx="103">
                  <c:v>-0.129</c:v>
                </c:pt>
                <c:pt idx="104">
                  <c:v>-0.12989999999999999</c:v>
                </c:pt>
                <c:pt idx="105">
                  <c:v>-0.12770000000000001</c:v>
                </c:pt>
                <c:pt idx="106">
                  <c:v>-0.11219999999999999</c:v>
                </c:pt>
                <c:pt idx="107">
                  <c:v>-0.1128</c:v>
                </c:pt>
                <c:pt idx="108">
                  <c:v>-0.1158</c:v>
                </c:pt>
                <c:pt idx="109">
                  <c:v>-0.1177</c:v>
                </c:pt>
                <c:pt idx="110">
                  <c:v>-0.1085</c:v>
                </c:pt>
                <c:pt idx="111">
                  <c:v>-0.1089</c:v>
                </c:pt>
                <c:pt idx="112">
                  <c:v>-0.1086</c:v>
                </c:pt>
                <c:pt idx="113">
                  <c:v>-0.1091</c:v>
                </c:pt>
                <c:pt idx="114">
                  <c:v>-0.1162</c:v>
                </c:pt>
                <c:pt idx="115">
                  <c:v>-0.1167</c:v>
                </c:pt>
                <c:pt idx="116">
                  <c:v>-0.1152</c:v>
                </c:pt>
                <c:pt idx="117">
                  <c:v>-0.1158</c:v>
                </c:pt>
                <c:pt idx="118">
                  <c:v>-0.108</c:v>
                </c:pt>
                <c:pt idx="119">
                  <c:v>-8.43E-2</c:v>
                </c:pt>
                <c:pt idx="120">
                  <c:v>-9.4600000000000004E-2</c:v>
                </c:pt>
                <c:pt idx="121">
                  <c:v>-9.69E-2</c:v>
                </c:pt>
                <c:pt idx="122">
                  <c:v>-9.3100000000000002E-2</c:v>
                </c:pt>
                <c:pt idx="123">
                  <c:v>-9.8799999999999999E-2</c:v>
                </c:pt>
                <c:pt idx="124">
                  <c:v>-9.8000000000000004E-2</c:v>
                </c:pt>
                <c:pt idx="125">
                  <c:v>-9.8500000000000004E-2</c:v>
                </c:pt>
                <c:pt idx="128">
                  <c:v>-0.1108</c:v>
                </c:pt>
                <c:pt idx="129">
                  <c:v>-0.1062</c:v>
                </c:pt>
                <c:pt idx="130">
                  <c:v>-0.1057</c:v>
                </c:pt>
                <c:pt idx="131">
                  <c:v>-0.1066</c:v>
                </c:pt>
                <c:pt idx="132">
                  <c:v>-0.1051</c:v>
                </c:pt>
                <c:pt idx="133">
                  <c:v>-0.1023</c:v>
                </c:pt>
                <c:pt idx="134">
                  <c:v>-0.1036</c:v>
                </c:pt>
                <c:pt idx="135">
                  <c:v>-0.1031</c:v>
                </c:pt>
                <c:pt idx="136">
                  <c:v>-0.1069</c:v>
                </c:pt>
                <c:pt idx="137">
                  <c:v>-0.11550000000000001</c:v>
                </c:pt>
                <c:pt idx="138">
                  <c:v>-0.1129</c:v>
                </c:pt>
                <c:pt idx="139">
                  <c:v>-0.10879999999999999</c:v>
                </c:pt>
                <c:pt idx="140">
                  <c:v>-0.10009999999999999</c:v>
                </c:pt>
                <c:pt idx="141">
                  <c:v>-0.1021</c:v>
                </c:pt>
                <c:pt idx="142">
                  <c:v>-9.9400000000000002E-2</c:v>
                </c:pt>
                <c:pt idx="143">
                  <c:v>-8.9300000000000004E-2</c:v>
                </c:pt>
                <c:pt idx="144">
                  <c:v>-9.2100000000000001E-2</c:v>
                </c:pt>
                <c:pt idx="145">
                  <c:v>-9.5699999999999993E-2</c:v>
                </c:pt>
                <c:pt idx="146">
                  <c:v>-9.5899999999999999E-2</c:v>
                </c:pt>
                <c:pt idx="147">
                  <c:v>-0.1013</c:v>
                </c:pt>
                <c:pt idx="148">
                  <c:v>-0.10050000000000001</c:v>
                </c:pt>
                <c:pt idx="149">
                  <c:v>-8.3599999999999994E-2</c:v>
                </c:pt>
                <c:pt idx="150">
                  <c:v>-8.0799999999999997E-2</c:v>
                </c:pt>
                <c:pt idx="151">
                  <c:v>-8.0699999999999994E-2</c:v>
                </c:pt>
                <c:pt idx="152">
                  <c:v>-7.85E-2</c:v>
                </c:pt>
                <c:pt idx="153">
                  <c:v>-7.7299999999999994E-2</c:v>
                </c:pt>
                <c:pt idx="154">
                  <c:v>-8.6599999999999996E-2</c:v>
                </c:pt>
                <c:pt idx="155">
                  <c:v>-8.77E-2</c:v>
                </c:pt>
                <c:pt idx="156">
                  <c:v>-8.1299999999999997E-2</c:v>
                </c:pt>
                <c:pt idx="157">
                  <c:v>-8.9700000000000002E-2</c:v>
                </c:pt>
                <c:pt idx="158">
                  <c:v>-8.9800000000000005E-2</c:v>
                </c:pt>
                <c:pt idx="159">
                  <c:v>-8.4599999999999995E-2</c:v>
                </c:pt>
                <c:pt idx="160">
                  <c:v>-7.6499999999999999E-2</c:v>
                </c:pt>
                <c:pt idx="162">
                  <c:v>-8.14E-2</c:v>
                </c:pt>
                <c:pt idx="163">
                  <c:v>-8.4599999999999995E-2</c:v>
                </c:pt>
                <c:pt idx="164">
                  <c:v>-8.4000000000000005E-2</c:v>
                </c:pt>
                <c:pt idx="165">
                  <c:v>-8.6599999999999996E-2</c:v>
                </c:pt>
                <c:pt idx="166">
                  <c:v>-8.7099999999999997E-2</c:v>
                </c:pt>
                <c:pt idx="167">
                  <c:v>-8.6499999999999994E-2</c:v>
                </c:pt>
                <c:pt idx="168">
                  <c:v>-8.2799999999999999E-2</c:v>
                </c:pt>
                <c:pt idx="169">
                  <c:v>-7.6700000000000004E-2</c:v>
                </c:pt>
                <c:pt idx="170">
                  <c:v>-7.6600000000000001E-2</c:v>
                </c:pt>
                <c:pt idx="171">
                  <c:v>-7.0000000000000007E-2</c:v>
                </c:pt>
                <c:pt idx="172">
                  <c:v>-5.1299999999999998E-2</c:v>
                </c:pt>
                <c:pt idx="173">
                  <c:v>-1.9E-2</c:v>
                </c:pt>
                <c:pt idx="174">
                  <c:v>-3.6299999999999999E-2</c:v>
                </c:pt>
                <c:pt idx="175">
                  <c:v>-3.5499999999999997E-2</c:v>
                </c:pt>
                <c:pt idx="176">
                  <c:v>-2.7E-2</c:v>
                </c:pt>
                <c:pt idx="177">
                  <c:v>-2.6700000000000002E-2</c:v>
                </c:pt>
                <c:pt idx="178">
                  <c:v>-2.87E-2</c:v>
                </c:pt>
                <c:pt idx="179">
                  <c:v>-2.01E-2</c:v>
                </c:pt>
                <c:pt idx="180">
                  <c:v>-3.2199999999999999E-2</c:v>
                </c:pt>
                <c:pt idx="181">
                  <c:v>-3.7499999999999999E-2</c:v>
                </c:pt>
                <c:pt idx="182">
                  <c:v>-3.7100000000000001E-2</c:v>
                </c:pt>
                <c:pt idx="183">
                  <c:v>-3.27E-2</c:v>
                </c:pt>
                <c:pt idx="184">
                  <c:v>-3.3500000000000002E-2</c:v>
                </c:pt>
                <c:pt idx="185">
                  <c:v>-2.69E-2</c:v>
                </c:pt>
                <c:pt idx="186">
                  <c:v>-2.18E-2</c:v>
                </c:pt>
                <c:pt idx="187">
                  <c:v>-1.03E-2</c:v>
                </c:pt>
                <c:pt idx="188">
                  <c:v>-1.01E-2</c:v>
                </c:pt>
                <c:pt idx="189">
                  <c:v>1E-3</c:v>
                </c:pt>
                <c:pt idx="190">
                  <c:v>7.4000000000000003E-3</c:v>
                </c:pt>
                <c:pt idx="191">
                  <c:v>1.17E-2</c:v>
                </c:pt>
                <c:pt idx="192">
                  <c:v>1.4500000000000001E-2</c:v>
                </c:pt>
                <c:pt idx="193">
                  <c:v>3.5000000000000001E-3</c:v>
                </c:pt>
                <c:pt idx="194">
                  <c:v>-1.01E-2</c:v>
                </c:pt>
                <c:pt idx="195">
                  <c:v>-1.89E-2</c:v>
                </c:pt>
                <c:pt idx="196">
                  <c:v>-4.3E-3</c:v>
                </c:pt>
                <c:pt idx="197">
                  <c:v>-5.0000000000000001E-3</c:v>
                </c:pt>
                <c:pt idx="198">
                  <c:v>-6.7000000000000002E-3</c:v>
                </c:pt>
                <c:pt idx="199">
                  <c:v>4.8999999999999998E-3</c:v>
                </c:pt>
                <c:pt idx="200">
                  <c:v>2E-3</c:v>
                </c:pt>
                <c:pt idx="201">
                  <c:v>-1.3299999999999999E-2</c:v>
                </c:pt>
                <c:pt idx="202">
                  <c:v>-1.3599999999999999E-2</c:v>
                </c:pt>
                <c:pt idx="203">
                  <c:v>-1.78E-2</c:v>
                </c:pt>
                <c:pt idx="204">
                  <c:v>-1.6500000000000001E-2</c:v>
                </c:pt>
                <c:pt idx="205">
                  <c:v>-1.9300000000000001E-2</c:v>
                </c:pt>
                <c:pt idx="206">
                  <c:v>-3.8E-3</c:v>
                </c:pt>
                <c:pt idx="207">
                  <c:v>-4.8999999999999998E-3</c:v>
                </c:pt>
                <c:pt idx="208">
                  <c:v>-2.2000000000000001E-3</c:v>
                </c:pt>
                <c:pt idx="209">
                  <c:v>-1.12E-2</c:v>
                </c:pt>
                <c:pt idx="211">
                  <c:v>-2.4299999999999999E-2</c:v>
                </c:pt>
                <c:pt idx="212">
                  <c:v>-1.3100000000000001E-2</c:v>
                </c:pt>
                <c:pt idx="213">
                  <c:v>-1.6400000000000001E-2</c:v>
                </c:pt>
                <c:pt idx="214">
                  <c:v>-1.66E-2</c:v>
                </c:pt>
                <c:pt idx="215">
                  <c:v>-1.3599999999999999E-2</c:v>
                </c:pt>
                <c:pt idx="216">
                  <c:v>-6.1000000000000004E-3</c:v>
                </c:pt>
                <c:pt idx="217">
                  <c:v>-6.3E-3</c:v>
                </c:pt>
                <c:pt idx="218">
                  <c:v>-8.6E-3</c:v>
                </c:pt>
                <c:pt idx="219">
                  <c:v>-1.37E-2</c:v>
                </c:pt>
                <c:pt idx="220">
                  <c:v>-5.1000000000000004E-3</c:v>
                </c:pt>
                <c:pt idx="221">
                  <c:v>-4.0000000000000001E-3</c:v>
                </c:pt>
                <c:pt idx="222">
                  <c:v>5.8999999999999999E-3</c:v>
                </c:pt>
                <c:pt idx="223">
                  <c:v>-4.5999999999999999E-3</c:v>
                </c:pt>
                <c:pt idx="224">
                  <c:v>7.4000000000000003E-3</c:v>
                </c:pt>
                <c:pt idx="225">
                  <c:v>6.6E-3</c:v>
                </c:pt>
                <c:pt idx="226">
                  <c:v>8.3999999999999995E-3</c:v>
                </c:pt>
                <c:pt idx="227">
                  <c:v>1.11E-2</c:v>
                </c:pt>
                <c:pt idx="228">
                  <c:v>2.5000000000000001E-3</c:v>
                </c:pt>
                <c:pt idx="229">
                  <c:v>9.1000000000000004E-3</c:v>
                </c:pt>
                <c:pt idx="230">
                  <c:v>1.4200000000000001E-2</c:v>
                </c:pt>
                <c:pt idx="231">
                  <c:v>1.38E-2</c:v>
                </c:pt>
                <c:pt idx="232">
                  <c:v>1.34E-2</c:v>
                </c:pt>
                <c:pt idx="233">
                  <c:v>1.46E-2</c:v>
                </c:pt>
                <c:pt idx="234">
                  <c:v>1.41E-2</c:v>
                </c:pt>
                <c:pt idx="235">
                  <c:v>1.52E-2</c:v>
                </c:pt>
                <c:pt idx="236">
                  <c:v>4.6199999999999998E-2</c:v>
                </c:pt>
                <c:pt idx="237">
                  <c:v>5.5300000000000002E-2</c:v>
                </c:pt>
                <c:pt idx="238">
                  <c:v>5.0099999999999999E-2</c:v>
                </c:pt>
                <c:pt idx="239">
                  <c:v>6.1600000000000002E-2</c:v>
                </c:pt>
                <c:pt idx="240">
                  <c:v>6.9500000000000006E-2</c:v>
                </c:pt>
                <c:pt idx="241">
                  <c:v>6.4000000000000001E-2</c:v>
                </c:pt>
                <c:pt idx="242">
                  <c:v>6.7500000000000004E-2</c:v>
                </c:pt>
                <c:pt idx="243">
                  <c:v>5.16E-2</c:v>
                </c:pt>
                <c:pt idx="244">
                  <c:v>5.1999999999999998E-2</c:v>
                </c:pt>
                <c:pt idx="245">
                  <c:v>4.9000000000000002E-2</c:v>
                </c:pt>
                <c:pt idx="246">
                  <c:v>4.6800000000000001E-2</c:v>
                </c:pt>
                <c:pt idx="247">
                  <c:v>4.3700000000000003E-2</c:v>
                </c:pt>
                <c:pt idx="248">
                  <c:v>5.1700000000000003E-2</c:v>
                </c:pt>
                <c:pt idx="249">
                  <c:v>5.0900000000000001E-2</c:v>
                </c:pt>
                <c:pt idx="250">
                  <c:v>6.5100000000000005E-2</c:v>
                </c:pt>
                <c:pt idx="251">
                  <c:v>6.4199999999999993E-2</c:v>
                </c:pt>
                <c:pt idx="252">
                  <c:v>5.4199999999999998E-2</c:v>
                </c:pt>
                <c:pt idx="253">
                  <c:v>6.1699999999999998E-2</c:v>
                </c:pt>
                <c:pt idx="254">
                  <c:v>2.1700000000000001E-2</c:v>
                </c:pt>
                <c:pt idx="255">
                  <c:v>1.6500000000000001E-2</c:v>
                </c:pt>
              </c:numCache>
            </c:numRef>
          </c:val>
          <c:smooth val="0"/>
        </c:ser>
        <c:ser>
          <c:idx val="2"/>
          <c:order val="2"/>
          <c:tx>
            <c:strRef>
              <c:f>Sheet1!$D$1</c:f>
              <c:strCache>
                <c:ptCount val="1"/>
                <c:pt idx="0">
                  <c:v>上证指数</c:v>
                </c:pt>
              </c:strCache>
            </c:strRef>
          </c:tx>
          <c:spPr>
            <a:ln w="12700">
              <a:solidFill>
                <a:srgbClr val="32E0E0"/>
              </a:solidFill>
            </a:ln>
          </c:spPr>
          <c:marker>
            <c:symbol val="none"/>
          </c:marker>
          <c:cat>
            <c:numRef>
              <c:f>Sheet1!$A$2:$A$257</c:f>
              <c:numCache>
                <c:formatCode>m/d/yyyy</c:formatCode>
                <c:ptCount val="256"/>
                <c:pt idx="0">
                  <c:v>42354</c:v>
                </c:pt>
                <c:pt idx="1">
                  <c:v>42355</c:v>
                </c:pt>
                <c:pt idx="2">
                  <c:v>42356</c:v>
                </c:pt>
                <c:pt idx="3">
                  <c:v>42359</c:v>
                </c:pt>
                <c:pt idx="4">
                  <c:v>42360</c:v>
                </c:pt>
                <c:pt idx="5">
                  <c:v>42361</c:v>
                </c:pt>
                <c:pt idx="6">
                  <c:v>42362</c:v>
                </c:pt>
                <c:pt idx="7">
                  <c:v>42363</c:v>
                </c:pt>
                <c:pt idx="8">
                  <c:v>42366</c:v>
                </c:pt>
                <c:pt idx="9">
                  <c:v>42367</c:v>
                </c:pt>
                <c:pt idx="10">
                  <c:v>42368</c:v>
                </c:pt>
                <c:pt idx="11">
                  <c:v>42369</c:v>
                </c:pt>
                <c:pt idx="12">
                  <c:v>42370</c:v>
                </c:pt>
                <c:pt idx="13">
                  <c:v>42373</c:v>
                </c:pt>
                <c:pt idx="14">
                  <c:v>42374</c:v>
                </c:pt>
                <c:pt idx="15">
                  <c:v>42375</c:v>
                </c:pt>
                <c:pt idx="16">
                  <c:v>42376</c:v>
                </c:pt>
                <c:pt idx="17">
                  <c:v>42377</c:v>
                </c:pt>
                <c:pt idx="18">
                  <c:v>42380</c:v>
                </c:pt>
                <c:pt idx="19">
                  <c:v>42381</c:v>
                </c:pt>
                <c:pt idx="20">
                  <c:v>42382</c:v>
                </c:pt>
                <c:pt idx="21">
                  <c:v>42383</c:v>
                </c:pt>
                <c:pt idx="22">
                  <c:v>42384</c:v>
                </c:pt>
                <c:pt idx="23">
                  <c:v>42387</c:v>
                </c:pt>
                <c:pt idx="24">
                  <c:v>42388</c:v>
                </c:pt>
                <c:pt idx="25">
                  <c:v>42389</c:v>
                </c:pt>
                <c:pt idx="26">
                  <c:v>42390</c:v>
                </c:pt>
                <c:pt idx="27">
                  <c:v>42391</c:v>
                </c:pt>
                <c:pt idx="28">
                  <c:v>42394</c:v>
                </c:pt>
                <c:pt idx="29">
                  <c:v>42395</c:v>
                </c:pt>
                <c:pt idx="30">
                  <c:v>42396</c:v>
                </c:pt>
                <c:pt idx="31">
                  <c:v>42397</c:v>
                </c:pt>
                <c:pt idx="32">
                  <c:v>42398</c:v>
                </c:pt>
                <c:pt idx="33">
                  <c:v>42401</c:v>
                </c:pt>
                <c:pt idx="34">
                  <c:v>42402</c:v>
                </c:pt>
                <c:pt idx="35">
                  <c:v>42403</c:v>
                </c:pt>
                <c:pt idx="36">
                  <c:v>42404</c:v>
                </c:pt>
                <c:pt idx="37">
                  <c:v>42405</c:v>
                </c:pt>
                <c:pt idx="38">
                  <c:v>42408</c:v>
                </c:pt>
                <c:pt idx="39">
                  <c:v>42409</c:v>
                </c:pt>
                <c:pt idx="40">
                  <c:v>42410</c:v>
                </c:pt>
                <c:pt idx="41">
                  <c:v>42411</c:v>
                </c:pt>
                <c:pt idx="42">
                  <c:v>42412</c:v>
                </c:pt>
                <c:pt idx="43">
                  <c:v>42415</c:v>
                </c:pt>
                <c:pt idx="44">
                  <c:v>42416</c:v>
                </c:pt>
                <c:pt idx="45">
                  <c:v>42417</c:v>
                </c:pt>
                <c:pt idx="46">
                  <c:v>42418</c:v>
                </c:pt>
                <c:pt idx="47">
                  <c:v>42419</c:v>
                </c:pt>
                <c:pt idx="48">
                  <c:v>42422</c:v>
                </c:pt>
                <c:pt idx="49">
                  <c:v>42423</c:v>
                </c:pt>
                <c:pt idx="50">
                  <c:v>42424</c:v>
                </c:pt>
                <c:pt idx="51">
                  <c:v>42425</c:v>
                </c:pt>
                <c:pt idx="52">
                  <c:v>42426</c:v>
                </c:pt>
                <c:pt idx="53">
                  <c:v>42429</c:v>
                </c:pt>
                <c:pt idx="54">
                  <c:v>42430</c:v>
                </c:pt>
                <c:pt idx="55">
                  <c:v>42431</c:v>
                </c:pt>
                <c:pt idx="56">
                  <c:v>42432</c:v>
                </c:pt>
                <c:pt idx="57">
                  <c:v>42433</c:v>
                </c:pt>
                <c:pt idx="58">
                  <c:v>42436</c:v>
                </c:pt>
                <c:pt idx="59">
                  <c:v>42437</c:v>
                </c:pt>
                <c:pt idx="60">
                  <c:v>42438</c:v>
                </c:pt>
                <c:pt idx="61">
                  <c:v>42439</c:v>
                </c:pt>
                <c:pt idx="62">
                  <c:v>42440</c:v>
                </c:pt>
                <c:pt idx="63">
                  <c:v>42443</c:v>
                </c:pt>
                <c:pt idx="64">
                  <c:v>42444</c:v>
                </c:pt>
                <c:pt idx="65">
                  <c:v>42445</c:v>
                </c:pt>
                <c:pt idx="66">
                  <c:v>42446</c:v>
                </c:pt>
                <c:pt idx="67">
                  <c:v>42447</c:v>
                </c:pt>
                <c:pt idx="68">
                  <c:v>42450</c:v>
                </c:pt>
                <c:pt idx="69">
                  <c:v>42451</c:v>
                </c:pt>
                <c:pt idx="70">
                  <c:v>42452</c:v>
                </c:pt>
                <c:pt idx="71">
                  <c:v>42453</c:v>
                </c:pt>
                <c:pt idx="72">
                  <c:v>42454</c:v>
                </c:pt>
                <c:pt idx="73">
                  <c:v>42457</c:v>
                </c:pt>
                <c:pt idx="74">
                  <c:v>42458</c:v>
                </c:pt>
                <c:pt idx="75">
                  <c:v>42459</c:v>
                </c:pt>
                <c:pt idx="76">
                  <c:v>42460</c:v>
                </c:pt>
                <c:pt idx="77">
                  <c:v>42461</c:v>
                </c:pt>
                <c:pt idx="78">
                  <c:v>42464</c:v>
                </c:pt>
                <c:pt idx="79">
                  <c:v>42465</c:v>
                </c:pt>
                <c:pt idx="80">
                  <c:v>42466</c:v>
                </c:pt>
                <c:pt idx="81">
                  <c:v>42467</c:v>
                </c:pt>
                <c:pt idx="82">
                  <c:v>42468</c:v>
                </c:pt>
                <c:pt idx="83">
                  <c:v>42471</c:v>
                </c:pt>
                <c:pt idx="84">
                  <c:v>42472</c:v>
                </c:pt>
                <c:pt idx="85">
                  <c:v>42473</c:v>
                </c:pt>
                <c:pt idx="86">
                  <c:v>42474</c:v>
                </c:pt>
                <c:pt idx="87">
                  <c:v>42475</c:v>
                </c:pt>
                <c:pt idx="88">
                  <c:v>42478</c:v>
                </c:pt>
                <c:pt idx="89">
                  <c:v>42479</c:v>
                </c:pt>
                <c:pt idx="90">
                  <c:v>42480</c:v>
                </c:pt>
                <c:pt idx="91">
                  <c:v>42481</c:v>
                </c:pt>
                <c:pt idx="92">
                  <c:v>42482</c:v>
                </c:pt>
                <c:pt idx="93">
                  <c:v>42485</c:v>
                </c:pt>
                <c:pt idx="94">
                  <c:v>42486</c:v>
                </c:pt>
                <c:pt idx="95">
                  <c:v>42487</c:v>
                </c:pt>
                <c:pt idx="96">
                  <c:v>42488</c:v>
                </c:pt>
                <c:pt idx="97">
                  <c:v>42489</c:v>
                </c:pt>
                <c:pt idx="98">
                  <c:v>42492</c:v>
                </c:pt>
                <c:pt idx="99">
                  <c:v>42493</c:v>
                </c:pt>
                <c:pt idx="100">
                  <c:v>42494</c:v>
                </c:pt>
                <c:pt idx="101">
                  <c:v>42495</c:v>
                </c:pt>
                <c:pt idx="102">
                  <c:v>42496</c:v>
                </c:pt>
                <c:pt idx="103">
                  <c:v>42499</c:v>
                </c:pt>
                <c:pt idx="104">
                  <c:v>42500</c:v>
                </c:pt>
                <c:pt idx="105">
                  <c:v>42501</c:v>
                </c:pt>
                <c:pt idx="106">
                  <c:v>42502</c:v>
                </c:pt>
                <c:pt idx="107">
                  <c:v>42503</c:v>
                </c:pt>
                <c:pt idx="108">
                  <c:v>42506</c:v>
                </c:pt>
                <c:pt idx="109">
                  <c:v>42507</c:v>
                </c:pt>
                <c:pt idx="110">
                  <c:v>42508</c:v>
                </c:pt>
                <c:pt idx="111">
                  <c:v>42509</c:v>
                </c:pt>
                <c:pt idx="112">
                  <c:v>42510</c:v>
                </c:pt>
                <c:pt idx="113">
                  <c:v>42513</c:v>
                </c:pt>
                <c:pt idx="114">
                  <c:v>42514</c:v>
                </c:pt>
                <c:pt idx="115">
                  <c:v>42515</c:v>
                </c:pt>
                <c:pt idx="116">
                  <c:v>42516</c:v>
                </c:pt>
                <c:pt idx="117">
                  <c:v>42517</c:v>
                </c:pt>
                <c:pt idx="118">
                  <c:v>42520</c:v>
                </c:pt>
                <c:pt idx="119">
                  <c:v>42521</c:v>
                </c:pt>
                <c:pt idx="120">
                  <c:v>42522</c:v>
                </c:pt>
                <c:pt idx="121">
                  <c:v>42523</c:v>
                </c:pt>
                <c:pt idx="122">
                  <c:v>42524</c:v>
                </c:pt>
                <c:pt idx="123">
                  <c:v>42527</c:v>
                </c:pt>
                <c:pt idx="124">
                  <c:v>42528</c:v>
                </c:pt>
                <c:pt idx="125">
                  <c:v>42529</c:v>
                </c:pt>
                <c:pt idx="126">
                  <c:v>42530</c:v>
                </c:pt>
                <c:pt idx="127">
                  <c:v>42531</c:v>
                </c:pt>
                <c:pt idx="128">
                  <c:v>42534</c:v>
                </c:pt>
                <c:pt idx="129">
                  <c:v>42535</c:v>
                </c:pt>
                <c:pt idx="130">
                  <c:v>42536</c:v>
                </c:pt>
                <c:pt idx="131">
                  <c:v>42537</c:v>
                </c:pt>
                <c:pt idx="132">
                  <c:v>42538</c:v>
                </c:pt>
                <c:pt idx="133">
                  <c:v>42541</c:v>
                </c:pt>
                <c:pt idx="134">
                  <c:v>42542</c:v>
                </c:pt>
                <c:pt idx="135">
                  <c:v>42543</c:v>
                </c:pt>
                <c:pt idx="136">
                  <c:v>42544</c:v>
                </c:pt>
                <c:pt idx="137">
                  <c:v>42545</c:v>
                </c:pt>
                <c:pt idx="138">
                  <c:v>42548</c:v>
                </c:pt>
                <c:pt idx="139">
                  <c:v>42549</c:v>
                </c:pt>
                <c:pt idx="140">
                  <c:v>42550</c:v>
                </c:pt>
                <c:pt idx="141">
                  <c:v>42551</c:v>
                </c:pt>
                <c:pt idx="142">
                  <c:v>42552</c:v>
                </c:pt>
                <c:pt idx="143">
                  <c:v>42555</c:v>
                </c:pt>
                <c:pt idx="144">
                  <c:v>42556</c:v>
                </c:pt>
                <c:pt idx="145">
                  <c:v>42557</c:v>
                </c:pt>
                <c:pt idx="146">
                  <c:v>42558</c:v>
                </c:pt>
                <c:pt idx="147">
                  <c:v>42559</c:v>
                </c:pt>
                <c:pt idx="148">
                  <c:v>42562</c:v>
                </c:pt>
                <c:pt idx="149">
                  <c:v>42563</c:v>
                </c:pt>
                <c:pt idx="150">
                  <c:v>42564</c:v>
                </c:pt>
                <c:pt idx="151">
                  <c:v>42565</c:v>
                </c:pt>
                <c:pt idx="152">
                  <c:v>42566</c:v>
                </c:pt>
                <c:pt idx="153">
                  <c:v>42569</c:v>
                </c:pt>
                <c:pt idx="154">
                  <c:v>42570</c:v>
                </c:pt>
                <c:pt idx="155">
                  <c:v>42571</c:v>
                </c:pt>
                <c:pt idx="156">
                  <c:v>42572</c:v>
                </c:pt>
                <c:pt idx="157">
                  <c:v>42573</c:v>
                </c:pt>
                <c:pt idx="158">
                  <c:v>42576</c:v>
                </c:pt>
                <c:pt idx="159">
                  <c:v>42577</c:v>
                </c:pt>
                <c:pt idx="160">
                  <c:v>42578</c:v>
                </c:pt>
                <c:pt idx="161">
                  <c:v>42579</c:v>
                </c:pt>
                <c:pt idx="162">
                  <c:v>42580</c:v>
                </c:pt>
                <c:pt idx="163">
                  <c:v>42583</c:v>
                </c:pt>
                <c:pt idx="164">
                  <c:v>42584</c:v>
                </c:pt>
                <c:pt idx="165">
                  <c:v>42585</c:v>
                </c:pt>
                <c:pt idx="166">
                  <c:v>42586</c:v>
                </c:pt>
                <c:pt idx="167">
                  <c:v>42587</c:v>
                </c:pt>
                <c:pt idx="168">
                  <c:v>42590</c:v>
                </c:pt>
                <c:pt idx="169">
                  <c:v>42591</c:v>
                </c:pt>
                <c:pt idx="170">
                  <c:v>42592</c:v>
                </c:pt>
                <c:pt idx="171">
                  <c:v>42593</c:v>
                </c:pt>
                <c:pt idx="172">
                  <c:v>42594</c:v>
                </c:pt>
                <c:pt idx="173">
                  <c:v>42597</c:v>
                </c:pt>
                <c:pt idx="174">
                  <c:v>42598</c:v>
                </c:pt>
                <c:pt idx="175">
                  <c:v>42599</c:v>
                </c:pt>
                <c:pt idx="176">
                  <c:v>42600</c:v>
                </c:pt>
                <c:pt idx="177">
                  <c:v>42601</c:v>
                </c:pt>
                <c:pt idx="178">
                  <c:v>42604</c:v>
                </c:pt>
                <c:pt idx="179">
                  <c:v>42605</c:v>
                </c:pt>
                <c:pt idx="180">
                  <c:v>42606</c:v>
                </c:pt>
                <c:pt idx="181">
                  <c:v>42607</c:v>
                </c:pt>
                <c:pt idx="182">
                  <c:v>42608</c:v>
                </c:pt>
                <c:pt idx="183">
                  <c:v>42611</c:v>
                </c:pt>
                <c:pt idx="184">
                  <c:v>42612</c:v>
                </c:pt>
                <c:pt idx="185">
                  <c:v>42613</c:v>
                </c:pt>
                <c:pt idx="186">
                  <c:v>42614</c:v>
                </c:pt>
                <c:pt idx="187">
                  <c:v>42615</c:v>
                </c:pt>
                <c:pt idx="188">
                  <c:v>42618</c:v>
                </c:pt>
                <c:pt idx="189">
                  <c:v>42619</c:v>
                </c:pt>
                <c:pt idx="190">
                  <c:v>42620</c:v>
                </c:pt>
                <c:pt idx="191">
                  <c:v>42621</c:v>
                </c:pt>
                <c:pt idx="192">
                  <c:v>42622</c:v>
                </c:pt>
                <c:pt idx="193">
                  <c:v>42625</c:v>
                </c:pt>
                <c:pt idx="194">
                  <c:v>42626</c:v>
                </c:pt>
                <c:pt idx="195">
                  <c:v>42627</c:v>
                </c:pt>
                <c:pt idx="196">
                  <c:v>42632</c:v>
                </c:pt>
                <c:pt idx="197">
                  <c:v>42633</c:v>
                </c:pt>
                <c:pt idx="198">
                  <c:v>42634</c:v>
                </c:pt>
                <c:pt idx="199">
                  <c:v>42635</c:v>
                </c:pt>
                <c:pt idx="200">
                  <c:v>42636</c:v>
                </c:pt>
                <c:pt idx="201">
                  <c:v>42639</c:v>
                </c:pt>
                <c:pt idx="202">
                  <c:v>42640</c:v>
                </c:pt>
                <c:pt idx="203">
                  <c:v>42641</c:v>
                </c:pt>
                <c:pt idx="204">
                  <c:v>42642</c:v>
                </c:pt>
                <c:pt idx="205">
                  <c:v>42643</c:v>
                </c:pt>
                <c:pt idx="206">
                  <c:v>42653</c:v>
                </c:pt>
                <c:pt idx="207">
                  <c:v>42654</c:v>
                </c:pt>
                <c:pt idx="208">
                  <c:v>42655</c:v>
                </c:pt>
                <c:pt idx="209">
                  <c:v>42656</c:v>
                </c:pt>
                <c:pt idx="210">
                  <c:v>42657</c:v>
                </c:pt>
                <c:pt idx="211">
                  <c:v>42660</c:v>
                </c:pt>
                <c:pt idx="212">
                  <c:v>42661</c:v>
                </c:pt>
                <c:pt idx="213">
                  <c:v>42662</c:v>
                </c:pt>
                <c:pt idx="214">
                  <c:v>42663</c:v>
                </c:pt>
                <c:pt idx="215">
                  <c:v>42664</c:v>
                </c:pt>
                <c:pt idx="216">
                  <c:v>42667</c:v>
                </c:pt>
                <c:pt idx="217">
                  <c:v>42668</c:v>
                </c:pt>
                <c:pt idx="218">
                  <c:v>42669</c:v>
                </c:pt>
                <c:pt idx="219">
                  <c:v>42670</c:v>
                </c:pt>
                <c:pt idx="220">
                  <c:v>42671</c:v>
                </c:pt>
                <c:pt idx="221">
                  <c:v>42674</c:v>
                </c:pt>
                <c:pt idx="222">
                  <c:v>42675</c:v>
                </c:pt>
                <c:pt idx="223">
                  <c:v>42676</c:v>
                </c:pt>
                <c:pt idx="224">
                  <c:v>42677</c:v>
                </c:pt>
                <c:pt idx="225">
                  <c:v>42678</c:v>
                </c:pt>
                <c:pt idx="226">
                  <c:v>42681</c:v>
                </c:pt>
                <c:pt idx="227">
                  <c:v>42682</c:v>
                </c:pt>
                <c:pt idx="228">
                  <c:v>42683</c:v>
                </c:pt>
                <c:pt idx="229">
                  <c:v>42684</c:v>
                </c:pt>
                <c:pt idx="230">
                  <c:v>42685</c:v>
                </c:pt>
                <c:pt idx="231">
                  <c:v>42688</c:v>
                </c:pt>
                <c:pt idx="232">
                  <c:v>42689</c:v>
                </c:pt>
                <c:pt idx="233">
                  <c:v>42690</c:v>
                </c:pt>
                <c:pt idx="234">
                  <c:v>42691</c:v>
                </c:pt>
                <c:pt idx="235">
                  <c:v>42692</c:v>
                </c:pt>
                <c:pt idx="236">
                  <c:v>42695</c:v>
                </c:pt>
                <c:pt idx="237">
                  <c:v>42696</c:v>
                </c:pt>
                <c:pt idx="238">
                  <c:v>42697</c:v>
                </c:pt>
                <c:pt idx="239">
                  <c:v>42698</c:v>
                </c:pt>
                <c:pt idx="240">
                  <c:v>42699</c:v>
                </c:pt>
                <c:pt idx="241">
                  <c:v>42702</c:v>
                </c:pt>
                <c:pt idx="242">
                  <c:v>42703</c:v>
                </c:pt>
                <c:pt idx="243">
                  <c:v>42704</c:v>
                </c:pt>
                <c:pt idx="244">
                  <c:v>42705</c:v>
                </c:pt>
                <c:pt idx="245">
                  <c:v>42706</c:v>
                </c:pt>
                <c:pt idx="246">
                  <c:v>42709</c:v>
                </c:pt>
                <c:pt idx="247">
                  <c:v>42710</c:v>
                </c:pt>
                <c:pt idx="248">
                  <c:v>42711</c:v>
                </c:pt>
                <c:pt idx="249">
                  <c:v>42712</c:v>
                </c:pt>
                <c:pt idx="250">
                  <c:v>42713</c:v>
                </c:pt>
                <c:pt idx="251">
                  <c:v>42716</c:v>
                </c:pt>
                <c:pt idx="252">
                  <c:v>42717</c:v>
                </c:pt>
                <c:pt idx="253">
                  <c:v>42718</c:v>
                </c:pt>
                <c:pt idx="254">
                  <c:v>42719</c:v>
                </c:pt>
                <c:pt idx="255">
                  <c:v>42720</c:v>
                </c:pt>
              </c:numCache>
            </c:numRef>
          </c:cat>
          <c:val>
            <c:numRef>
              <c:f>Sheet1!$D$2:$D$257</c:f>
              <c:numCache>
                <c:formatCode>General</c:formatCode>
                <c:ptCount val="256"/>
                <c:pt idx="0">
                  <c:v>0</c:v>
                </c:pt>
                <c:pt idx="1">
                  <c:v>1.8100000000000002E-2</c:v>
                </c:pt>
                <c:pt idx="2">
                  <c:v>1.7899999999999999E-2</c:v>
                </c:pt>
                <c:pt idx="3">
                  <c:v>3.5900000000000001E-2</c:v>
                </c:pt>
                <c:pt idx="4">
                  <c:v>3.8600000000000002E-2</c:v>
                </c:pt>
                <c:pt idx="5">
                  <c:v>3.4099999999999998E-2</c:v>
                </c:pt>
                <c:pt idx="6">
                  <c:v>2.7400000000000001E-2</c:v>
                </c:pt>
                <c:pt idx="7">
                  <c:v>3.1800000000000002E-2</c:v>
                </c:pt>
                <c:pt idx="8">
                  <c:v>5.0000000000000001E-3</c:v>
                </c:pt>
                <c:pt idx="9">
                  <c:v>1.35E-2</c:v>
                </c:pt>
                <c:pt idx="10">
                  <c:v>1.61E-2</c:v>
                </c:pt>
                <c:pt idx="11">
                  <c:v>6.4999999999999997E-3</c:v>
                </c:pt>
                <c:pt idx="12">
                  <c:v>6.4999999999999997E-3</c:v>
                </c:pt>
                <c:pt idx="13">
                  <c:v>-6.25E-2</c:v>
                </c:pt>
                <c:pt idx="14">
                  <c:v>-6.5000000000000002E-2</c:v>
                </c:pt>
                <c:pt idx="15">
                  <c:v>-4.3900000000000002E-2</c:v>
                </c:pt>
                <c:pt idx="16">
                  <c:v>-0.1113</c:v>
                </c:pt>
                <c:pt idx="17">
                  <c:v>-9.3799999999999994E-2</c:v>
                </c:pt>
                <c:pt idx="18">
                  <c:v>-0.1421</c:v>
                </c:pt>
                <c:pt idx="19">
                  <c:v>-0.14030000000000001</c:v>
                </c:pt>
                <c:pt idx="20">
                  <c:v>-0.16109999999999999</c:v>
                </c:pt>
                <c:pt idx="21">
                  <c:v>-0.14460000000000001</c:v>
                </c:pt>
                <c:pt idx="22">
                  <c:v>-0.17499999999999999</c:v>
                </c:pt>
                <c:pt idx="23">
                  <c:v>-0.17130000000000001</c:v>
                </c:pt>
                <c:pt idx="24">
                  <c:v>-0.14460000000000001</c:v>
                </c:pt>
                <c:pt idx="25">
                  <c:v>-0.15340000000000001</c:v>
                </c:pt>
                <c:pt idx="26">
                  <c:v>-0.18079999999999999</c:v>
                </c:pt>
                <c:pt idx="27">
                  <c:v>-0.17050000000000001</c:v>
                </c:pt>
                <c:pt idx="28">
                  <c:v>-0.1643</c:v>
                </c:pt>
                <c:pt idx="29">
                  <c:v>-0.218</c:v>
                </c:pt>
                <c:pt idx="30">
                  <c:v>-0.222</c:v>
                </c:pt>
                <c:pt idx="31">
                  <c:v>-0.2447</c:v>
                </c:pt>
                <c:pt idx="32">
                  <c:v>-0.22140000000000001</c:v>
                </c:pt>
                <c:pt idx="33">
                  <c:v>-0.23530000000000001</c:v>
                </c:pt>
                <c:pt idx="34">
                  <c:v>-0.218</c:v>
                </c:pt>
                <c:pt idx="35">
                  <c:v>-0.221</c:v>
                </c:pt>
                <c:pt idx="36">
                  <c:v>-0.20910000000000001</c:v>
                </c:pt>
                <c:pt idx="37">
                  <c:v>-0.21410000000000001</c:v>
                </c:pt>
                <c:pt idx="38">
                  <c:v>-0.21410000000000001</c:v>
                </c:pt>
                <c:pt idx="39">
                  <c:v>-0.21410000000000001</c:v>
                </c:pt>
                <c:pt idx="40">
                  <c:v>-0.21410000000000001</c:v>
                </c:pt>
                <c:pt idx="41">
                  <c:v>-0.21410000000000001</c:v>
                </c:pt>
                <c:pt idx="42">
                  <c:v>-0.21410000000000001</c:v>
                </c:pt>
                <c:pt idx="43">
                  <c:v>-0.219</c:v>
                </c:pt>
                <c:pt idx="44">
                  <c:v>-0.1933</c:v>
                </c:pt>
                <c:pt idx="45">
                  <c:v>-0.1845</c:v>
                </c:pt>
                <c:pt idx="46">
                  <c:v>-0.18579999999999999</c:v>
                </c:pt>
                <c:pt idx="47">
                  <c:v>-0.18659999999999999</c:v>
                </c:pt>
                <c:pt idx="48">
                  <c:v>-0.16750000000000001</c:v>
                </c:pt>
                <c:pt idx="49">
                  <c:v>-0.17430000000000001</c:v>
                </c:pt>
                <c:pt idx="50">
                  <c:v>-0.16700000000000001</c:v>
                </c:pt>
                <c:pt idx="51">
                  <c:v>-0.22040000000000001</c:v>
                </c:pt>
                <c:pt idx="52">
                  <c:v>-0.21299999999999999</c:v>
                </c:pt>
                <c:pt idx="53">
                  <c:v>-0.23549999999999999</c:v>
                </c:pt>
                <c:pt idx="54">
                  <c:v>-0.22270000000000001</c:v>
                </c:pt>
                <c:pt idx="55">
                  <c:v>-0.18959999999999999</c:v>
                </c:pt>
                <c:pt idx="56">
                  <c:v>-0.1867</c:v>
                </c:pt>
                <c:pt idx="57">
                  <c:v>-0.18260000000000001</c:v>
                </c:pt>
                <c:pt idx="58">
                  <c:v>-0.17599999999999999</c:v>
                </c:pt>
                <c:pt idx="59">
                  <c:v>-0.17480000000000001</c:v>
                </c:pt>
                <c:pt idx="60">
                  <c:v>-0.18590000000000001</c:v>
                </c:pt>
                <c:pt idx="61">
                  <c:v>-0.20230000000000001</c:v>
                </c:pt>
                <c:pt idx="62">
                  <c:v>-0.20080000000000001</c:v>
                </c:pt>
                <c:pt idx="63">
                  <c:v>-0.18679999999999999</c:v>
                </c:pt>
                <c:pt idx="64">
                  <c:v>-0.18540000000000001</c:v>
                </c:pt>
                <c:pt idx="65">
                  <c:v>-0.1837</c:v>
                </c:pt>
                <c:pt idx="66">
                  <c:v>-0.1739</c:v>
                </c:pt>
                <c:pt idx="67">
                  <c:v>-0.15959999999999999</c:v>
                </c:pt>
                <c:pt idx="68">
                  <c:v>-0.14149999999999999</c:v>
                </c:pt>
                <c:pt idx="69">
                  <c:v>-0.14699999999999999</c:v>
                </c:pt>
                <c:pt idx="70">
                  <c:v>-0.14399999999999999</c:v>
                </c:pt>
                <c:pt idx="71">
                  <c:v>-0.15790000000000001</c:v>
                </c:pt>
                <c:pt idx="72">
                  <c:v>-0.1527</c:v>
                </c:pt>
                <c:pt idx="73">
                  <c:v>-0.1588</c:v>
                </c:pt>
                <c:pt idx="74">
                  <c:v>-0.1696</c:v>
                </c:pt>
                <c:pt idx="75">
                  <c:v>-0.14660000000000001</c:v>
                </c:pt>
                <c:pt idx="76">
                  <c:v>-0.1457</c:v>
                </c:pt>
                <c:pt idx="77">
                  <c:v>-0.14410000000000001</c:v>
                </c:pt>
                <c:pt idx="78">
                  <c:v>-0.14410000000000001</c:v>
                </c:pt>
                <c:pt idx="79">
                  <c:v>-0.13170000000000001</c:v>
                </c:pt>
                <c:pt idx="80">
                  <c:v>-0.13239999999999999</c:v>
                </c:pt>
                <c:pt idx="81">
                  <c:v>-0.1444</c:v>
                </c:pt>
                <c:pt idx="82">
                  <c:v>-0.15110000000000001</c:v>
                </c:pt>
                <c:pt idx="83">
                  <c:v>-0.1371</c:v>
                </c:pt>
                <c:pt idx="84">
                  <c:v>-0.1401</c:v>
                </c:pt>
                <c:pt idx="85">
                  <c:v>-0.12790000000000001</c:v>
                </c:pt>
                <c:pt idx="86">
                  <c:v>-0.1234</c:v>
                </c:pt>
                <c:pt idx="87">
                  <c:v>-0.1246</c:v>
                </c:pt>
                <c:pt idx="88">
                  <c:v>-0.13719999999999999</c:v>
                </c:pt>
                <c:pt idx="89">
                  <c:v>-0.1346</c:v>
                </c:pt>
                <c:pt idx="90">
                  <c:v>-0.15459999999999999</c:v>
                </c:pt>
                <c:pt idx="91">
                  <c:v>-0.16020000000000001</c:v>
                </c:pt>
                <c:pt idx="92">
                  <c:v>-0.15840000000000001</c:v>
                </c:pt>
                <c:pt idx="93">
                  <c:v>-0.16200000000000001</c:v>
                </c:pt>
                <c:pt idx="94">
                  <c:v>-0.15679999999999999</c:v>
                </c:pt>
                <c:pt idx="95">
                  <c:v>-0.16</c:v>
                </c:pt>
                <c:pt idx="96">
                  <c:v>-0.1623</c:v>
                </c:pt>
                <c:pt idx="97">
                  <c:v>-0.1643</c:v>
                </c:pt>
                <c:pt idx="98">
                  <c:v>-0.1643</c:v>
                </c:pt>
                <c:pt idx="99">
                  <c:v>-0.1489</c:v>
                </c:pt>
                <c:pt idx="100">
                  <c:v>-0.14929999999999999</c:v>
                </c:pt>
                <c:pt idx="101">
                  <c:v>-0.1474</c:v>
                </c:pt>
                <c:pt idx="102">
                  <c:v>-0.17150000000000001</c:v>
                </c:pt>
                <c:pt idx="103">
                  <c:v>-0.19450000000000001</c:v>
                </c:pt>
                <c:pt idx="104">
                  <c:v>-0.19439999999999999</c:v>
                </c:pt>
                <c:pt idx="105">
                  <c:v>-0.19309999999999999</c:v>
                </c:pt>
                <c:pt idx="106">
                  <c:v>-0.19350000000000001</c:v>
                </c:pt>
                <c:pt idx="107">
                  <c:v>-0.19600000000000001</c:v>
                </c:pt>
                <c:pt idx="108">
                  <c:v>-0.18920000000000001</c:v>
                </c:pt>
                <c:pt idx="109">
                  <c:v>-0.1913</c:v>
                </c:pt>
                <c:pt idx="110">
                  <c:v>-0.20150000000000001</c:v>
                </c:pt>
                <c:pt idx="111">
                  <c:v>-0.20169999999999999</c:v>
                </c:pt>
                <c:pt idx="112">
                  <c:v>-0.19639999999999999</c:v>
                </c:pt>
                <c:pt idx="113">
                  <c:v>-0.1913</c:v>
                </c:pt>
                <c:pt idx="114">
                  <c:v>-0.19750000000000001</c:v>
                </c:pt>
                <c:pt idx="115">
                  <c:v>-0.19939999999999999</c:v>
                </c:pt>
                <c:pt idx="116">
                  <c:v>-0.1973</c:v>
                </c:pt>
                <c:pt idx="117">
                  <c:v>-0.19769999999999999</c:v>
                </c:pt>
                <c:pt idx="118">
                  <c:v>-0.1973</c:v>
                </c:pt>
                <c:pt idx="119">
                  <c:v>-0.17050000000000001</c:v>
                </c:pt>
                <c:pt idx="120">
                  <c:v>-0.1714</c:v>
                </c:pt>
                <c:pt idx="121">
                  <c:v>-0.1681</c:v>
                </c:pt>
                <c:pt idx="122">
                  <c:v>-0.16420000000000001</c:v>
                </c:pt>
                <c:pt idx="123">
                  <c:v>-0.16550000000000001</c:v>
                </c:pt>
                <c:pt idx="124">
                  <c:v>-0.16500000000000001</c:v>
                </c:pt>
                <c:pt idx="125">
                  <c:v>-0.16750000000000001</c:v>
                </c:pt>
                <c:pt idx="126">
                  <c:v>-0.16750000000000001</c:v>
                </c:pt>
                <c:pt idx="127">
                  <c:v>-0.16750000000000001</c:v>
                </c:pt>
                <c:pt idx="128">
                  <c:v>-0.1943</c:v>
                </c:pt>
                <c:pt idx="129">
                  <c:v>-0.19170000000000001</c:v>
                </c:pt>
                <c:pt idx="130">
                  <c:v>-0.1789</c:v>
                </c:pt>
                <c:pt idx="131">
                  <c:v>-0.183</c:v>
                </c:pt>
                <c:pt idx="132">
                  <c:v>-0.17949999999999999</c:v>
                </c:pt>
                <c:pt idx="133">
                  <c:v>-0.1784</c:v>
                </c:pt>
                <c:pt idx="134">
                  <c:v>-0.18129999999999999</c:v>
                </c:pt>
                <c:pt idx="135">
                  <c:v>-0.17369999999999999</c:v>
                </c:pt>
                <c:pt idx="136">
                  <c:v>-0.17749999999999999</c:v>
                </c:pt>
                <c:pt idx="137">
                  <c:v>-0.18820000000000001</c:v>
                </c:pt>
                <c:pt idx="138">
                  <c:v>-0.17649999999999999</c:v>
                </c:pt>
                <c:pt idx="139">
                  <c:v>-0.17169999999999999</c:v>
                </c:pt>
                <c:pt idx="140">
                  <c:v>-0.1663</c:v>
                </c:pt>
                <c:pt idx="141">
                  <c:v>-0.1668</c:v>
                </c:pt>
                <c:pt idx="142">
                  <c:v>-0.16600000000000001</c:v>
                </c:pt>
                <c:pt idx="143">
                  <c:v>-0.15</c:v>
                </c:pt>
                <c:pt idx="144">
                  <c:v>-0.14499999999999999</c:v>
                </c:pt>
                <c:pt idx="145">
                  <c:v>-0.1419</c:v>
                </c:pt>
                <c:pt idx="146">
                  <c:v>-0.14199999999999999</c:v>
                </c:pt>
                <c:pt idx="147">
                  <c:v>-0.1502</c:v>
                </c:pt>
                <c:pt idx="148">
                  <c:v>-0.1482</c:v>
                </c:pt>
                <c:pt idx="149">
                  <c:v>-0.1328</c:v>
                </c:pt>
                <c:pt idx="150">
                  <c:v>-0.1295</c:v>
                </c:pt>
                <c:pt idx="151">
                  <c:v>-0.13139999999999999</c:v>
                </c:pt>
                <c:pt idx="152">
                  <c:v>-0.13139999999999999</c:v>
                </c:pt>
                <c:pt idx="153">
                  <c:v>-0.13439999999999999</c:v>
                </c:pt>
                <c:pt idx="154">
                  <c:v>-0.13639999999999999</c:v>
                </c:pt>
                <c:pt idx="155">
                  <c:v>-0.1389</c:v>
                </c:pt>
                <c:pt idx="156">
                  <c:v>-0.13569999999999999</c:v>
                </c:pt>
                <c:pt idx="157">
                  <c:v>-0.14319999999999999</c:v>
                </c:pt>
                <c:pt idx="158">
                  <c:v>-0.14230000000000001</c:v>
                </c:pt>
                <c:pt idx="159">
                  <c:v>-0.13250000000000001</c:v>
                </c:pt>
                <c:pt idx="160">
                  <c:v>-0.14910000000000001</c:v>
                </c:pt>
                <c:pt idx="161">
                  <c:v>-0.1484</c:v>
                </c:pt>
                <c:pt idx="162">
                  <c:v>-0.1527</c:v>
                </c:pt>
                <c:pt idx="163">
                  <c:v>-0.16009999999999999</c:v>
                </c:pt>
                <c:pt idx="164">
                  <c:v>-0.155</c:v>
                </c:pt>
                <c:pt idx="165">
                  <c:v>-0.15290000000000001</c:v>
                </c:pt>
                <c:pt idx="166">
                  <c:v>-0.15179999999999999</c:v>
                </c:pt>
                <c:pt idx="167">
                  <c:v>-0.15340000000000001</c:v>
                </c:pt>
                <c:pt idx="168">
                  <c:v>-0.14560000000000001</c:v>
                </c:pt>
                <c:pt idx="169">
                  <c:v>-0.13950000000000001</c:v>
                </c:pt>
                <c:pt idx="170">
                  <c:v>-0.14149999999999999</c:v>
                </c:pt>
                <c:pt idx="171">
                  <c:v>-0.14610000000000001</c:v>
                </c:pt>
                <c:pt idx="172">
                  <c:v>-0.13239999999999999</c:v>
                </c:pt>
                <c:pt idx="173">
                  <c:v>-0.11119999999999999</c:v>
                </c:pt>
                <c:pt idx="174">
                  <c:v>-0.11550000000000001</c:v>
                </c:pt>
                <c:pt idx="175">
                  <c:v>-0.11559999999999999</c:v>
                </c:pt>
                <c:pt idx="176">
                  <c:v>-0.1172</c:v>
                </c:pt>
                <c:pt idx="177">
                  <c:v>-0.11609999999999999</c:v>
                </c:pt>
                <c:pt idx="178">
                  <c:v>-0.1227</c:v>
                </c:pt>
                <c:pt idx="179">
                  <c:v>-0.12130000000000001</c:v>
                </c:pt>
                <c:pt idx="180">
                  <c:v>-0.12239999999999999</c:v>
                </c:pt>
                <c:pt idx="181">
                  <c:v>-0.12740000000000001</c:v>
                </c:pt>
                <c:pt idx="182">
                  <c:v>-0.1268</c:v>
                </c:pt>
                <c:pt idx="183">
                  <c:v>-0.12690000000000001</c:v>
                </c:pt>
                <c:pt idx="184">
                  <c:v>-0.12559999999999999</c:v>
                </c:pt>
                <c:pt idx="185">
                  <c:v>-0.1225</c:v>
                </c:pt>
                <c:pt idx="186">
                  <c:v>-0.1288</c:v>
                </c:pt>
                <c:pt idx="187">
                  <c:v>-0.12759999999999999</c:v>
                </c:pt>
                <c:pt idx="188">
                  <c:v>-0.1263</c:v>
                </c:pt>
                <c:pt idx="189">
                  <c:v>-0.121</c:v>
                </c:pt>
                <c:pt idx="190">
                  <c:v>-0.1207</c:v>
                </c:pt>
                <c:pt idx="191">
                  <c:v>-0.1195</c:v>
                </c:pt>
                <c:pt idx="192">
                  <c:v>-0.1244</c:v>
                </c:pt>
                <c:pt idx="193">
                  <c:v>-0.1406</c:v>
                </c:pt>
                <c:pt idx="194">
                  <c:v>-0.1401</c:v>
                </c:pt>
                <c:pt idx="195">
                  <c:v>-0.14599999999999999</c:v>
                </c:pt>
                <c:pt idx="196">
                  <c:v>-0.1394</c:v>
                </c:pt>
                <c:pt idx="197">
                  <c:v>-0.14030000000000001</c:v>
                </c:pt>
                <c:pt idx="198">
                  <c:v>-0.1394</c:v>
                </c:pt>
                <c:pt idx="199">
                  <c:v>-0.1348</c:v>
                </c:pt>
                <c:pt idx="200">
                  <c:v>-0.13719999999999999</c:v>
                </c:pt>
                <c:pt idx="201">
                  <c:v>-0.15240000000000001</c:v>
                </c:pt>
                <c:pt idx="202">
                  <c:v>-0.14729999999999999</c:v>
                </c:pt>
                <c:pt idx="203">
                  <c:v>-0.15029999999999999</c:v>
                </c:pt>
                <c:pt idx="204">
                  <c:v>-0.1472</c:v>
                </c:pt>
                <c:pt idx="205">
                  <c:v>-0.14549999999999999</c:v>
                </c:pt>
                <c:pt idx="206">
                  <c:v>-0.1331</c:v>
                </c:pt>
                <c:pt idx="207">
                  <c:v>-0.12820000000000001</c:v>
                </c:pt>
                <c:pt idx="208">
                  <c:v>-0.13020000000000001</c:v>
                </c:pt>
                <c:pt idx="209">
                  <c:v>-0.12939999999999999</c:v>
                </c:pt>
                <c:pt idx="210">
                  <c:v>-0.12870000000000001</c:v>
                </c:pt>
                <c:pt idx="211">
                  <c:v>-0.1351</c:v>
                </c:pt>
                <c:pt idx="212">
                  <c:v>-0.1229</c:v>
                </c:pt>
                <c:pt idx="213">
                  <c:v>-0.1227</c:v>
                </c:pt>
                <c:pt idx="214">
                  <c:v>-0.12280000000000001</c:v>
                </c:pt>
                <c:pt idx="215">
                  <c:v>-0.12089999999999999</c:v>
                </c:pt>
                <c:pt idx="216">
                  <c:v>-0.1103</c:v>
                </c:pt>
                <c:pt idx="217">
                  <c:v>-0.10929999999999999</c:v>
                </c:pt>
                <c:pt idx="218">
                  <c:v>-0.1137</c:v>
                </c:pt>
                <c:pt idx="219">
                  <c:v>-0.1149</c:v>
                </c:pt>
                <c:pt idx="220">
                  <c:v>-0.1171</c:v>
                </c:pt>
                <c:pt idx="221">
                  <c:v>-0.1182</c:v>
                </c:pt>
                <c:pt idx="222">
                  <c:v>-0.112</c:v>
                </c:pt>
                <c:pt idx="223">
                  <c:v>-0.1176</c:v>
                </c:pt>
                <c:pt idx="224">
                  <c:v>-0.1101</c:v>
                </c:pt>
                <c:pt idx="225">
                  <c:v>-0.11119999999999999</c:v>
                </c:pt>
                <c:pt idx="226">
                  <c:v>-0.1089</c:v>
                </c:pt>
                <c:pt idx="227">
                  <c:v>-0.1047</c:v>
                </c:pt>
                <c:pt idx="228">
                  <c:v>-0.1103</c:v>
                </c:pt>
                <c:pt idx="229">
                  <c:v>-9.8100000000000007E-2</c:v>
                </c:pt>
                <c:pt idx="230">
                  <c:v>-9.0999999999999998E-2</c:v>
                </c:pt>
                <c:pt idx="231">
                  <c:v>-8.6999999999999994E-2</c:v>
                </c:pt>
                <c:pt idx="232">
                  <c:v>-8.7900000000000006E-2</c:v>
                </c:pt>
                <c:pt idx="233">
                  <c:v>-8.8499999999999995E-2</c:v>
                </c:pt>
                <c:pt idx="234">
                  <c:v>-8.7499999999999994E-2</c:v>
                </c:pt>
                <c:pt idx="235">
                  <c:v>-9.1999999999999998E-2</c:v>
                </c:pt>
                <c:pt idx="236">
                  <c:v>-8.48E-2</c:v>
                </c:pt>
                <c:pt idx="237">
                  <c:v>-7.6200000000000004E-2</c:v>
                </c:pt>
                <c:pt idx="238">
                  <c:v>-7.8200000000000006E-2</c:v>
                </c:pt>
                <c:pt idx="239">
                  <c:v>-7.8100000000000003E-2</c:v>
                </c:pt>
                <c:pt idx="240">
                  <c:v>-7.2300000000000003E-2</c:v>
                </c:pt>
                <c:pt idx="241">
                  <c:v>-6.8000000000000005E-2</c:v>
                </c:pt>
                <c:pt idx="242">
                  <c:v>-6.6299999999999998E-2</c:v>
                </c:pt>
                <c:pt idx="243">
                  <c:v>-7.5700000000000003E-2</c:v>
                </c:pt>
                <c:pt idx="244">
                  <c:v>-6.9099999999999995E-2</c:v>
                </c:pt>
                <c:pt idx="245">
                  <c:v>-7.7499999999999999E-2</c:v>
                </c:pt>
                <c:pt idx="246">
                  <c:v>-8.8599999999999998E-2</c:v>
                </c:pt>
                <c:pt idx="247">
                  <c:v>-0.09</c:v>
                </c:pt>
                <c:pt idx="248">
                  <c:v>-8.3599999999999994E-2</c:v>
                </c:pt>
                <c:pt idx="249">
                  <c:v>-8.5599999999999996E-2</c:v>
                </c:pt>
                <c:pt idx="250">
                  <c:v>-8.0600000000000005E-2</c:v>
                </c:pt>
                <c:pt idx="251">
                  <c:v>-0.1033</c:v>
                </c:pt>
                <c:pt idx="252">
                  <c:v>-0.1027</c:v>
                </c:pt>
                <c:pt idx="253">
                  <c:v>-0.10680000000000001</c:v>
                </c:pt>
                <c:pt idx="254">
                  <c:v>-0.1133</c:v>
                </c:pt>
                <c:pt idx="255">
                  <c:v>-0.1118</c:v>
                </c:pt>
              </c:numCache>
            </c:numRef>
          </c:val>
          <c:smooth val="0"/>
        </c:ser>
        <c:dLbls>
          <c:showLegendKey val="0"/>
          <c:showVal val="0"/>
          <c:showCatName val="0"/>
          <c:showSerName val="0"/>
          <c:showPercent val="0"/>
          <c:showBubbleSize val="0"/>
        </c:dLbls>
        <c:marker val="1"/>
        <c:smooth val="0"/>
        <c:axId val="136565888"/>
        <c:axId val="136567424"/>
      </c:lineChart>
      <c:dateAx>
        <c:axId val="136565888"/>
        <c:scaling>
          <c:orientation val="minMax"/>
        </c:scaling>
        <c:delete val="0"/>
        <c:axPos val="b"/>
        <c:numFmt formatCode="yyyy\-mm" sourceLinked="0"/>
        <c:majorTickMark val="out"/>
        <c:minorTickMark val="none"/>
        <c:tickLblPos val="nextTo"/>
        <c:spPr>
          <a:ln w="9525">
            <a:solidFill>
              <a:schemeClr val="tx1"/>
            </a:solidFill>
          </a:ln>
        </c:spPr>
        <c:txPr>
          <a:bodyPr/>
          <a:lstStyle/>
          <a:p>
            <a:pPr>
              <a:defRPr sz="700" baseline="0">
                <a:latin typeface="Arial" panose="020B0604020202020204" pitchFamily="34" charset="0"/>
                <a:ea typeface="微软雅黑" panose="020B0503020204020204" pitchFamily="34" charset="-122"/>
              </a:defRPr>
            </a:pPr>
            <a:endParaRPr lang="zh-CN"/>
          </a:p>
        </c:txPr>
        <c:crossAx val="136567424"/>
        <c:crosses val="autoZero"/>
        <c:auto val="0"/>
        <c:lblOffset val="100"/>
        <c:baseTimeUnit val="days"/>
        <c:majorUnit val="4"/>
        <c:majorTimeUnit val="months"/>
      </c:dateAx>
      <c:valAx>
        <c:axId val="136567424"/>
        <c:scaling>
          <c:orientation val="minMax"/>
          <c:max val="8.2100000000000006E-2"/>
          <c:min val="-0.33700000000000002"/>
        </c:scaling>
        <c:delete val="0"/>
        <c:axPos val="l"/>
        <c:majorGridlines>
          <c:spPr>
            <a:ln w="9525">
              <a:solidFill>
                <a:srgbClr val="E4E4E4"/>
              </a:solidFill>
            </a:ln>
          </c:spPr>
        </c:majorGridlines>
        <c:numFmt formatCode="0%" sourceLinked="0"/>
        <c:majorTickMark val="out"/>
        <c:minorTickMark val="none"/>
        <c:tickLblPos val="nextTo"/>
        <c:spPr>
          <a:ln w="9525">
            <a:solidFill>
              <a:srgbClr val="000000"/>
            </a:solidFill>
          </a:ln>
        </c:spPr>
        <c:txPr>
          <a:bodyPr/>
          <a:lstStyle/>
          <a:p>
            <a:pPr>
              <a:defRPr sz="700" baseline="0">
                <a:latin typeface="Arial" panose="020B0604020202020204" pitchFamily="34" charset="0"/>
                <a:ea typeface="微软雅黑" panose="020B0503020204020204" pitchFamily="34" charset="-122"/>
              </a:defRPr>
            </a:pPr>
            <a:endParaRPr lang="zh-CN"/>
          </a:p>
        </c:txPr>
        <c:crossAx val="136565888"/>
        <c:crossesAt val="41540"/>
        <c:crossBetween val="between"/>
        <c:majorUnit val="0.06"/>
      </c:valAx>
    </c:plotArea>
    <c:legend>
      <c:legendPos val="t"/>
      <c:layout>
        <c:manualLayout>
          <c:xMode val="edge"/>
          <c:yMode val="edge"/>
          <c:x val="4.9999775669067006E-2"/>
          <c:y val="0"/>
          <c:w val="0.9"/>
          <c:h val="0.13673443804599053"/>
        </c:manualLayout>
      </c:layout>
      <c:overlay val="0"/>
      <c:spPr>
        <a:noFill/>
        <a:ln>
          <a:noFill/>
        </a:ln>
      </c:spPr>
      <c:txPr>
        <a:bodyPr/>
        <a:lstStyle/>
        <a:p>
          <a:pPr>
            <a:defRPr sz="700" baseline="0">
              <a:latin typeface="Arial" panose="020B0604020202020204" pitchFamily="34" charset="0"/>
              <a:ea typeface="微软雅黑" panose="020B0503020204020204" pitchFamily="34" charset="-122"/>
            </a:defRPr>
          </a:pPr>
          <a:endParaRPr lang="zh-CN"/>
        </a:p>
      </c:txPr>
    </c:legend>
    <c:plotVisOnly val="1"/>
    <c:dispBlanksAs val="gap"/>
    <c:showDLblsOverMax val="0"/>
  </c:chart>
  <c:spPr>
    <a:noFill/>
    <a:ln>
      <a:noFill/>
    </a:ln>
  </c:spPr>
  <c:externalData r:id="rId2">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5E00A1D15E5439F8EC8EAF1E12A1D29"/>
        <w:category>
          <w:name w:val="常规"/>
          <w:gallery w:val="placeholder"/>
        </w:category>
        <w:types>
          <w:type w:val="bbPlcHdr"/>
        </w:types>
        <w:behaviors>
          <w:behavior w:val="content"/>
        </w:behaviors>
        <w:guid w:val="{0596ED64-8588-4170-9351-9474AB3062A4}"/>
      </w:docPartPr>
      <w:docPartBody>
        <w:p w:rsidR="00811B6B" w:rsidRDefault="00811B6B">
          <w:pPr>
            <w:pStyle w:val="F5E00A1D15E5439F8EC8EAF1E12A1D29"/>
          </w:pPr>
          <w:r w:rsidRPr="000C640E">
            <w:rPr>
              <w:rStyle w:val="a3"/>
              <w:rFonts w:hint="eastAsia"/>
            </w:rPr>
            <w:t>单击此处输入文字。</w:t>
          </w:r>
        </w:p>
      </w:docPartBody>
    </w:docPart>
    <w:docPart>
      <w:docPartPr>
        <w:name w:val="1264279541324015898F9A1B09FBC0C8"/>
        <w:category>
          <w:name w:val="常规"/>
          <w:gallery w:val="placeholder"/>
        </w:category>
        <w:types>
          <w:type w:val="bbPlcHdr"/>
        </w:types>
        <w:behaviors>
          <w:behavior w:val="content"/>
        </w:behaviors>
        <w:guid w:val="{AEDB8948-E8BB-443B-B1E0-AF81DA24064E}"/>
      </w:docPartPr>
      <w:docPartBody>
        <w:p w:rsidR="00811B6B" w:rsidRDefault="00811B6B">
          <w:pPr>
            <w:pStyle w:val="1264279541324015898F9A1B09FBC0C8"/>
          </w:pPr>
          <w:r w:rsidRPr="00654427">
            <w:rPr>
              <w:rStyle w:val="a3"/>
              <w:rFonts w:hint="eastAsia"/>
            </w:rPr>
            <w:t>单击此处输入文字。</w:t>
          </w:r>
        </w:p>
      </w:docPartBody>
    </w:docPart>
    <w:docPart>
      <w:docPartPr>
        <w:name w:val="E09E605B6C1A473DA875E45ED0602FAE"/>
        <w:category>
          <w:name w:val="常规"/>
          <w:gallery w:val="placeholder"/>
        </w:category>
        <w:types>
          <w:type w:val="bbPlcHdr"/>
        </w:types>
        <w:behaviors>
          <w:behavior w:val="content"/>
        </w:behaviors>
        <w:guid w:val="{E3A3D932-A26C-4618-A8F3-43A69E2EEEA8}"/>
      </w:docPartPr>
      <w:docPartBody>
        <w:p w:rsidR="001E6BC1" w:rsidRDefault="00533F23" w:rsidP="00533F23">
          <w:pPr>
            <w:pStyle w:val="E09E605B6C1A473DA875E45ED0602FAE"/>
          </w:pPr>
          <w:r w:rsidRPr="000C640E">
            <w:rPr>
              <w:rStyle w:val="a3"/>
              <w:rFonts w:hint="eastAsia"/>
            </w:rPr>
            <w:t>单击此处输入文字。</w:t>
          </w:r>
        </w:p>
      </w:docPartBody>
    </w:docPart>
    <w:docPart>
      <w:docPartPr>
        <w:name w:val="C83AC75201A54852B25A23B4F45102BF"/>
        <w:category>
          <w:name w:val="常规"/>
          <w:gallery w:val="placeholder"/>
        </w:category>
        <w:types>
          <w:type w:val="bbPlcHdr"/>
        </w:types>
        <w:behaviors>
          <w:behavior w:val="content"/>
        </w:behaviors>
        <w:guid w:val="{ADB7252F-7615-40C5-AD02-44CFA2E8D2F2}"/>
      </w:docPartPr>
      <w:docPartBody>
        <w:p w:rsidR="00D3455E" w:rsidRDefault="001E6BC1">
          <w:r w:rsidRPr="00744BA0">
            <w:rPr>
              <w:rStyle w:val="a3"/>
              <w:rFonts w:hint="eastAsia"/>
            </w:rPr>
            <w:t>报告日期</w:t>
          </w:r>
        </w:p>
      </w:docPartBody>
    </w:docPart>
    <w:docPart>
      <w:docPartPr>
        <w:name w:val="A8B017BB32A84FC28836A53EF4BE5790"/>
        <w:category>
          <w:name w:val="常规"/>
          <w:gallery w:val="placeholder"/>
        </w:category>
        <w:types>
          <w:type w:val="bbPlcHdr"/>
        </w:types>
        <w:behaviors>
          <w:behavior w:val="content"/>
        </w:behaviors>
        <w:guid w:val="{DA2C16E6-7267-4AEB-AA34-55A6BC9B4D8F}"/>
      </w:docPartPr>
      <w:docPartBody>
        <w:p w:rsidR="00D3455E" w:rsidRDefault="001E6BC1">
          <w:r w:rsidRPr="00744BA0">
            <w:rPr>
              <w:rStyle w:val="a3"/>
              <w:rFonts w:hint="eastAsia"/>
            </w:rPr>
            <w:t>证券简称</w:t>
          </w:r>
        </w:p>
      </w:docPartBody>
    </w:docPart>
    <w:docPart>
      <w:docPartPr>
        <w:name w:val="8A41C9F2273F433D891F340051C31418"/>
        <w:category>
          <w:name w:val="常规"/>
          <w:gallery w:val="placeholder"/>
        </w:category>
        <w:types>
          <w:type w:val="bbPlcHdr"/>
        </w:types>
        <w:behaviors>
          <w:behavior w:val="content"/>
        </w:behaviors>
        <w:guid w:val="{6B4BE4D4-3CB4-4189-A303-7D24ABBA722B}"/>
      </w:docPartPr>
      <w:docPartBody>
        <w:p w:rsidR="00D3455E" w:rsidRDefault="001E6BC1">
          <w:r w:rsidRPr="00744BA0">
            <w:rPr>
              <w:rStyle w:val="a3"/>
              <w:rFonts w:hint="eastAsia"/>
            </w:rPr>
            <w:t>交易代码</w:t>
          </w:r>
        </w:p>
      </w:docPartBody>
    </w:docPart>
    <w:docPart>
      <w:docPartPr>
        <w:name w:val="F344F4148DFD4BF384DB6A2525A9BBB7"/>
        <w:category>
          <w:name w:val="常规"/>
          <w:gallery w:val="placeholder"/>
        </w:category>
        <w:types>
          <w:type w:val="bbPlcHdr"/>
        </w:types>
        <w:behaviors>
          <w:behavior w:val="content"/>
        </w:behaviors>
        <w:guid w:val="{96BB44B3-5161-4693-A7ED-90F729BF9AE9}"/>
      </w:docPartPr>
      <w:docPartBody>
        <w:p w:rsidR="00D3455E" w:rsidRDefault="001E6BC1">
          <w:r w:rsidRPr="00744BA0">
            <w:rPr>
              <w:rStyle w:val="a3"/>
              <w:rFonts w:hint="eastAsia"/>
            </w:rPr>
            <w:t>报告类型</w:t>
          </w:r>
        </w:p>
      </w:docPartBody>
    </w:docPart>
    <w:docPart>
      <w:docPartPr>
        <w:name w:val="2B134EB4F2A14BD6B63EC1C1C585E4A5"/>
        <w:category>
          <w:name w:val="常规"/>
          <w:gallery w:val="placeholder"/>
        </w:category>
        <w:types>
          <w:type w:val="bbPlcHdr"/>
        </w:types>
        <w:behaviors>
          <w:behavior w:val="content"/>
        </w:behaviors>
        <w:guid w:val="{3597CCB8-E3B8-4578-9BCE-4DE17DAEA74E}"/>
      </w:docPartPr>
      <w:docPartBody>
        <w:p w:rsidR="00D3455E" w:rsidRDefault="001E6BC1">
          <w:r w:rsidRPr="00744BA0">
            <w:rPr>
              <w:rStyle w:val="a3"/>
              <w:rFonts w:hint="eastAsia"/>
            </w:rPr>
            <w:t>所属一级行业名称</w:t>
          </w:r>
        </w:p>
      </w:docPartBody>
    </w:docPart>
    <w:docPart>
      <w:docPartPr>
        <w:name w:val="B4A35977D2304E67A9D8E10E5C02A854"/>
        <w:category>
          <w:name w:val="常规"/>
          <w:gallery w:val="placeholder"/>
        </w:category>
        <w:types>
          <w:type w:val="bbPlcHdr"/>
        </w:types>
        <w:behaviors>
          <w:behavior w:val="content"/>
        </w:behaviors>
        <w:guid w:val="{5F2BC612-8048-4060-A718-3B134E713E4B}"/>
      </w:docPartPr>
      <w:docPartBody>
        <w:p w:rsidR="00D3455E" w:rsidRDefault="001E6BC1">
          <w:r w:rsidRPr="00744BA0">
            <w:rPr>
              <w:rStyle w:val="a3"/>
              <w:rFonts w:hint="eastAsia"/>
            </w:rPr>
            <w:t>所属三级行业名称</w:t>
          </w:r>
        </w:p>
      </w:docPartBody>
    </w:docPart>
    <w:docPart>
      <w:docPartPr>
        <w:name w:val="DE6409F66B9E4291AAF0D0566043D761"/>
        <w:category>
          <w:name w:val="常规"/>
          <w:gallery w:val="placeholder"/>
        </w:category>
        <w:types>
          <w:type w:val="bbPlcHdr"/>
        </w:types>
        <w:behaviors>
          <w:behavior w:val="content"/>
        </w:behaviors>
        <w:guid w:val="{CBE1D1FC-BF4B-43BB-9770-935CDB1D52F3}"/>
      </w:docPartPr>
      <w:docPartBody>
        <w:p w:rsidR="00D3455E" w:rsidRDefault="001E6BC1">
          <w:r w:rsidRPr="00744BA0">
            <w:rPr>
              <w:rStyle w:val="a3"/>
              <w:rFonts w:hint="eastAsia"/>
            </w:rPr>
            <w:t>投资评级</w:t>
          </w:r>
        </w:p>
      </w:docPartBody>
    </w:docPart>
    <w:docPart>
      <w:docPartPr>
        <w:name w:val="68CD36428DD640ABB085649198642AE5"/>
        <w:category>
          <w:name w:val="常规"/>
          <w:gallery w:val="placeholder"/>
        </w:category>
        <w:types>
          <w:type w:val="bbPlcHdr"/>
        </w:types>
        <w:behaviors>
          <w:behavior w:val="content"/>
        </w:behaviors>
        <w:guid w:val="{A4DB3CF2-518E-4C3A-ABE3-11D877C6D354}"/>
      </w:docPartPr>
      <w:docPartBody>
        <w:p w:rsidR="00D3455E" w:rsidRDefault="001E6BC1">
          <w:r w:rsidRPr="00744BA0">
            <w:rPr>
              <w:rStyle w:val="a3"/>
              <w:rFonts w:hint="eastAsia"/>
            </w:rPr>
            <w:t>风险评级</w:t>
          </w:r>
        </w:p>
      </w:docPartBody>
    </w:docPart>
    <w:docPart>
      <w:docPartPr>
        <w:name w:val="35D0D7D6310B4DC085D2D6FDA45D7EC5"/>
        <w:category>
          <w:name w:val="常规"/>
          <w:gallery w:val="placeholder"/>
        </w:category>
        <w:types>
          <w:type w:val="bbPlcHdr"/>
        </w:types>
        <w:behaviors>
          <w:behavior w:val="content"/>
        </w:behaviors>
        <w:guid w:val="{A46343D0-7329-4485-9DB6-A9291DC14614}"/>
      </w:docPartPr>
      <w:docPartBody>
        <w:p w:rsidR="00D3455E" w:rsidRDefault="001E6BC1">
          <w:r w:rsidRPr="00744BA0">
            <w:rPr>
              <w:rStyle w:val="a3"/>
              <w:rFonts w:hint="eastAsia"/>
            </w:rPr>
            <w:t>评级变动</w:t>
          </w:r>
        </w:p>
      </w:docPartBody>
    </w:docPart>
    <w:docPart>
      <w:docPartPr>
        <w:name w:val="4F1663A1A3A141BAA1D97E4967DDAFBA"/>
        <w:category>
          <w:name w:val="常规"/>
          <w:gallery w:val="placeholder"/>
        </w:category>
        <w:types>
          <w:type w:val="bbPlcHdr"/>
        </w:types>
        <w:behaviors>
          <w:behavior w:val="content"/>
        </w:behaviors>
        <w:guid w:val="{0177BCB3-433F-4DE6-A23D-D650DD9C7589}"/>
      </w:docPartPr>
      <w:docPartBody>
        <w:p w:rsidR="00D3455E" w:rsidRDefault="001E6BC1">
          <w:r w:rsidRPr="00744BA0">
            <w:rPr>
              <w:rStyle w:val="a3"/>
              <w:rFonts w:hint="eastAsia"/>
            </w:rPr>
            <w:t>目标价</w:t>
          </w:r>
        </w:p>
      </w:docPartBody>
    </w:docPart>
    <w:docPart>
      <w:docPartPr>
        <w:name w:val="9508ACFDAB664F94908B81FA289A0254"/>
        <w:category>
          <w:name w:val="常规"/>
          <w:gallery w:val="placeholder"/>
        </w:category>
        <w:types>
          <w:type w:val="bbPlcHdr"/>
        </w:types>
        <w:behaviors>
          <w:behavior w:val="content"/>
        </w:behaviors>
        <w:guid w:val="{2462A4D7-FF8D-4336-A1DF-8F9E9B05D35D}"/>
      </w:docPartPr>
      <w:docPartBody>
        <w:p w:rsidR="00D3455E" w:rsidRDefault="001E6BC1">
          <w:r w:rsidRPr="00744BA0">
            <w:rPr>
              <w:rStyle w:val="a3"/>
              <w:rFonts w:hint="eastAsia"/>
            </w:rPr>
            <w:t>交易日期</w:t>
          </w:r>
        </w:p>
      </w:docPartBody>
    </w:docPart>
    <w:docPart>
      <w:docPartPr>
        <w:name w:val="396207C2C3314E4F91089E2132BB37D7"/>
        <w:category>
          <w:name w:val="常规"/>
          <w:gallery w:val="placeholder"/>
        </w:category>
        <w:types>
          <w:type w:val="bbPlcHdr"/>
        </w:types>
        <w:behaviors>
          <w:behavior w:val="content"/>
        </w:behaviors>
        <w:guid w:val="{C4361894-FFCD-49B4-B2DF-3886AB0A0762}"/>
      </w:docPartPr>
      <w:docPartBody>
        <w:p w:rsidR="00D3455E" w:rsidRDefault="001E6BC1">
          <w:r w:rsidRPr="00744BA0">
            <w:rPr>
              <w:rStyle w:val="a3"/>
              <w:rFonts w:hint="eastAsia"/>
            </w:rPr>
            <w:t>股价</w:t>
          </w:r>
        </w:p>
      </w:docPartBody>
    </w:docPart>
    <w:docPart>
      <w:docPartPr>
        <w:name w:val="D2C96D96C6684AC0B78987A07EE4E158"/>
        <w:category>
          <w:name w:val="常规"/>
          <w:gallery w:val="placeholder"/>
        </w:category>
        <w:types>
          <w:type w:val="bbPlcHdr"/>
        </w:types>
        <w:behaviors>
          <w:behavior w:val="content"/>
        </w:behaviors>
        <w:guid w:val="{EEFD19CA-98A9-42AD-9EED-1C5C017E7CEE}"/>
      </w:docPartPr>
      <w:docPartBody>
        <w:p w:rsidR="00D3455E" w:rsidRDefault="001E6BC1">
          <w:r w:rsidRPr="00744BA0">
            <w:rPr>
              <w:rStyle w:val="a3"/>
              <w:rFonts w:hint="eastAsia"/>
            </w:rPr>
            <w:t>总市值（百万元）</w:t>
          </w:r>
        </w:p>
      </w:docPartBody>
    </w:docPart>
    <w:docPart>
      <w:docPartPr>
        <w:name w:val="05C0F804D96947998FD05A99C9F602E4"/>
        <w:category>
          <w:name w:val="常规"/>
          <w:gallery w:val="placeholder"/>
        </w:category>
        <w:types>
          <w:type w:val="bbPlcHdr"/>
        </w:types>
        <w:behaviors>
          <w:behavior w:val="content"/>
        </w:behaviors>
        <w:guid w:val="{3BF61208-32CC-4491-850E-7C8E30A3D3E9}"/>
      </w:docPartPr>
      <w:docPartBody>
        <w:p w:rsidR="00D3455E" w:rsidRDefault="001E6BC1">
          <w:r w:rsidRPr="00744BA0">
            <w:rPr>
              <w:rStyle w:val="a3"/>
              <w:rFonts w:hint="eastAsia"/>
            </w:rPr>
            <w:t>流通市值（百万元）</w:t>
          </w:r>
        </w:p>
      </w:docPartBody>
    </w:docPart>
    <w:docPart>
      <w:docPartPr>
        <w:name w:val="A612C242C6F2483685FF6799ADDA76A8"/>
        <w:category>
          <w:name w:val="常规"/>
          <w:gallery w:val="placeholder"/>
        </w:category>
        <w:types>
          <w:type w:val="bbPlcHdr"/>
        </w:types>
        <w:behaviors>
          <w:behavior w:val="content"/>
        </w:behaviors>
        <w:guid w:val="{B95B9086-AC69-4384-AAA9-FA2420521CE9}"/>
      </w:docPartPr>
      <w:docPartBody>
        <w:p w:rsidR="00D3455E" w:rsidRDefault="001E6BC1">
          <w:r w:rsidRPr="00744BA0">
            <w:rPr>
              <w:rStyle w:val="a3"/>
              <w:rFonts w:hint="eastAsia"/>
            </w:rPr>
            <w:t>总股本百万股</w:t>
          </w:r>
          <w:r w:rsidRPr="00744BA0">
            <w:rPr>
              <w:rStyle w:val="a3"/>
              <w:rFonts w:hint="eastAsia"/>
            </w:rPr>
            <w:t>)</w:t>
          </w:r>
        </w:p>
      </w:docPartBody>
    </w:docPart>
    <w:docPart>
      <w:docPartPr>
        <w:name w:val="ACE9C05BB2BF4D938A0A7DCD0A299C61"/>
        <w:category>
          <w:name w:val="常规"/>
          <w:gallery w:val="placeholder"/>
        </w:category>
        <w:types>
          <w:type w:val="bbPlcHdr"/>
        </w:types>
        <w:behaviors>
          <w:behavior w:val="content"/>
        </w:behaviors>
        <w:guid w:val="{A460BE21-403A-475D-BD93-D96378425B56}"/>
      </w:docPartPr>
      <w:docPartBody>
        <w:p w:rsidR="00D3455E" w:rsidRDefault="001E6BC1">
          <w:r w:rsidRPr="00744BA0">
            <w:rPr>
              <w:rStyle w:val="a3"/>
              <w:rFonts w:hint="eastAsia"/>
            </w:rPr>
            <w:t>流通股本</w:t>
          </w:r>
          <w:r w:rsidRPr="00744BA0">
            <w:rPr>
              <w:rStyle w:val="a3"/>
              <w:rFonts w:hint="eastAsia"/>
            </w:rPr>
            <w:t>(</w:t>
          </w:r>
          <w:r w:rsidRPr="00744BA0">
            <w:rPr>
              <w:rStyle w:val="a3"/>
              <w:rFonts w:hint="eastAsia"/>
            </w:rPr>
            <w:t>百万股</w:t>
          </w:r>
          <w:r w:rsidRPr="00744BA0">
            <w:rPr>
              <w:rStyle w:val="a3"/>
              <w:rFonts w:hint="eastAsia"/>
            </w:rPr>
            <w:t>)</w:t>
          </w:r>
        </w:p>
      </w:docPartBody>
    </w:docPart>
    <w:docPart>
      <w:docPartPr>
        <w:name w:val="693C50A4D5E345B7AD3220326091A622"/>
        <w:category>
          <w:name w:val="常规"/>
          <w:gallery w:val="placeholder"/>
        </w:category>
        <w:types>
          <w:type w:val="bbPlcHdr"/>
        </w:types>
        <w:behaviors>
          <w:behavior w:val="content"/>
        </w:behaviors>
        <w:guid w:val="{CE14C8AC-2216-45A8-96AA-A83862C71520}"/>
      </w:docPartPr>
      <w:docPartBody>
        <w:p w:rsidR="00D3455E" w:rsidRDefault="001E6BC1">
          <w:r w:rsidRPr="00744BA0">
            <w:rPr>
              <w:rStyle w:val="a3"/>
              <w:rFonts w:hint="eastAsia"/>
            </w:rPr>
            <w:t>12</w:t>
          </w:r>
          <w:r w:rsidRPr="00744BA0">
            <w:rPr>
              <w:rStyle w:val="a3"/>
              <w:rFonts w:hint="eastAsia"/>
            </w:rPr>
            <w:t>个月价格区间</w:t>
          </w:r>
        </w:p>
      </w:docPartBody>
    </w:docPart>
    <w:docPart>
      <w:docPartPr>
        <w:name w:val="96BEA100774C42E8BBAA04B28493393C"/>
        <w:category>
          <w:name w:val="常规"/>
          <w:gallery w:val="placeholder"/>
        </w:category>
        <w:types>
          <w:type w:val="bbPlcHdr"/>
        </w:types>
        <w:behaviors>
          <w:behavior w:val="content"/>
        </w:behaviors>
        <w:guid w:val="{192DAE93-1C7B-49E8-98B6-26DA90F7044F}"/>
      </w:docPartPr>
      <w:docPartBody>
        <w:p w:rsidR="00D3455E" w:rsidRDefault="001E6BC1">
          <w:r w:rsidRPr="00744BA0">
            <w:rPr>
              <w:rStyle w:val="a3"/>
              <w:rFonts w:hint="eastAsia"/>
            </w:rPr>
            <w:t>报告类型</w:t>
          </w:r>
        </w:p>
      </w:docPartBody>
    </w:docPart>
    <w:docPart>
      <w:docPartPr>
        <w:name w:val="2E88982ED86E44C2B6F043C94F175FB1"/>
        <w:category>
          <w:name w:val="常规"/>
          <w:gallery w:val="placeholder"/>
        </w:category>
        <w:types>
          <w:type w:val="bbPlcHdr"/>
        </w:types>
        <w:behaviors>
          <w:behavior w:val="content"/>
        </w:behaviors>
        <w:guid w:val="{FD8F06A9-7F80-4BED-8B5E-E5BDBAB067CC}"/>
      </w:docPartPr>
      <w:docPartBody>
        <w:p w:rsidR="00D3455E" w:rsidRDefault="001E6BC1">
          <w:r w:rsidRPr="00744BA0">
            <w:rPr>
              <w:rStyle w:val="a3"/>
              <w:rFonts w:hint="eastAsia"/>
            </w:rPr>
            <w:t>所属三级行业名称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2">
    <w:panose1 w:val="05020102010507070707"/>
    <w:charset w:val="02"/>
    <w:family w:val="roman"/>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1B6B"/>
    <w:rsid w:val="001E6BC1"/>
    <w:rsid w:val="00533F23"/>
    <w:rsid w:val="00811B6B"/>
    <w:rsid w:val="00A40AAC"/>
    <w:rsid w:val="00CD22C8"/>
    <w:rsid w:val="00D3455E"/>
    <w:rsid w:val="00D63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E6BC1"/>
    <w:rPr>
      <w:color w:val="808080"/>
    </w:rPr>
  </w:style>
  <w:style w:type="paragraph" w:customStyle="1" w:styleId="329115428DD2406DB23225C9F9ADBE93">
    <w:name w:val="329115428DD2406DB23225C9F9ADBE93"/>
    <w:pPr>
      <w:widowControl w:val="0"/>
      <w:jc w:val="both"/>
    </w:pPr>
  </w:style>
  <w:style w:type="paragraph" w:customStyle="1" w:styleId="092C5C3294B1425F8A626AB2FCD97BD0">
    <w:name w:val="092C5C3294B1425F8A626AB2FCD97BD0"/>
    <w:pPr>
      <w:widowControl w:val="0"/>
      <w:jc w:val="both"/>
    </w:pPr>
  </w:style>
  <w:style w:type="paragraph" w:customStyle="1" w:styleId="D3E0CCAA15E346A9A6F12092A9AB0B1A">
    <w:name w:val="D3E0CCAA15E346A9A6F12092A9AB0B1A"/>
    <w:pPr>
      <w:widowControl w:val="0"/>
      <w:jc w:val="both"/>
    </w:pPr>
  </w:style>
  <w:style w:type="paragraph" w:customStyle="1" w:styleId="EA1A00A18062436DB8BFE61F73074648">
    <w:name w:val="EA1A00A18062436DB8BFE61F73074648"/>
    <w:pPr>
      <w:widowControl w:val="0"/>
      <w:jc w:val="both"/>
    </w:pPr>
  </w:style>
  <w:style w:type="paragraph" w:customStyle="1" w:styleId="F5E00A1D15E5439F8EC8EAF1E12A1D29">
    <w:name w:val="F5E00A1D15E5439F8EC8EAF1E12A1D29"/>
    <w:pPr>
      <w:widowControl w:val="0"/>
      <w:jc w:val="both"/>
    </w:pPr>
  </w:style>
  <w:style w:type="paragraph" w:customStyle="1" w:styleId="E9B0F6DEE4C641BB989CD1F48B4394A7">
    <w:name w:val="E9B0F6DEE4C641BB989CD1F48B4394A7"/>
    <w:pPr>
      <w:widowControl w:val="0"/>
      <w:jc w:val="both"/>
    </w:pPr>
  </w:style>
  <w:style w:type="paragraph" w:customStyle="1" w:styleId="CB68515494784924B01F51ECFE41A8C3">
    <w:name w:val="CB68515494784924B01F51ECFE41A8C3"/>
    <w:pPr>
      <w:widowControl w:val="0"/>
      <w:jc w:val="both"/>
    </w:pPr>
  </w:style>
  <w:style w:type="paragraph" w:customStyle="1" w:styleId="79921CF2197247CD91BD14804B47695A">
    <w:name w:val="79921CF2197247CD91BD14804B47695A"/>
    <w:pPr>
      <w:widowControl w:val="0"/>
      <w:jc w:val="both"/>
    </w:pPr>
  </w:style>
  <w:style w:type="paragraph" w:customStyle="1" w:styleId="9CBA6161CCCA48ACA13D8797E2292CFD">
    <w:name w:val="9CBA6161CCCA48ACA13D8797E2292CFD"/>
    <w:pPr>
      <w:widowControl w:val="0"/>
      <w:jc w:val="both"/>
    </w:pPr>
  </w:style>
  <w:style w:type="paragraph" w:customStyle="1" w:styleId="C2CE73A85F9043E4B2C9576B1D9431AE">
    <w:name w:val="C2CE73A85F9043E4B2C9576B1D9431AE"/>
    <w:pPr>
      <w:widowControl w:val="0"/>
      <w:jc w:val="both"/>
    </w:pPr>
  </w:style>
  <w:style w:type="paragraph" w:customStyle="1" w:styleId="1357771A50DD42F2BEE06C689FE8E0E1">
    <w:name w:val="1357771A50DD42F2BEE06C689FE8E0E1"/>
    <w:pPr>
      <w:widowControl w:val="0"/>
      <w:jc w:val="both"/>
    </w:pPr>
  </w:style>
  <w:style w:type="paragraph" w:customStyle="1" w:styleId="AB0C286092664A059EE5791864F61737">
    <w:name w:val="AB0C286092664A059EE5791864F61737"/>
    <w:pPr>
      <w:widowControl w:val="0"/>
      <w:jc w:val="both"/>
    </w:pPr>
  </w:style>
  <w:style w:type="paragraph" w:customStyle="1" w:styleId="4085C49B3D0B4F1898066220A9A23E6A">
    <w:name w:val="4085C49B3D0B4F1898066220A9A23E6A"/>
    <w:pPr>
      <w:widowControl w:val="0"/>
      <w:jc w:val="both"/>
    </w:pPr>
  </w:style>
  <w:style w:type="paragraph" w:customStyle="1" w:styleId="5151353404FA425EAE3B04067553150E">
    <w:name w:val="5151353404FA425EAE3B04067553150E"/>
    <w:pPr>
      <w:widowControl w:val="0"/>
      <w:jc w:val="both"/>
    </w:pPr>
  </w:style>
  <w:style w:type="paragraph" w:customStyle="1" w:styleId="D76D1F36EE144D9A99681729B4043A23">
    <w:name w:val="D76D1F36EE144D9A99681729B4043A23"/>
    <w:pPr>
      <w:widowControl w:val="0"/>
      <w:jc w:val="both"/>
    </w:pPr>
  </w:style>
  <w:style w:type="paragraph" w:customStyle="1" w:styleId="DBD55E17AF274FB98AEC40C98F7A272A">
    <w:name w:val="DBD55E17AF274FB98AEC40C98F7A272A"/>
    <w:pPr>
      <w:widowControl w:val="0"/>
      <w:jc w:val="both"/>
    </w:pPr>
  </w:style>
  <w:style w:type="paragraph" w:customStyle="1" w:styleId="C4F06AACDDE64A22858DA048C81C09DB">
    <w:name w:val="C4F06AACDDE64A22858DA048C81C09DB"/>
    <w:pPr>
      <w:widowControl w:val="0"/>
      <w:jc w:val="both"/>
    </w:pPr>
  </w:style>
  <w:style w:type="paragraph" w:customStyle="1" w:styleId="B890F3970B8C47688B0640AF0610FC40">
    <w:name w:val="B890F3970B8C47688B0640AF0610FC40"/>
    <w:pPr>
      <w:widowControl w:val="0"/>
      <w:jc w:val="both"/>
    </w:pPr>
  </w:style>
  <w:style w:type="paragraph" w:customStyle="1" w:styleId="1264279541324015898F9A1B09FBC0C8">
    <w:name w:val="1264279541324015898F9A1B09FBC0C8"/>
    <w:pPr>
      <w:widowControl w:val="0"/>
      <w:jc w:val="both"/>
    </w:pPr>
  </w:style>
  <w:style w:type="paragraph" w:customStyle="1" w:styleId="3883C4842E0B45A4A3C8CDBC28A10BB2">
    <w:name w:val="3883C4842E0B45A4A3C8CDBC28A10BB2"/>
    <w:rsid w:val="00811B6B"/>
    <w:pPr>
      <w:widowControl w:val="0"/>
      <w:jc w:val="both"/>
    </w:pPr>
  </w:style>
  <w:style w:type="paragraph" w:customStyle="1" w:styleId="5ACF4688E0D84E3CB65CCAE1185EB126">
    <w:name w:val="5ACF4688E0D84E3CB65CCAE1185EB126"/>
    <w:rsid w:val="00533F23"/>
    <w:pPr>
      <w:widowControl w:val="0"/>
      <w:jc w:val="both"/>
    </w:pPr>
  </w:style>
  <w:style w:type="paragraph" w:customStyle="1" w:styleId="E09E605B6C1A473DA875E45ED0602FAE">
    <w:name w:val="E09E605B6C1A473DA875E45ED0602FAE"/>
    <w:rsid w:val="00533F23"/>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E6BC1"/>
    <w:rPr>
      <w:color w:val="808080"/>
    </w:rPr>
  </w:style>
  <w:style w:type="paragraph" w:customStyle="1" w:styleId="329115428DD2406DB23225C9F9ADBE93">
    <w:name w:val="329115428DD2406DB23225C9F9ADBE93"/>
    <w:pPr>
      <w:widowControl w:val="0"/>
      <w:jc w:val="both"/>
    </w:pPr>
  </w:style>
  <w:style w:type="paragraph" w:customStyle="1" w:styleId="092C5C3294B1425F8A626AB2FCD97BD0">
    <w:name w:val="092C5C3294B1425F8A626AB2FCD97BD0"/>
    <w:pPr>
      <w:widowControl w:val="0"/>
      <w:jc w:val="both"/>
    </w:pPr>
  </w:style>
  <w:style w:type="paragraph" w:customStyle="1" w:styleId="D3E0CCAA15E346A9A6F12092A9AB0B1A">
    <w:name w:val="D3E0CCAA15E346A9A6F12092A9AB0B1A"/>
    <w:pPr>
      <w:widowControl w:val="0"/>
      <w:jc w:val="both"/>
    </w:pPr>
  </w:style>
  <w:style w:type="paragraph" w:customStyle="1" w:styleId="EA1A00A18062436DB8BFE61F73074648">
    <w:name w:val="EA1A00A18062436DB8BFE61F73074648"/>
    <w:pPr>
      <w:widowControl w:val="0"/>
      <w:jc w:val="both"/>
    </w:pPr>
  </w:style>
  <w:style w:type="paragraph" w:customStyle="1" w:styleId="F5E00A1D15E5439F8EC8EAF1E12A1D29">
    <w:name w:val="F5E00A1D15E5439F8EC8EAF1E12A1D29"/>
    <w:pPr>
      <w:widowControl w:val="0"/>
      <w:jc w:val="both"/>
    </w:pPr>
  </w:style>
  <w:style w:type="paragraph" w:customStyle="1" w:styleId="E9B0F6DEE4C641BB989CD1F48B4394A7">
    <w:name w:val="E9B0F6DEE4C641BB989CD1F48B4394A7"/>
    <w:pPr>
      <w:widowControl w:val="0"/>
      <w:jc w:val="both"/>
    </w:pPr>
  </w:style>
  <w:style w:type="paragraph" w:customStyle="1" w:styleId="CB68515494784924B01F51ECFE41A8C3">
    <w:name w:val="CB68515494784924B01F51ECFE41A8C3"/>
    <w:pPr>
      <w:widowControl w:val="0"/>
      <w:jc w:val="both"/>
    </w:pPr>
  </w:style>
  <w:style w:type="paragraph" w:customStyle="1" w:styleId="79921CF2197247CD91BD14804B47695A">
    <w:name w:val="79921CF2197247CD91BD14804B47695A"/>
    <w:pPr>
      <w:widowControl w:val="0"/>
      <w:jc w:val="both"/>
    </w:pPr>
  </w:style>
  <w:style w:type="paragraph" w:customStyle="1" w:styleId="9CBA6161CCCA48ACA13D8797E2292CFD">
    <w:name w:val="9CBA6161CCCA48ACA13D8797E2292CFD"/>
    <w:pPr>
      <w:widowControl w:val="0"/>
      <w:jc w:val="both"/>
    </w:pPr>
  </w:style>
  <w:style w:type="paragraph" w:customStyle="1" w:styleId="C2CE73A85F9043E4B2C9576B1D9431AE">
    <w:name w:val="C2CE73A85F9043E4B2C9576B1D9431AE"/>
    <w:pPr>
      <w:widowControl w:val="0"/>
      <w:jc w:val="both"/>
    </w:pPr>
  </w:style>
  <w:style w:type="paragraph" w:customStyle="1" w:styleId="1357771A50DD42F2BEE06C689FE8E0E1">
    <w:name w:val="1357771A50DD42F2BEE06C689FE8E0E1"/>
    <w:pPr>
      <w:widowControl w:val="0"/>
      <w:jc w:val="both"/>
    </w:pPr>
  </w:style>
  <w:style w:type="paragraph" w:customStyle="1" w:styleId="AB0C286092664A059EE5791864F61737">
    <w:name w:val="AB0C286092664A059EE5791864F61737"/>
    <w:pPr>
      <w:widowControl w:val="0"/>
      <w:jc w:val="both"/>
    </w:pPr>
  </w:style>
  <w:style w:type="paragraph" w:customStyle="1" w:styleId="4085C49B3D0B4F1898066220A9A23E6A">
    <w:name w:val="4085C49B3D0B4F1898066220A9A23E6A"/>
    <w:pPr>
      <w:widowControl w:val="0"/>
      <w:jc w:val="both"/>
    </w:pPr>
  </w:style>
  <w:style w:type="paragraph" w:customStyle="1" w:styleId="5151353404FA425EAE3B04067553150E">
    <w:name w:val="5151353404FA425EAE3B04067553150E"/>
    <w:pPr>
      <w:widowControl w:val="0"/>
      <w:jc w:val="both"/>
    </w:pPr>
  </w:style>
  <w:style w:type="paragraph" w:customStyle="1" w:styleId="D76D1F36EE144D9A99681729B4043A23">
    <w:name w:val="D76D1F36EE144D9A99681729B4043A23"/>
    <w:pPr>
      <w:widowControl w:val="0"/>
      <w:jc w:val="both"/>
    </w:pPr>
  </w:style>
  <w:style w:type="paragraph" w:customStyle="1" w:styleId="DBD55E17AF274FB98AEC40C98F7A272A">
    <w:name w:val="DBD55E17AF274FB98AEC40C98F7A272A"/>
    <w:pPr>
      <w:widowControl w:val="0"/>
      <w:jc w:val="both"/>
    </w:pPr>
  </w:style>
  <w:style w:type="paragraph" w:customStyle="1" w:styleId="C4F06AACDDE64A22858DA048C81C09DB">
    <w:name w:val="C4F06AACDDE64A22858DA048C81C09DB"/>
    <w:pPr>
      <w:widowControl w:val="0"/>
      <w:jc w:val="both"/>
    </w:pPr>
  </w:style>
  <w:style w:type="paragraph" w:customStyle="1" w:styleId="B890F3970B8C47688B0640AF0610FC40">
    <w:name w:val="B890F3970B8C47688B0640AF0610FC40"/>
    <w:pPr>
      <w:widowControl w:val="0"/>
      <w:jc w:val="both"/>
    </w:pPr>
  </w:style>
  <w:style w:type="paragraph" w:customStyle="1" w:styleId="1264279541324015898F9A1B09FBC0C8">
    <w:name w:val="1264279541324015898F9A1B09FBC0C8"/>
    <w:pPr>
      <w:widowControl w:val="0"/>
      <w:jc w:val="both"/>
    </w:pPr>
  </w:style>
  <w:style w:type="paragraph" w:customStyle="1" w:styleId="3883C4842E0B45A4A3C8CDBC28A10BB2">
    <w:name w:val="3883C4842E0B45A4A3C8CDBC28A10BB2"/>
    <w:rsid w:val="00811B6B"/>
    <w:pPr>
      <w:widowControl w:val="0"/>
      <w:jc w:val="both"/>
    </w:pPr>
  </w:style>
  <w:style w:type="paragraph" w:customStyle="1" w:styleId="5ACF4688E0D84E3CB65CCAE1185EB126">
    <w:name w:val="5ACF4688E0D84E3CB65CCAE1185EB126"/>
    <w:rsid w:val="00533F23"/>
    <w:pPr>
      <w:widowControl w:val="0"/>
      <w:jc w:val="both"/>
    </w:pPr>
  </w:style>
  <w:style w:type="paragraph" w:customStyle="1" w:styleId="E09E605B6C1A473DA875E45ED0602FAE">
    <w:name w:val="E09E605B6C1A473DA875E45ED0602FAE"/>
    <w:rsid w:val="00533F2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693A67-86E5-457D-859B-009F0EEB1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公司快报.dotx</Template>
  <TotalTime>0</TotalTime>
  <Pages>3</Pages>
  <Words>661</Words>
  <Characters>3774</Characters>
  <Application>Microsoft Office Word</Application>
  <DocSecurity>0</DocSecurity>
  <Lines>31</Lines>
  <Paragraphs>8</Paragraphs>
  <ScaleCrop>false</ScaleCrop>
  <Company/>
  <LinksUpToDate>false</LinksUpToDate>
  <CharactersWithSpaces>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胡芳</cp:lastModifiedBy>
  <cp:revision>2</cp:revision>
  <dcterms:created xsi:type="dcterms:W3CDTF">2017-10-10T03:01:00Z</dcterms:created>
  <dcterms:modified xsi:type="dcterms:W3CDTF">2017-10-10T03:01:00Z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DCONTENTCONTROL_280cd5a1-ac9a-4475-a26a-423d285718ec">
    <vt:lpwstr>GetData?Formula=PUdUQygiQkRDX1pEWSgic2VjdW5hbWUiLCInJHtCRF9DT0RFfSciKSIp&amp;FunctionName=GTC&amp;ContentType=TEXT&amp;Caption=证券简称&amp;DatasourceType=GTC&amp;StyleId=&amp;Other=&amp;IsOnlyRefresh=False&amp;IsDataSubmission=&amp;ContentColor=&amp;HiddenCondition=&amp;Filter=</vt:lpwstr>
  </property>
  <property fmtid="{D5CDD505-2E9C-101B-9397-08002B2CF9AE}" pid="3" name="BDCONTENTCONTROL_43014236-72d4-4964-a2e0-84d5201c1122">
    <vt:lpwstr>GetData?Formula=PUdUQygiQkRDX1pEWSgic2VjdHJkY29kZSIsIicke0JEX0NPREV9JyIpIik=&amp;FunctionName=GTC&amp;ContentType=TEXT&amp;Caption=交易代码&amp;DatasourceType=GTC&amp;StyleId=&amp;Other=&amp;IsOnlyRefresh=False&amp;IsDataSubmission=&amp;ContentColor=&amp;HiddenCondition=&amp;Filter=</vt:lpwstr>
  </property>
  <property fmtid="{D5CDD505-2E9C-101B-9397-08002B2CF9AE}" pid="4" name="BDCONTENTCONTROL_fd077053-10ab-49e3-8d15-5ebef61f49c3">
    <vt:lpwstr>GetData?Formula=PVBBUigiQ29tUmFuayIp&amp;FunctionName=PAR&amp;ContentType=TEXT&amp;Caption=投资评级&amp;DatasourceType=PAR&amp;StyleId=&amp;Other=&amp;IsOnlyRefresh=False&amp;IsDataSubmission=&amp;ContentColor=&amp;HiddenCondition=&amp;Filter=</vt:lpwstr>
  </property>
  <property fmtid="{D5CDD505-2E9C-101B-9397-08002B2CF9AE}" pid="5" name="BDCONTENTCONTROL_c6524565-4caf-46ef-aac9-72c4dab42dc8">
    <vt:lpwstr>GetData?Formula=PVBBUigiUmVwb3J0VHlwZSIp&amp;FunctionName=PAR&amp;ContentType=TEXT&amp;Caption=报告类型&amp;DatasourceType=PAR&amp;StyleId=&amp;Other=&amp;IsOnlyRefresh=False&amp;IsDataSubmission=&amp;ContentColor=&amp;HiddenCondition=&amp;Filter=</vt:lpwstr>
  </property>
  <property fmtid="{D5CDD505-2E9C-101B-9397-08002B2CF9AE}" pid="6" name="BDCONTENTCONTROL_069d5398-00be-4d12-b6ca-00afc106c0d5">
    <vt:lpwstr>GetData?Formula=PUdUQygiQkRDX1pEWSgic3RraW5kdW5hbWUiLCInJHtCRF9DT0RFfSciKSIp&amp;FunctionName=GTC&amp;ContentType=TEXT&amp;Caption=所属行业名称&amp;DatasourceType=GTC&amp;StyleId=&amp;Other=&amp;IsOnlyRefresh=False&amp;IsDataSubmission=&amp;ContentColor=&amp;HiddenCondition=&amp;Filter=</vt:lpwstr>
  </property>
  <property fmtid="{D5CDD505-2E9C-101B-9397-08002B2CF9AE}" pid="7" name="BDCONTENTCONTROL_b766412f-0328-45b2-9232-42b92a0c9f48">
    <vt:lpwstr>GetData?Formula=PUdUQygiQkRDX1pEWSgic2VjdW5hbWUiLCInJHtCRF9DT0RFfSciKSIp&amp;FunctionName=GTC&amp;ContentType=TEXT&amp;Caption=证券简称&amp;DatasourceType=GTC&amp;StyleId=&amp;Other=&amp;IsOnlyRefresh=False&amp;IsDataSubmission=&amp;ContentColor=&amp;HiddenCondition=&amp;Filter=</vt:lpwstr>
  </property>
  <property fmtid="{D5CDD505-2E9C-101B-9397-08002B2CF9AE}" pid="8" name="BDCONTENTCONTROL_d542be1c-a623-4c45-bc25-ff249f51085a">
    <vt:lpwstr>GetData?Formula=PUdUQygiQkRDX1pEWSgidHJkY29kZSIsIicke0JEX0NPREV9JyIpIik=&amp;FunctionName=GTC&amp;ContentType=TEXT&amp;Caption=交易代码&amp;DatasourceType=GTC&amp;StyleId=&amp;Other=&amp;IsOnlyRefresh=False&amp;IsDataSubmission=&amp;ContentColor=&amp;HiddenCondition=&amp;Filter=</vt:lpwstr>
  </property>
  <property fmtid="{D5CDD505-2E9C-101B-9397-08002B2CF9AE}" pid="9" name="BDCONTENTCONTROL_e672bb32-0c5e-48e6-9968-79914972eb2d">
    <vt:lpwstr>GetData?Formula=PVBBUigiUmlza1JhdGluZyIp&amp;FunctionName=PAR&amp;ContentType=TEXT&amp;Caption=风险评级&amp;DatasourceType=PAR&amp;StyleId=&amp;Other=&amp;IsOnlyRefresh=False&amp;IsDataSubmission=&amp;ContentColor=&amp;HiddenCondition=&amp;Filter=</vt:lpwstr>
  </property>
  <property fmtid="{D5CDD505-2E9C-101B-9397-08002B2CF9AE}" pid="10" name="BDCONTENTCONTROL_cada7067-c52d-41de-b828-95383d8f8c23">
    <vt:lpwstr>GetData?Formula=PUdUQygiQkRDX1pEWSgiY2xzX3ByYyIsIicke1JlcG9ydERhdGVfVmFsdWV9JyIsIicke0JEX0NPREV9JyIpIik=&amp;FunctionName=GTC&amp;ContentType=TEXT&amp;Caption=股价&amp;DatasourceType=GTC&amp;StyleId=&amp;Other=&amp;IsOnlyRefresh=False&amp;IsDataSubmission=&amp;ContentColor=&amp;HiddenCondition=&amp;F</vt:lpwstr>
  </property>
  <property fmtid="{D5CDD505-2E9C-101B-9397-08002B2CF9AE}" pid="11" name="BDCONTENTCONTROL_cada7067-c52d-41de-b828-95383d8f8c23#2">
    <vt:lpwstr>ilter=</vt:lpwstr>
  </property>
  <property fmtid="{D5CDD505-2E9C-101B-9397-08002B2CF9AE}" pid="12" name="BDCONTENTCONTROL_1e5332b4-b31a-4569-a38c-b53cfb694f67">
    <vt:lpwstr>GetData?Formula=PUdUQygiQkRDX1pEWSgidHJkX2R0IiwiJyR7UmVwb3J0RGF0ZV9WYWx1ZX0nIiwiJyR7QkRfQ09ERX0nIikiKQ==&amp;FunctionName=GTC&amp;ContentType=TEXT&amp;Caption=交易日期&amp;DatasourceType=GTC&amp;StyleId=&amp;Other=&amp;IsOnlyRefresh=False&amp;IsDataSubmission=&amp;ContentColor=&amp;HiddenCondition=</vt:lpwstr>
  </property>
  <property fmtid="{D5CDD505-2E9C-101B-9397-08002B2CF9AE}" pid="13" name="BDCONTENTCONTROL_1e5332b4-b31a-4569-a38c-b53cfb694f67#2">
    <vt:lpwstr>&amp;Filter=</vt:lpwstr>
  </property>
  <property fmtid="{D5CDD505-2E9C-101B-9397-08002B2CF9AE}" pid="14" name="BDCONTENTCONTROL_4e71bee3-682f-4c15-8d03-42e156093633">
    <vt:lpwstr>GetData?Formula=PUdUQygiQkRDX1pEWSgic2Vjb25kbGV2ZWwiLCInJHtCRF9DT0RFfSciKSIp&amp;FunctionName=GTC&amp;ContentType=TEXT&amp;Caption=所属一级行业名称&amp;DatasourceType=GTC&amp;StyleId=&amp;Other=&amp;IsOnlyRefresh=False&amp;IsDataSubmission=&amp;ContentColor=&amp;HiddenCondition=&amp;Filter=</vt:lpwstr>
  </property>
  <property fmtid="{D5CDD505-2E9C-101B-9397-08002B2CF9AE}" pid="15" name="BDCONTENTCONTROL_daffc264-f2f9-4e56-ba9c-616788b2e6c2">
    <vt:lpwstr>GetData?Formula=PUdUQygiQkRDX1pEWSgiaW5kdXNuYW1lIiwiJyR7QkRfQ09ERX0nIikiKQ==&amp;FunctionName=GTC&amp;ContentType=TEXT&amp;Caption=所属三级行业名称&amp;DatasourceType=GTC&amp;StyleId=&amp;Other=&amp;IsOnlyRefresh=False&amp;IsDataSubmission=&amp;ContentColor=&amp;HiddenCondition=&amp;Filter=</vt:lpwstr>
  </property>
  <property fmtid="{D5CDD505-2E9C-101B-9397-08002B2CF9AE}" pid="16" name="BDCONTENTCONTROL_2fb2af40-f7d8-445d-a1d5-d55b9151d378">
    <vt:lpwstr>GetData?Formula=PUdUQygiQkRDX1pEWSgidG1rdF92YWwiLCInJHtSZXBvcnREYXRlX1ZhbHVlfSciLCInJHtCRF9DT0RFfSciKSIp&amp;FunctionName=GTC&amp;ContentType=TEXT&amp;Caption=总市值（百万元）&amp;DatasourceType=GTC&amp;StyleId=&amp;Other=&amp;IsOnlyRefresh=False&amp;IsDataSubmission=&amp;ContentColor=&amp;HiddenCondit</vt:lpwstr>
  </property>
  <property fmtid="{D5CDD505-2E9C-101B-9397-08002B2CF9AE}" pid="17" name="BDCONTENTCONTROL_2fb2af40-f7d8-445d-a1d5-d55b9151d378#2">
    <vt:lpwstr>ion=&amp;Filter=</vt:lpwstr>
  </property>
  <property fmtid="{D5CDD505-2E9C-101B-9397-08002B2CF9AE}" pid="18" name="BDCONTENTCONTROL_ce9821f5-cfc2-45ed-a8e8-37ba4051a25b">
    <vt:lpwstr>GetData?Formula=PUdUQygiQkRDX1pEWSgiZm1rdF92YWwiLCInJHtSZXBvcnREYXRlX1ZhbHVlfSciLCInJHtCRF9DT0RFfSciKSIp&amp;FunctionName=GTC&amp;ContentType=TEXT&amp;Caption=流通市值（百万元）&amp;DatasourceType=GTC&amp;StyleId=&amp;Other=&amp;IsOnlyRefresh=False&amp;IsDataSubmission=&amp;ContentColor=&amp;HiddenCondi</vt:lpwstr>
  </property>
  <property fmtid="{D5CDD505-2E9C-101B-9397-08002B2CF9AE}" pid="19" name="BDCONTENTCONTROL_ce9821f5-cfc2-45ed-a8e8-37ba4051a25b#2">
    <vt:lpwstr>tion=&amp;Filter=</vt:lpwstr>
  </property>
  <property fmtid="{D5CDD505-2E9C-101B-9397-08002B2CF9AE}" pid="20" name="BDCONTENTCONTROL_68cee075-9d64-46bb-8fa9-6c89f9f4fd28">
    <vt:lpwstr>GetData?Formula=PUdUQygiQkRDX1pEWSgidHRsX3NociIsIicke1JlcG9ydERhdGVfVmFsdWV9JyIsIicke0JEX0NPREV9JyIpIik=&amp;FunctionName=GTC&amp;ContentType=TEXT&amp;Caption=总股本百万股)&amp;DatasourceType=GTC&amp;StyleId=&amp;Other=&amp;IsOnlyRefresh=False&amp;IsDataSubmission=&amp;ContentColor=&amp;HiddenConditi</vt:lpwstr>
  </property>
  <property fmtid="{D5CDD505-2E9C-101B-9397-08002B2CF9AE}" pid="21" name="BDCONTENTCONTROL_68cee075-9d64-46bb-8fa9-6c89f9f4fd28#2">
    <vt:lpwstr>on=&amp;Filter=</vt:lpwstr>
  </property>
  <property fmtid="{D5CDD505-2E9C-101B-9397-08002B2CF9AE}" pid="22" name="BDCONTENTCONTROL_03745823-50e0-4748-bd08-77d02c1a18c3">
    <vt:lpwstr>GetData?Formula=PUdUQygiQkRDX1pEWSgidHRsX3Nocl9udGxjIiwiJyR7UmVwb3J0RGF0ZV9WYWx1ZX0nIiwiJyR7QkRfQ09ERX0nIikiKQ==&amp;FunctionName=GTC&amp;ContentType=TEXT&amp;Caption=流通股本(百万股)&amp;DatasourceType=GTC&amp;StyleId=&amp;Other=&amp;IsOnlyRefresh=False&amp;IsDataSubmission=&amp;ContentColor=&amp;Hid</vt:lpwstr>
  </property>
  <property fmtid="{D5CDD505-2E9C-101B-9397-08002B2CF9AE}" pid="23" name="BDCONTENTCONTROL_03745823-50e0-4748-bd08-77d02c1a18c3#2">
    <vt:lpwstr>denCondition=&amp;Filter=</vt:lpwstr>
  </property>
  <property fmtid="{D5CDD505-2E9C-101B-9397-08002B2CF9AE}" pid="24" name="BDCONTENTCONTROL_ff2831b4-5c5e-44dc-b2e2-6203e48b0b2e">
    <vt:lpwstr>GetData?Formula=PVBBUigiQWltUHJpY2UiKQ==&amp;FunctionName=PAR&amp;ContentType=TEXT&amp;Caption=目标价&amp;DatasourceType=PAR&amp;StyleId=&amp;Other=&amp;IsOnlyRefresh=False&amp;IsDataSubmission=&amp;ContentColor=&amp;HiddenCondition=&amp;Filter=</vt:lpwstr>
  </property>
  <property fmtid="{D5CDD505-2E9C-101B-9397-08002B2CF9AE}" pid="25" name="BDCONTENTCONTROL_65715568-4b08-4f2e-912b-94dd210ad788">
    <vt:lpwstr>GetData?Formula=PVBBUigiUmVwb3J0VHlwZSIp&amp;FunctionName=PAR&amp;ContentType=TEXT&amp;Caption=报告类型&amp;DatasourceType=PAR&amp;StyleId=&amp;Other=&amp;IsOnlyRefresh=False&amp;IsDataSubmission=&amp;ContentColor=&amp;HiddenCondition=&amp;Filter=</vt:lpwstr>
  </property>
  <property fmtid="{D5CDD505-2E9C-101B-9397-08002B2CF9AE}" pid="26" name="BDCONTENTCONTROL_2c517527-ef5c-4966-ba0d-f7df13370e69">
    <vt:lpwstr>GetData?Formula=PUdUQygiQkRDX1pEWSgiaW5kdXNuYW1lIiwiJyR7QkRfQ09ERX0nIikiKQ==&amp;FunctionName=GTC&amp;ContentType=TEXT&amp;Caption=所属三级行业名称&amp;DatasourceType=GTC&amp;StyleId=&amp;Other=&amp;IsOnlyRefresh=False&amp;IsDataSubmission=&amp;ContentColor=&amp;HiddenCondition=&amp;Filter=</vt:lpwstr>
  </property>
  <property fmtid="{D5CDD505-2E9C-101B-9397-08002B2CF9AE}" pid="27" name="BDCONTENTCONTROL_224cd635-0e94-4093-988c-3536ed1a8543">
    <vt:lpwstr>GetData?Formula=PURJWSgiUG9zdFNlcnZpY2UuYXNweD9TZXJ2aWNlPVN1YmplY3REYXRhU2VydmljZS5HZXRzJkZ1bmN0aW9uPUdldHNTZXJ2aWNlJkZMQUc9MSZPQkpfVldfSUQ9MTMwMDAwNjcmU0VDVV9JRD0nJHtCRF9DT0RFX1ZhbHVlfScmUmVwb3J0RGF0ZT0nJHtSZXBvcnREYXRlX1ZhbHVlfSciKQ==&amp;FunctionName=DIY&amp;C</vt:lpwstr>
  </property>
  <property fmtid="{D5CDD505-2E9C-101B-9397-08002B2CF9AE}" pid="28" name="BDCONTENTCONTROL_224cd635-0e94-4093-988c-3536ed1a8543#2">
    <vt:lpwstr>ontentType=TABLE&amp;Caption=股价相对表现&amp;DatasourceType=DIYTable&amp;StyleId=0&amp;Other=13000067&amp;IsOnlyRefresh=True&amp;StartRow=1&amp;RemainRows=3&amp;IsDataSubmission=&amp;ContentColor=&amp;HiddenCondition=&amp;Filter=</vt:lpwstr>
  </property>
  <property fmtid="{D5CDD505-2E9C-101B-9397-08002B2CF9AE}" pid="29" name="BDCONTENTCONTROL_fcdd0f46-0cbe-45f0-89f2-ec2231bbac5d">
    <vt:lpwstr>GetData?Formula=PVBBUigiU3RhZmZJRCIp&amp;FunctionName=PAR&amp;ContentType=TEXT&amp;Caption=作者&amp;DatasourceType=PAR&amp;StyleId=&amp;Other=&amp;IsOnlyRefresh=False&amp;IsDataSubmission=&amp;ContentColor=&amp;HiddenCondition=&amp;Filter=</vt:lpwstr>
  </property>
  <property fmtid="{D5CDD505-2E9C-101B-9397-08002B2CF9AE}" pid="30" name="BDCONTENTCONTROL_0d193200-c94e-408a-b987-c520727891b3">
    <vt:lpwstr>GetData?Formula=PVBBUigiU3RhZmZJRCIp&amp;FunctionName=PAR&amp;ContentType=TEXT&amp;Caption=作者&amp;DatasourceType=PAR&amp;StyleId=&amp;Other=&amp;IsOnlyRefresh=False&amp;IsDataSubmission=&amp;ContentColor=&amp;HiddenCondition=&amp;Filter=</vt:lpwstr>
  </property>
  <property fmtid="{D5CDD505-2E9C-101B-9397-08002B2CF9AE}" pid="31" name="BDCONTENTCONTROL_13f3546e-b676-4278-be26-872bd1866f3d">
    <vt:lpwstr>GetData?Formula=PURJWSgiUG9zdFNlcnZpY2UuYXNweD9TZXJ2aWNlPVN1YmplY3REYXRhU2VydmljZS5HZXRzJkZ1bmN0aW9uPUdldHNTZXJ2aWNlJkZMQUc9MiZPQkpfVldfSUQ9MTMwMDAwMTcmU0VDVV9JRD0nJHtCRF9DT0RFX1ZhbHVlfScmUmVwb3J0RGF0ZT0nJHtSZXBvcnREYXRlX1ZhbHVlfScmb3JkZXI9eyJTRUNVX0lOREV</vt:lpwstr>
  </property>
  <property fmtid="{D5CDD505-2E9C-101B-9397-08002B2CF9AE}" pid="32" name="BDCONTENTCONTROL_13f3546e-b676-4278-be26-872bd1866f3d#2">
    <vt:lpwstr>YIjowLCJUUkRfRFQiOjB9Iik=&amp;FunctionName=DIY&amp;ContentType=TABLE&amp;Caption=A股相对市场表现&amp;DatasourceType=DIYChart&amp;StyleId=63&amp;Other={"ID":63,"IsTile":false,"Title":null,"TitleBold":null,"TitleSize":0.0,"Height":1.4,"Width":2.5,"TemplateName":null,"StyleName":null,"IsE</vt:lpwstr>
  </property>
  <property fmtid="{D5CDD505-2E9C-101B-9397-08002B2CF9AE}" pid="33" name="BDCONTENTCONTROL_13f3546e-b676-4278-be26-872bd1866f3d#3">
    <vt:lpwstr>xpand":false,"IsCustom":false,"IsMainMinValue":false,"IsSecMinValue":false,"IsDataLabel":false,"IsRefreshTemplate":false,"CustomKey":null,"ObjViewID":"13000017","YLable":null,"Y2Lable":null}&amp;IsOnlyRefresh=False&amp;IsDataSubmission=&amp;ContentColor=&amp;HiddenCondit</vt:lpwstr>
  </property>
  <property fmtid="{D5CDD505-2E9C-101B-9397-08002B2CF9AE}" pid="34" name="BDCONTENTCONTROL_13f3546e-b676-4278-be26-872bd1866f3d#4">
    <vt:lpwstr>ion=&amp;Filter=</vt:lpwstr>
  </property>
  <property fmtid="{D5CDD505-2E9C-101B-9397-08002B2CF9AE}" pid="35" name="BDCONTENTCONTROL_e0755c92-3198-4ec0-8c8f-ce93bed18c2c">
    <vt:lpwstr>GetData?Formula=PURJWSgiUG9zdFNlcnZpY2UuYXNweD9TZXJ2aWNlPVN1YmplY3REYXRhU2VydmljZS5HZXRzJkZ1bmN0aW9uPUdldHNTZXJ2aWNlJkZMQUc9MSZPQkpfVldfSUQ9MTMwMDAwMDQmVVNFUklEPScke1N0YWZmSURfVmFsdWV9JyIp&amp;FunctionName=DIY&amp;ContentType=TABLE&amp;Caption=作者展示&amp;DatasourceType=DIY</vt:lpwstr>
  </property>
  <property fmtid="{D5CDD505-2E9C-101B-9397-08002B2CF9AE}" pid="36" name="BDCONTENTCONTROL_e0755c92-3198-4ec0-8c8f-ce93bed18c2c#2">
    <vt:lpwstr>Table&amp;StyleId=44&amp;Other=13000004&amp;IsOnlyRefresh=False&amp;StartRow=1&amp;RemainRows=2&amp;IsDataSubmission=&amp;ContentColor=&amp;HiddenCondition=&amp;Filter=</vt:lpwstr>
  </property>
  <property fmtid="{D5CDD505-2E9C-101B-9397-08002B2CF9AE}" pid="37" name="BDCONTENTCONTROL_a76e94b5-7d90-464a-8630-50b01ac47764">
    <vt:lpwstr>GetData?Formula=PVBBUigiUmVwb3J0RGF0ZSIp&amp;FunctionName=PAR&amp;ContentType=TEXT&amp;Caption=报告日期&amp;DatasourceType=PAR&amp;StyleId=&amp;Other=yyyy年MM月dd日&amp;IsOnlyRefresh=False&amp;IsDataSubmission=&amp;ContentColor=&amp;HiddenCondition=&amp;Filter=</vt:lpwstr>
  </property>
  <property fmtid="{D5CDD505-2E9C-101B-9397-08002B2CF9AE}" pid="38" name="BDCONTENTCONTROL_2ec65af7-9847-428f-b620-7fc5d6f3998e">
    <vt:lpwstr>GetData?Formula=PUdUQygiQkRDX1pEWSgiaGlnaGxvd3ByYyIsIicke1JlcG9ydERhdGVfVmFsdWV9JyIsIicke0JEX0NPREV9JyIpIik=&amp;FunctionName=GTC&amp;ContentType=TEXT&amp;Caption=12个月价格区间&amp;DatasourceType=GTC&amp;StyleId=&amp;Other=&amp;IsOnlyRefresh=False&amp;IsDataSubmission=&amp;ContentColor=&amp;HiddenCo</vt:lpwstr>
  </property>
  <property fmtid="{D5CDD505-2E9C-101B-9397-08002B2CF9AE}" pid="39" name="BDCONTENTCONTROL_2ec65af7-9847-428f-b620-7fc5d6f3998e#2">
    <vt:lpwstr>ndition=&amp;Filter=</vt:lpwstr>
  </property>
  <property fmtid="{D5CDD505-2E9C-101B-9397-08002B2CF9AE}" pid="40" name="BDCONTENTCONTROL_7b97d5fc-00a6-4827-8f68-01d061d43ce3">
    <vt:lpwstr>GetData?Formula=PVBBUigiU1RLUmF0aW5nIik=&amp;FunctionName=PAR&amp;ContentType=TEXT&amp;Caption=评级变动&amp;DatasourceType=PAR&amp;StyleId=&amp;Other=&amp;IsOnlyRefresh=False&amp;IsDataSubmission=&amp;ContentColor=&amp;HiddenCondition=&amp;Filter=</vt:lpwstr>
  </property>
  <property fmtid="{D5CDD505-2E9C-101B-9397-08002B2CF9AE}" pid="41" name="BDCONTENTCONTROL_0e4f9f21-9268-46da-a937-983805b82df8">
    <vt:lpwstr>GetData?Formula=PURJWSgiUG9zdFNlcnZpY2UuYXNweD9TZXJ2aWNlPVN1YmplY3REYXRhU2VydmljZS5HZXRzJkZ1bmN0aW9uPUdldHNTZXJ2aWNlJkZMQUc9MSZPQkpfVldfSUQ9MTMwMDAwMDMmQkRfQ09ERT0nJHtCRF9DT0RFfScmUmVwb3J0RGF0ZT0nJHtSZXBvcnREYXRlX1ZhbHVlfSciKQ==&amp;FunctionName=DIY&amp;ContentTy</vt:lpwstr>
  </property>
  <property fmtid="{D5CDD505-2E9C-101B-9397-08002B2CF9AE}" pid="42" name="BDCONTENTCONTROL_0e4f9f21-9268-46da-a937-983805b82df8#2">
    <vt:lpwstr>pe=TABLE&amp;Caption=公司相关报告&amp;DatasourceType=DIYTable&amp;StyleId=0&amp;Other=13000003&amp;IsOnlyRefresh=True&amp;StartRow=1&amp;RemainRows=6&amp;IsDataSubmission=&amp;ContentColor=&amp;HiddenCondition=&amp;Filter=</vt:lpwstr>
  </property>
  <property fmtid="{D5CDD505-2E9C-101B-9397-08002B2CF9AE}" pid="43" name="BDCONTENTCONTROL_f67f09d3-d34e-4ede-bc43-ec2ae23f4757">
    <vt:lpwstr>GetData?Formula=PUdUQygiQkRDX1pEWSgicnB0dHlwZSIsIicke1JlcG9ydFR5cGVfVmFsdWV9IikiKQ==&amp;FunctionName=GTC&amp;ContentType=TEXT&amp;Caption=报告类型&amp;DatasourceType=GTC&amp;StyleId=&amp;Other=&amp;IsOnlyRefresh=False&amp;IsDataSubmission=&amp;ContentColor=&amp;HiddenCondition=&amp;Filter=</vt:lpwstr>
  </property>
  <property fmtid="{D5CDD505-2E9C-101B-9397-08002B2CF9AE}" pid="44" name="BDCONTENTCONTROL_40279c30-bcdc-4ccb-956d-ca7a80b2a749">
    <vt:lpwstr>GetData?Formula=PUdUQygiQkRDX1pEWSgicnB0dHlwZSIsIicke1JlcG9ydFR5cGVfVmFsdWV9IikiKQ==&amp;FunctionName=GTC&amp;ContentType=TEXT&amp;Caption=报告类型&amp;DatasourceType=GTC&amp;StyleId=&amp;Other=&amp;IsOnlyRefresh=False&amp;IsDataSubmission=&amp;ContentColor=&amp;HiddenCondition=&amp;Filter=</vt:lpwstr>
  </property>
  <property fmtid="{D5CDD505-2E9C-101B-9397-08002B2CF9AE}" pid="45" name="ValuationModel_FC_YEAR_1_1">
    <vt:lpwstr>2012</vt:lpwstr>
  </property>
  <property fmtid="{D5CDD505-2E9C-101B-9397-08002B2CF9AE}" pid="46" name="ValuationModel_FC_YEAR_1_2">
    <vt:lpwstr>2013</vt:lpwstr>
  </property>
  <property fmtid="{D5CDD505-2E9C-101B-9397-08002B2CF9AE}" pid="47" name="ValuationModel_FC_YEAR_1_3">
    <vt:lpwstr>2014E</vt:lpwstr>
  </property>
  <property fmtid="{D5CDD505-2E9C-101B-9397-08002B2CF9AE}" pid="48" name="ValuationModel_FC_YEAR_1_4">
    <vt:lpwstr>2015E</vt:lpwstr>
  </property>
  <property fmtid="{D5CDD505-2E9C-101B-9397-08002B2CF9AE}" pid="49" name="ValuationModel_FC_YEAR_1_5">
    <vt:lpwstr>2016E</vt:lpwstr>
  </property>
  <property fmtid="{D5CDD505-2E9C-101B-9397-08002B2CF9AE}" pid="50" name="ValuationModel_MAI_INC_2_1">
    <vt:lpwstr>25,781.5</vt:lpwstr>
  </property>
  <property fmtid="{D5CDD505-2E9C-101B-9397-08002B2CF9AE}" pid="51" name="ValuationModel_MAI_INC_2_2">
    <vt:lpwstr>28,291.0</vt:lpwstr>
  </property>
  <property fmtid="{D5CDD505-2E9C-101B-9397-08002B2CF9AE}" pid="52" name="ValuationModel_MAI_INC_2_3">
    <vt:lpwstr>31,822.3</vt:lpwstr>
  </property>
  <property fmtid="{D5CDD505-2E9C-101B-9397-08002B2CF9AE}" pid="53" name="ValuationModel_MAI_INC_2_4">
    <vt:lpwstr>35,380.5</vt:lpwstr>
  </property>
  <property fmtid="{D5CDD505-2E9C-101B-9397-08002B2CF9AE}" pid="54" name="ValuationModel_MAI_INC_2_5">
    <vt:lpwstr>39,319.3</vt:lpwstr>
  </property>
  <property fmtid="{D5CDD505-2E9C-101B-9397-08002B2CF9AE}" pid="55" name="ValuationModel_MAI_INC_RAT_3_1">
    <vt:lpwstr>11.3%</vt:lpwstr>
  </property>
  <property fmtid="{D5CDD505-2E9C-101B-9397-08002B2CF9AE}" pid="56" name="ValuationModel_MAI_INC_RAT_3_2">
    <vt:lpwstr>9.7%</vt:lpwstr>
  </property>
  <property fmtid="{D5CDD505-2E9C-101B-9397-08002B2CF9AE}" pid="57" name="ValuationModel_MAI_INC_RAT_3_3">
    <vt:lpwstr>12.5%</vt:lpwstr>
  </property>
  <property fmtid="{D5CDD505-2E9C-101B-9397-08002B2CF9AE}" pid="58" name="ValuationModel_MAI_INC_RAT_3_4">
    <vt:lpwstr>11.2%</vt:lpwstr>
  </property>
  <property fmtid="{D5CDD505-2E9C-101B-9397-08002B2CF9AE}" pid="59" name="ValuationModel_MAI_INC_RAT_3_5">
    <vt:lpwstr>11.1%</vt:lpwstr>
  </property>
  <property fmtid="{D5CDD505-2E9C-101B-9397-08002B2CF9AE}" pid="60" name="ValuationModel_OPE_PROF_4_1">
    <vt:lpwstr>2,138.4</vt:lpwstr>
  </property>
  <property fmtid="{D5CDD505-2E9C-101B-9397-08002B2CF9AE}" pid="61" name="ValuationModel_OPE_PROF_4_2">
    <vt:lpwstr>2,350.9</vt:lpwstr>
  </property>
  <property fmtid="{D5CDD505-2E9C-101B-9397-08002B2CF9AE}" pid="62" name="ValuationModel_OPE_PROF_4_3">
    <vt:lpwstr> </vt:lpwstr>
  </property>
  <property fmtid="{D5CDD505-2E9C-101B-9397-08002B2CF9AE}" pid="63" name="ValuationModel_OPE_PROF_4_4">
    <vt:lpwstr> </vt:lpwstr>
  </property>
  <property fmtid="{D5CDD505-2E9C-101B-9397-08002B2CF9AE}" pid="64" name="ValuationModel_OPE_PROF_4_5">
    <vt:lpwstr> </vt:lpwstr>
  </property>
  <property fmtid="{D5CDD505-2E9C-101B-9397-08002B2CF9AE}" pid="65" name="ValuationModel_OPE_PROF_RAT_5_1">
    <vt:lpwstr>-0.1%</vt:lpwstr>
  </property>
  <property fmtid="{D5CDD505-2E9C-101B-9397-08002B2CF9AE}" pid="66" name="ValuationModel_OPE_PROF_RAT_5_2">
    <vt:lpwstr>9.9%</vt:lpwstr>
  </property>
  <property fmtid="{D5CDD505-2E9C-101B-9397-08002B2CF9AE}" pid="67" name="ValuationModel_OPE_PROF_RAT_5_3">
    <vt:lpwstr> </vt:lpwstr>
  </property>
  <property fmtid="{D5CDD505-2E9C-101B-9397-08002B2CF9AE}" pid="68" name="ValuationModel_OPE_PROF_RAT_5_4">
    <vt:lpwstr> </vt:lpwstr>
  </property>
  <property fmtid="{D5CDD505-2E9C-101B-9397-08002B2CF9AE}" pid="69" name="ValuationModel_OPE_PROF_RAT_5_5">
    <vt:lpwstr> </vt:lpwstr>
  </property>
  <property fmtid="{D5CDD505-2E9C-101B-9397-08002B2CF9AE}" pid="70" name="ValuationModel_NET_PROF_6_1">
    <vt:lpwstr>1,758.9</vt:lpwstr>
  </property>
  <property fmtid="{D5CDD505-2E9C-101B-9397-08002B2CF9AE}" pid="71" name="ValuationModel_NET_PROF_6_2">
    <vt:lpwstr>1,973.4</vt:lpwstr>
  </property>
  <property fmtid="{D5CDD505-2E9C-101B-9397-08002B2CF9AE}" pid="72" name="ValuationModel_NET_PROF_6_3">
    <vt:lpwstr> </vt:lpwstr>
  </property>
  <property fmtid="{D5CDD505-2E9C-101B-9397-08002B2CF9AE}" pid="73" name="ValuationModel_NET_PROF_6_4">
    <vt:lpwstr> </vt:lpwstr>
  </property>
  <property fmtid="{D5CDD505-2E9C-101B-9397-08002B2CF9AE}" pid="74" name="ValuationModel_NET_PROF_6_5">
    <vt:lpwstr> </vt:lpwstr>
  </property>
  <property fmtid="{D5CDD505-2E9C-101B-9397-08002B2CF9AE}" pid="75" name="ValuationModel_NET_PROF_RAT_7_1">
    <vt:lpwstr>1.2%</vt:lpwstr>
  </property>
  <property fmtid="{D5CDD505-2E9C-101B-9397-08002B2CF9AE}" pid="76" name="ValuationModel_NET_PROF_RAT_7_2">
    <vt:lpwstr>12.2%</vt:lpwstr>
  </property>
  <property fmtid="{D5CDD505-2E9C-101B-9397-08002B2CF9AE}" pid="77" name="ValuationModel_NET_PROF_RAT_7_3">
    <vt:lpwstr> </vt:lpwstr>
  </property>
  <property fmtid="{D5CDD505-2E9C-101B-9397-08002B2CF9AE}" pid="78" name="ValuationModel_NET_PROF_RAT_7_4">
    <vt:lpwstr> </vt:lpwstr>
  </property>
  <property fmtid="{D5CDD505-2E9C-101B-9397-08002B2CF9AE}" pid="79" name="ValuationModel_NET_PROF_RAT_7_5">
    <vt:lpwstr> </vt:lpwstr>
  </property>
  <property fmtid="{D5CDD505-2E9C-101B-9397-08002B2CF9AE}" pid="80" name="ValuationModel_EPS_8_1">
    <vt:lpwstr> </vt:lpwstr>
  </property>
  <property fmtid="{D5CDD505-2E9C-101B-9397-08002B2CF9AE}" pid="81" name="ValuationModel_EPS_8_2">
    <vt:lpwstr> </vt:lpwstr>
  </property>
  <property fmtid="{D5CDD505-2E9C-101B-9397-08002B2CF9AE}" pid="82" name="ValuationModel_EPS_8_3">
    <vt:lpwstr> </vt:lpwstr>
  </property>
  <property fmtid="{D5CDD505-2E9C-101B-9397-08002B2CF9AE}" pid="83" name="ValuationModel_EPS_8_4">
    <vt:lpwstr> </vt:lpwstr>
  </property>
  <property fmtid="{D5CDD505-2E9C-101B-9397-08002B2CF9AE}" pid="84" name="ValuationModel_EPS_8_5">
    <vt:lpwstr> </vt:lpwstr>
  </property>
  <property fmtid="{D5CDD505-2E9C-101B-9397-08002B2CF9AE}" pid="85" name="ValuationModel_PE_9_1">
    <vt:lpwstr> </vt:lpwstr>
  </property>
  <property fmtid="{D5CDD505-2E9C-101B-9397-08002B2CF9AE}" pid="86" name="ValuationModel_PE_9_2">
    <vt:lpwstr> </vt:lpwstr>
  </property>
  <property fmtid="{D5CDD505-2E9C-101B-9397-08002B2CF9AE}" pid="87" name="ValuationModel_PE_9_3">
    <vt:lpwstr> </vt:lpwstr>
  </property>
  <property fmtid="{D5CDD505-2E9C-101B-9397-08002B2CF9AE}" pid="88" name="ValuationModel_PE_9_4">
    <vt:lpwstr> </vt:lpwstr>
  </property>
  <property fmtid="{D5CDD505-2E9C-101B-9397-08002B2CF9AE}" pid="89" name="ValuationModel_PE_9_5">
    <vt:lpwstr> </vt:lpwstr>
  </property>
  <property fmtid="{D5CDD505-2E9C-101B-9397-08002B2CF9AE}" pid="90" name="ValuationModel_PB_10_1">
    <vt:lpwstr> </vt:lpwstr>
  </property>
  <property fmtid="{D5CDD505-2E9C-101B-9397-08002B2CF9AE}" pid="91" name="ValuationModel_PB_10_2">
    <vt:lpwstr> </vt:lpwstr>
  </property>
  <property fmtid="{D5CDD505-2E9C-101B-9397-08002B2CF9AE}" pid="92" name="ValuationModel_PB_10_3">
    <vt:lpwstr> </vt:lpwstr>
  </property>
  <property fmtid="{D5CDD505-2E9C-101B-9397-08002B2CF9AE}" pid="93" name="ValuationModel_PB_10_4">
    <vt:lpwstr> </vt:lpwstr>
  </property>
  <property fmtid="{D5CDD505-2E9C-101B-9397-08002B2CF9AE}" pid="94" name="ValuationModel_PB_10_5">
    <vt:lpwstr> </vt:lpwstr>
  </property>
  <property fmtid="{D5CDD505-2E9C-101B-9397-08002B2CF9AE}" pid="95" name="BDCONTENTCONTROL_773f5f97-9b02-4822-8cb5-d7e7cfb14a4e">
    <vt:lpwstr>GetData?Formula=PURJWSgiUG9zdFNlcnZpY2UuYXNweD9TZXJ2aWNlPVN1YmplY3REYXRhU2VydmljZS5HZXRzJkZ1bmN0aW9uPUdldHNTZXJ2aWNlJkZMQUc9MSZPQkpfVldfSUQ9MTMwMDAwODImVVNFUklEPScke1N0YWZmSURfVmFsdWV9JyIp&amp;FunctionName=DIY&amp;ContentType=TABLE&amp;Caption=分析师声明&amp;DatasourceType=DI</vt:lpwstr>
  </property>
  <property fmtid="{D5CDD505-2E9C-101B-9397-08002B2CF9AE}" pid="96" name="BDCONTENTCONTROL_773f5f97-9b02-4822-8cb5-d7e7cfb14a4e#2">
    <vt:lpwstr>YTable&amp;StyleId=0&amp;Other=13000082&amp;IsOnlyRefresh=False&amp;IsDataSubmission=&amp;ContentColor=&amp;HiddenCondition=&amp;Filter=</vt:lpwstr>
  </property>
  <property fmtid="{D5CDD505-2E9C-101B-9397-08002B2CF9AE}" pid="97" name="BDCONTENTCONTROL_052c9a6f-6731-4d02-ae22-198466e7680b">
    <vt:lpwstr>GetData?Formula=PVBBUigiTGFzdF9SaXNrUmF0aW5nIik=&amp;FunctionName=PAR&amp;ContentType=TEXT&amp;Caption=上次风险评级&amp;DatasourceType=PAR&amp;StyleId=&amp;Other=&amp;IsOnlyRefresh=False&amp;IsDataSubmission=&amp;ContentColor=&amp;HiddenCondition=&amp;Filter=</vt:lpwstr>
  </property>
  <property fmtid="{D5CDD505-2E9C-101B-9397-08002B2CF9AE}" pid="98" name="Last_RiskRating_Value">
    <vt:lpwstr> </vt:lpwstr>
  </property>
  <property fmtid="{D5CDD505-2E9C-101B-9397-08002B2CF9AE}" pid="99" name="Last_RiskRating_DisplayName">
    <vt:lpwstr> </vt:lpwstr>
  </property>
  <property fmtid="{D5CDD505-2E9C-101B-9397-08002B2CF9AE}" pid="100" name="LastRank_Value">
    <vt:lpwstr> </vt:lpwstr>
  </property>
  <property fmtid="{D5CDD505-2E9C-101B-9397-08002B2CF9AE}" pid="101" name="LastRank_DisplayName">
    <vt:lpwstr> </vt:lpwstr>
  </property>
  <property fmtid="{D5CDD505-2E9C-101B-9397-08002B2CF9AE}" pid="102" name="verifycontent">
    <vt:lpwstr> </vt:lpwstr>
  </property>
  <property fmtid="{D5CDD505-2E9C-101B-9397-08002B2CF9AE}" pid="103" name="docSaved">
    <vt:lpwstr>true</vt:lpwstr>
  </property>
  <property fmtid="{D5CDD505-2E9C-101B-9397-08002B2CF9AE}" pid="104" name="BD_Doc_Temp_ID">
    <vt:lpwstr>b06a1e88-42be-414c-980b-2fdfdb3d6c20</vt:lpwstr>
  </property>
  <property fmtid="{D5CDD505-2E9C-101B-9397-08002B2CF9AE}" pid="105" name="ReportType_Value">
    <vt:lpwstr>8a288a6e4d27054b014d270c56d4004f</vt:lpwstr>
  </property>
  <property fmtid="{D5CDD505-2E9C-101B-9397-08002B2CF9AE}" pid="106" name="ReportType_DisplayName">
    <vt:lpwstr>公司类：公司快报</vt:lpwstr>
  </property>
  <property fmtid="{D5CDD505-2E9C-101B-9397-08002B2CF9AE}" pid="107" name="ReportDate_Value">
    <vt:lpwstr>2016-12-16</vt:lpwstr>
  </property>
  <property fmtid="{D5CDD505-2E9C-101B-9397-08002B2CF9AE}" pid="108" name="ReportDate_DisplayName">
    <vt:lpwstr>2016年12月16日</vt:lpwstr>
  </property>
  <property fmtid="{D5CDD505-2E9C-101B-9397-08002B2CF9AE}" pid="109" name="BD_CODE">
    <vt:lpwstr>601336.SH</vt:lpwstr>
  </property>
  <property fmtid="{D5CDD505-2E9C-101B-9397-08002B2CF9AE}" pid="110" name="BD_CODE_Value">
    <vt:lpwstr>55713</vt:lpwstr>
  </property>
  <property fmtid="{D5CDD505-2E9C-101B-9397-08002B2CF9AE}" pid="111" name="BD_CODE_DisplayName">
    <vt:lpwstr>新华保险</vt:lpwstr>
  </property>
  <property fmtid="{D5CDD505-2E9C-101B-9397-08002B2CF9AE}" pid="112" name="BD_CODE_F9Type">
    <vt:lpwstr>1003</vt:lpwstr>
  </property>
  <property fmtid="{D5CDD505-2E9C-101B-9397-08002B2CF9AE}" pid="113" name="BD_CODE_Postfix">
    <vt:lpwstr>SH</vt:lpwstr>
  </property>
  <property fmtid="{D5CDD505-2E9C-101B-9397-08002B2CF9AE}" pid="114" name="AimPrice_DisplayName">
    <vt:lpwstr>56.1</vt:lpwstr>
  </property>
  <property fmtid="{D5CDD505-2E9C-101B-9397-08002B2CF9AE}" pid="115" name="RiskRating_Value">
    <vt:lpwstr>2c9281be4cc6fcaf014cdac814240158</vt:lpwstr>
  </property>
  <property fmtid="{D5CDD505-2E9C-101B-9397-08002B2CF9AE}" pid="116" name="RiskRating_DisplayName">
    <vt:lpwstr>A</vt:lpwstr>
  </property>
  <property fmtid="{D5CDD505-2E9C-101B-9397-08002B2CF9AE}" pid="117" name="ComRank_Value">
    <vt:lpwstr>ff8080814810e99601481196400e0290</vt:lpwstr>
  </property>
  <property fmtid="{D5CDD505-2E9C-101B-9397-08002B2CF9AE}" pid="118" name="ComRank_DisplayName">
    <vt:lpwstr>买入</vt:lpwstr>
  </property>
  <property fmtid="{D5CDD505-2E9C-101B-9397-08002B2CF9AE}" pid="119" name="STKRating_Value">
    <vt:lpwstr>ff80808149eb14d50149ef450cd718d5</vt:lpwstr>
  </property>
  <property fmtid="{D5CDD505-2E9C-101B-9397-08002B2CF9AE}" pid="120" name="STKRating_DisplayName">
    <vt:lpwstr>首次</vt:lpwstr>
  </property>
  <property fmtid="{D5CDD505-2E9C-101B-9397-08002B2CF9AE}" pid="121" name="StaffID_Value">
    <vt:lpwstr>8a2894b34e7244c7014e8b9221cb45a4,8a2894b3550ec61b01552887fdea09e0;</vt:lpwstr>
  </property>
  <property fmtid="{D5CDD505-2E9C-101B-9397-08002B2CF9AE}" pid="122" name="StaffID_DisplayName">
    <vt:lpwstr>王刚-策略,郑春明-金融地产;</vt:lpwstr>
  </property>
  <property fmtid="{D5CDD505-2E9C-101B-9397-08002B2CF9AE}" pid="123" name="TemplateID">
    <vt:lpwstr> </vt:lpwstr>
  </property>
  <property fmtid="{D5CDD505-2E9C-101B-9397-08002B2CF9AE}" pid="124" name="BDCONTENTCONTROL_AUTO_SAVE_SubTitle">
    <vt:lpwstr>2017仍聚焦转型</vt:lpwstr>
  </property>
  <property fmtid="{D5CDD505-2E9C-101B-9397-08002B2CF9AE}" pid="125" name="BDCONTENTCONTROL_AUTO_SAVE_Summary">
    <vt:lpwstr>投资要点_x000d__x000d_保费负增长源于转型：公司日前公布2016年前11月保费数据，1-11月实现保费1076亿元，同比微增0.32%，单月54.9亿元，同比增13.5%，单月增速较快源于基数较低；新华2017年保费整体表现显著弱于其他三家，这与公司聚焦转型的思路是分不开的，公司主动压缩银保渠道趸交型保费，发力银保期缴端（上半年银保期缴同比增长70.4%）；并且个险渠道上半年也取得了不错成效，个险新保保费增长27.1%。_x000d_2016年拖累因素较多：受投资收益同比大幅下降和传统险准备金折现率假设下调等因素影响，公司201</vt:lpwstr>
  </property>
  <property fmtid="{D5CDD505-2E9C-101B-9397-08002B2CF9AE}" pid="126" name="BDCONTENTCONTROL_AUTO_SAVE_Summary#2">
    <vt:lpwstr>6年1-3Q归母净利润47.86亿元，同比下降44.6%，Q3净利润14.53亿元，同比下降23.2%。不过值得注意的是，在净利润大幅低增长的背景下，公司上半年新业务价值仍取得了18.1%的不错增速。_x000d_2017仍然聚焦转型：公司今年以来多次明确表示，未来5年“价值转型”的两大发展步骤：1）2016-2017年，缩减银保趸交业务，以期交和续交保费逐步替代趸交保费，预计在此期间保费收入将保持零增长或小幅下降。2）2018-2020年，削减趸交业务完成，长期期交保费预计将驱使保费规模以超过20%的速度增长。同时</vt:lpwstr>
  </property>
  <property fmtid="{D5CDD505-2E9C-101B-9397-08002B2CF9AE}" pid="127" name="BDCONTENTCONTROL_AUTO_SAVE_Summary#3">
    <vt:lpwstr>，新华保险将着重建立健康险、养老险等在市场上领先的产品的差异化优势。代理人队伍方面，通过推动人均产能提升取代以增员为业绩驱动的主要因素。_x000d_投资建议：我们预计2017年市场或将迎来流动性边际拐点，这无疑对寿险公司的极其有利的，新华保险作为纯粹的寿险股，其价值转型同样值得期待。预计公司2016年至2018年每股收益分别为2.02、2.38、2.88元。净资产收益率分别为10.3%、 10.9% 和12.0%，目前新华2017P/EV约在1.1X左右，预计在转型预期以及利率拐点催化下有望推升至1.4X左右P/E</vt:lpwstr>
  </property>
  <property fmtid="{D5CDD505-2E9C-101B-9397-08002B2CF9AE}" pid="128" name="BDCONTENTCONTROL_AUTO_SAVE_Summary#4">
    <vt:lpwstr>V，给予买入-A建议，6个月目标价为56.1元。_x000d_风险提示：股票市场超预期下跌；国债收益率再次下行</vt:lpwstr>
  </property>
</Properties>
</file>