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1B2F" w:rsidRPr="00916CBA" w:rsidRDefault="00721B2F" w:rsidP="00721B2F">
      <w:pPr>
        <w:ind w:leftChars="-67" w:left="-141" w:rightChars="-94" w:right="-197"/>
        <w:jc w:val="center"/>
        <w:rPr>
          <w:rFonts w:ascii="黑体" w:eastAsia="黑体" w:hAnsi="黑体" w:cs="Times New Roman"/>
          <w:b/>
          <w:sz w:val="22"/>
          <w:szCs w:val="44"/>
        </w:rPr>
      </w:pPr>
    </w:p>
    <w:p w:rsidR="00AA4611" w:rsidRPr="00916CBA" w:rsidRDefault="00AA4611" w:rsidP="00AA4611">
      <w:pPr>
        <w:ind w:leftChars="-67" w:left="-141" w:rightChars="-94" w:right="-197"/>
        <w:jc w:val="center"/>
        <w:rPr>
          <w:rFonts w:ascii="黑体" w:eastAsia="黑体" w:hAnsi="黑体" w:cs="Times New Roman"/>
          <w:b/>
          <w:sz w:val="22"/>
          <w:szCs w:val="44"/>
        </w:rPr>
      </w:pPr>
    </w:p>
    <w:p w:rsidR="00721B2F" w:rsidRDefault="009F6A47" w:rsidP="00721B2F">
      <w:pPr>
        <w:ind w:leftChars="-67" w:left="-141" w:rightChars="-94" w:right="-197"/>
        <w:jc w:val="center"/>
        <w:rPr>
          <w:rFonts w:ascii="黑体" w:eastAsia="黑体" w:hAnsi="黑体" w:cs="Times New Roman"/>
          <w:sz w:val="40"/>
          <w:szCs w:val="44"/>
        </w:rPr>
      </w:pPr>
      <w:bookmarkStart w:id="0" w:name="_GoBack"/>
      <w:r>
        <w:rPr>
          <w:rFonts w:ascii="黑体" w:eastAsia="黑体" w:hAnsi="黑体" w:cs="Times New Roman" w:hint="eastAsia"/>
          <w:sz w:val="40"/>
          <w:szCs w:val="44"/>
        </w:rPr>
        <w:t>密集调控下</w:t>
      </w:r>
      <w:r w:rsidR="007E0D91" w:rsidRPr="007E0D91">
        <w:rPr>
          <w:rFonts w:ascii="黑体" w:eastAsia="黑体" w:hAnsi="黑体" w:cs="Times New Roman" w:hint="eastAsia"/>
          <w:sz w:val="40"/>
          <w:szCs w:val="44"/>
        </w:rPr>
        <w:t>房价</w:t>
      </w:r>
      <w:r w:rsidR="00015C4E">
        <w:rPr>
          <w:rFonts w:ascii="黑体" w:eastAsia="黑体" w:hAnsi="黑体" w:cs="Times New Roman" w:hint="eastAsia"/>
          <w:sz w:val="40"/>
          <w:szCs w:val="44"/>
        </w:rPr>
        <w:t>涨势</w:t>
      </w:r>
      <w:r w:rsidR="007E0D91" w:rsidRPr="007E0D91">
        <w:rPr>
          <w:rFonts w:ascii="黑体" w:eastAsia="黑体" w:hAnsi="黑体" w:cs="Times New Roman" w:hint="eastAsia"/>
          <w:sz w:val="40"/>
          <w:szCs w:val="44"/>
        </w:rPr>
        <w:t>趋缓</w:t>
      </w:r>
    </w:p>
    <w:bookmarkEnd w:id="0"/>
    <w:p w:rsidR="007E0D91" w:rsidRPr="00916CBA" w:rsidRDefault="007E0D91" w:rsidP="00721B2F">
      <w:pPr>
        <w:ind w:leftChars="-67" w:left="-141" w:rightChars="-94" w:right="-197"/>
        <w:jc w:val="center"/>
        <w:rPr>
          <w:rFonts w:ascii="黑体" w:eastAsia="黑体" w:hAnsi="黑体" w:cs="Times New Roman"/>
          <w:b/>
          <w:sz w:val="22"/>
          <w:szCs w:val="44"/>
        </w:rPr>
      </w:pPr>
    </w:p>
    <w:p w:rsidR="00532D7B" w:rsidRPr="0027008B" w:rsidRDefault="00532D7B" w:rsidP="00307279">
      <w:pPr>
        <w:shd w:val="clear" w:color="auto" w:fill="000080"/>
        <w:spacing w:beforeLines="50" w:before="156" w:afterLines="50" w:after="156"/>
        <w:ind w:firstLineChars="101" w:firstLine="284"/>
        <w:rPr>
          <w:rFonts w:ascii="楷体_GB2312" w:eastAsia="楷体_GB2312" w:hAnsi="楷体" w:cs="Times New Roman"/>
          <w:b/>
          <w:color w:val="FFFFFF"/>
          <w:sz w:val="28"/>
          <w:szCs w:val="28"/>
        </w:rPr>
      </w:pPr>
      <w:r w:rsidRPr="0027008B">
        <w:rPr>
          <w:rFonts w:ascii="楷体_GB2312" w:eastAsia="楷体_GB2312" w:hAnsi="楷体" w:cs="Times New Roman" w:hint="eastAsia"/>
          <w:b/>
          <w:color w:val="FFFFFF"/>
          <w:sz w:val="28"/>
          <w:szCs w:val="28"/>
        </w:rPr>
        <w:t>20</w:t>
      </w:r>
      <w:r w:rsidR="00967C04" w:rsidRPr="0027008B">
        <w:rPr>
          <w:rFonts w:ascii="楷体_GB2312" w:eastAsia="楷体_GB2312" w:hAnsi="楷体" w:cs="Times New Roman" w:hint="eastAsia"/>
          <w:b/>
          <w:color w:val="FFFFFF"/>
          <w:sz w:val="28"/>
          <w:szCs w:val="28"/>
        </w:rPr>
        <w:t>2</w:t>
      </w:r>
      <w:r w:rsidR="00AA4611">
        <w:rPr>
          <w:rFonts w:ascii="楷体_GB2312" w:eastAsia="楷体_GB2312" w:hAnsi="楷体" w:cs="Times New Roman"/>
          <w:b/>
          <w:color w:val="FFFFFF"/>
          <w:sz w:val="28"/>
          <w:szCs w:val="28"/>
        </w:rPr>
        <w:t>1</w:t>
      </w:r>
      <w:r w:rsidRPr="0027008B">
        <w:rPr>
          <w:rFonts w:ascii="楷体_GB2312" w:eastAsia="楷体_GB2312" w:hAnsi="楷体" w:cs="Times New Roman" w:hint="eastAsia"/>
          <w:b/>
          <w:color w:val="FFFFFF"/>
          <w:sz w:val="28"/>
          <w:szCs w:val="28"/>
        </w:rPr>
        <w:t>年</w:t>
      </w:r>
      <w:r w:rsidR="007E0D91">
        <w:rPr>
          <w:rFonts w:ascii="楷体_GB2312" w:eastAsia="楷体_GB2312" w:hAnsi="楷体" w:cs="Times New Roman"/>
          <w:b/>
          <w:color w:val="FFFFFF"/>
          <w:sz w:val="28"/>
          <w:szCs w:val="28"/>
        </w:rPr>
        <w:t>6</w:t>
      </w:r>
      <w:r w:rsidR="006C73B0" w:rsidRPr="0027008B">
        <w:rPr>
          <w:rFonts w:ascii="楷体_GB2312" w:eastAsia="楷体_GB2312" w:hAnsi="楷体" w:cs="Times New Roman" w:hint="eastAsia"/>
          <w:b/>
          <w:color w:val="FFFFFF"/>
          <w:sz w:val="28"/>
          <w:szCs w:val="28"/>
        </w:rPr>
        <w:t>月</w:t>
      </w:r>
      <w:r w:rsidRPr="0027008B">
        <w:rPr>
          <w:rFonts w:ascii="楷体_GB2312" w:eastAsia="楷体_GB2312" w:hAnsi="楷体" w:cs="Times New Roman" w:hint="eastAsia"/>
          <w:b/>
          <w:color w:val="FFFFFF"/>
          <w:sz w:val="28"/>
          <w:szCs w:val="28"/>
        </w:rPr>
        <w:t>房地产数据点评</w:t>
      </w:r>
      <w:r w:rsidR="005E7143" w:rsidRPr="0027008B">
        <w:rPr>
          <w:rFonts w:ascii="楷体_GB2312" w:eastAsia="楷体_GB2312" w:hAnsi="楷体" w:cs="Times New Roman" w:hint="eastAsia"/>
          <w:b/>
          <w:color w:val="FFFFFF"/>
          <w:sz w:val="28"/>
          <w:szCs w:val="28"/>
        </w:rPr>
        <w:t xml:space="preserve">        </w:t>
      </w:r>
      <w:r w:rsidR="0019545C" w:rsidRPr="0027008B">
        <w:rPr>
          <w:rFonts w:ascii="楷体_GB2312" w:eastAsia="楷体_GB2312" w:hAnsi="楷体" w:cs="Times New Roman" w:hint="eastAsia"/>
          <w:b/>
          <w:color w:val="FFFFFF"/>
          <w:sz w:val="28"/>
          <w:szCs w:val="28"/>
        </w:rPr>
        <w:t xml:space="preserve">     </w:t>
      </w:r>
      <w:r w:rsidRPr="0027008B">
        <w:rPr>
          <w:rFonts w:ascii="楷体_GB2312" w:eastAsia="楷体_GB2312" w:hAnsi="楷体" w:cs="Times New Roman" w:hint="eastAsia"/>
          <w:b/>
          <w:color w:val="FFFFFF"/>
          <w:sz w:val="28"/>
          <w:szCs w:val="28"/>
        </w:rPr>
        <w:t>20</w:t>
      </w:r>
      <w:r w:rsidR="00345F04" w:rsidRPr="0027008B">
        <w:rPr>
          <w:rFonts w:ascii="楷体_GB2312" w:eastAsia="楷体_GB2312" w:hAnsi="楷体" w:cs="Times New Roman" w:hint="eastAsia"/>
          <w:b/>
          <w:color w:val="FFFFFF"/>
          <w:sz w:val="28"/>
          <w:szCs w:val="28"/>
        </w:rPr>
        <w:t>2</w:t>
      </w:r>
      <w:r w:rsidR="00AA7AED">
        <w:rPr>
          <w:rFonts w:ascii="楷体_GB2312" w:eastAsia="楷体_GB2312" w:hAnsi="楷体" w:cs="Times New Roman"/>
          <w:b/>
          <w:color w:val="FFFFFF"/>
          <w:sz w:val="28"/>
          <w:szCs w:val="28"/>
        </w:rPr>
        <w:t>1</w:t>
      </w:r>
      <w:r w:rsidRPr="0027008B">
        <w:rPr>
          <w:rFonts w:ascii="楷体_GB2312" w:eastAsia="楷体_GB2312" w:hAnsi="楷体" w:cs="Times New Roman" w:hint="eastAsia"/>
          <w:b/>
          <w:color w:val="FFFFFF"/>
          <w:sz w:val="28"/>
          <w:szCs w:val="28"/>
        </w:rPr>
        <w:t>年</w:t>
      </w:r>
      <w:r w:rsidR="007E0D91">
        <w:rPr>
          <w:rFonts w:ascii="楷体_GB2312" w:eastAsia="楷体_GB2312" w:hAnsi="楷体" w:cs="Times New Roman"/>
          <w:b/>
          <w:color w:val="FFFFFF"/>
          <w:sz w:val="28"/>
          <w:szCs w:val="28"/>
        </w:rPr>
        <w:t>7</w:t>
      </w:r>
      <w:r w:rsidRPr="0027008B">
        <w:rPr>
          <w:rFonts w:ascii="楷体_GB2312" w:eastAsia="楷体_GB2312" w:hAnsi="楷体" w:cs="Times New Roman" w:hint="eastAsia"/>
          <w:b/>
          <w:color w:val="FFFFFF"/>
          <w:sz w:val="28"/>
          <w:szCs w:val="28"/>
        </w:rPr>
        <w:t>月</w:t>
      </w:r>
      <w:r w:rsidR="00FE6601">
        <w:rPr>
          <w:rFonts w:ascii="楷体_GB2312" w:eastAsia="楷体_GB2312" w:hAnsi="楷体" w:cs="Times New Roman"/>
          <w:b/>
          <w:color w:val="FFFFFF"/>
          <w:sz w:val="28"/>
          <w:szCs w:val="28"/>
        </w:rPr>
        <w:t>1</w:t>
      </w:r>
      <w:r w:rsidR="007E0D91">
        <w:rPr>
          <w:rFonts w:ascii="楷体_GB2312" w:eastAsia="楷体_GB2312" w:hAnsi="楷体" w:cs="Times New Roman"/>
          <w:b/>
          <w:color w:val="FFFFFF"/>
          <w:sz w:val="28"/>
          <w:szCs w:val="28"/>
        </w:rPr>
        <w:t>5</w:t>
      </w:r>
      <w:r w:rsidRPr="0027008B">
        <w:rPr>
          <w:rFonts w:ascii="楷体_GB2312" w:eastAsia="楷体_GB2312" w:hAnsi="楷体" w:cs="Times New Roman" w:hint="eastAsia"/>
          <w:b/>
          <w:color w:val="FFFFFF"/>
          <w:sz w:val="28"/>
          <w:szCs w:val="28"/>
        </w:rPr>
        <w:t>日</w:t>
      </w:r>
    </w:p>
    <w:tbl>
      <w:tblPr>
        <w:tblW w:w="8256" w:type="dxa"/>
        <w:tblInd w:w="108" w:type="dxa"/>
        <w:tblBorders>
          <w:bottom w:val="single" w:sz="8" w:space="0" w:color="000080"/>
        </w:tblBorders>
        <w:tblLayout w:type="fixed"/>
        <w:tblLook w:val="04A0" w:firstRow="1" w:lastRow="0" w:firstColumn="1" w:lastColumn="0" w:noHBand="0" w:noVBand="1"/>
      </w:tblPr>
      <w:tblGrid>
        <w:gridCol w:w="3720"/>
        <w:gridCol w:w="4536"/>
      </w:tblGrid>
      <w:tr w:rsidR="00532D7B" w:rsidRPr="0027008B" w:rsidTr="00236AE4">
        <w:trPr>
          <w:trHeight w:val="1090"/>
        </w:trPr>
        <w:tc>
          <w:tcPr>
            <w:tcW w:w="3720" w:type="dxa"/>
            <w:tcBorders>
              <w:top w:val="nil"/>
              <w:left w:val="nil"/>
              <w:bottom w:val="single" w:sz="8" w:space="0" w:color="000080"/>
              <w:right w:val="nil"/>
            </w:tcBorders>
            <w:hideMark/>
          </w:tcPr>
          <w:p w:rsidR="00532D7B" w:rsidRPr="0027008B" w:rsidRDefault="00532D7B" w:rsidP="00307279">
            <w:pPr>
              <w:spacing w:beforeLines="50" w:before="156" w:afterLines="50" w:after="156"/>
              <w:rPr>
                <w:rFonts w:ascii="楷体_GB2312" w:eastAsia="楷体_GB2312" w:hAnsi="楷体" w:cs="Times New Roman"/>
                <w:sz w:val="24"/>
              </w:rPr>
            </w:pPr>
            <w:r w:rsidRPr="0027008B">
              <w:rPr>
                <w:rFonts w:ascii="楷体_GB2312" w:eastAsia="楷体_GB2312" w:hAnsi="楷体" w:cs="Times New Roman" w:hint="eastAsia"/>
                <w:b/>
                <w:sz w:val="24"/>
              </w:rPr>
              <w:t>点评机构：</w:t>
            </w:r>
            <w:r w:rsidRPr="0027008B">
              <w:rPr>
                <w:rFonts w:ascii="楷体_GB2312" w:eastAsia="楷体_GB2312" w:hAnsi="楷体" w:cs="Times New Roman" w:hint="eastAsia"/>
                <w:sz w:val="24"/>
              </w:rPr>
              <w:t>交通银行金融研究中心</w:t>
            </w:r>
          </w:p>
          <w:p w:rsidR="00532D7B" w:rsidRPr="0027008B" w:rsidRDefault="00532D7B" w:rsidP="00532D7B">
            <w:pPr>
              <w:rPr>
                <w:rFonts w:ascii="楷体_GB2312" w:eastAsia="楷体_GB2312" w:hAnsi="楷体" w:cs="Times New Roman"/>
                <w:b/>
                <w:sz w:val="24"/>
              </w:rPr>
            </w:pPr>
            <w:r w:rsidRPr="0027008B">
              <w:rPr>
                <w:rFonts w:ascii="楷体_GB2312" w:eastAsia="楷体_GB2312" w:hAnsi="楷体" w:cs="Times New Roman" w:hint="eastAsia"/>
                <w:b/>
                <w:sz w:val="24"/>
              </w:rPr>
              <w:t>联系方式：</w:t>
            </w:r>
            <w:r w:rsidR="00916CBA" w:rsidRPr="0027008B">
              <w:rPr>
                <w:rFonts w:ascii="楷体_GB2312" w:eastAsia="楷体_GB2312" w:hAnsi="楷体" w:cs="Times New Roman" w:hint="eastAsia"/>
                <w:sz w:val="24"/>
              </w:rPr>
              <w:t>xiadan@bankcomm.com</w:t>
            </w:r>
          </w:p>
        </w:tc>
        <w:tc>
          <w:tcPr>
            <w:tcW w:w="4536" w:type="dxa"/>
            <w:tcBorders>
              <w:top w:val="nil"/>
              <w:left w:val="nil"/>
              <w:bottom w:val="single" w:sz="8" w:space="0" w:color="000080"/>
              <w:right w:val="nil"/>
            </w:tcBorders>
            <w:hideMark/>
          </w:tcPr>
          <w:p w:rsidR="00916CBA" w:rsidRPr="0027008B" w:rsidRDefault="00532D7B" w:rsidP="00307279">
            <w:pPr>
              <w:spacing w:beforeLines="50" w:before="156"/>
              <w:ind w:firstLineChars="50" w:firstLine="120"/>
              <w:rPr>
                <w:rFonts w:ascii="楷体_GB2312" w:eastAsia="楷体_GB2312" w:hAnsi="楷体" w:cs="Times New Roman"/>
                <w:sz w:val="24"/>
              </w:rPr>
            </w:pPr>
            <w:r w:rsidRPr="0027008B">
              <w:rPr>
                <w:rFonts w:ascii="楷体_GB2312" w:eastAsia="楷体_GB2312" w:hAnsi="楷体" w:cs="Times New Roman" w:hint="eastAsia"/>
                <w:b/>
                <w:sz w:val="24"/>
              </w:rPr>
              <w:t>点评人员：</w:t>
            </w:r>
            <w:bookmarkStart w:id="1" w:name="OLE_LINK11"/>
            <w:bookmarkStart w:id="2" w:name="OLE_LINK12"/>
            <w:r w:rsidR="00916CBA" w:rsidRPr="0027008B">
              <w:rPr>
                <w:rFonts w:ascii="楷体_GB2312" w:eastAsia="楷体_GB2312" w:hAnsi="楷体" w:cs="Times New Roman" w:hint="eastAsia"/>
                <w:sz w:val="24"/>
              </w:rPr>
              <w:t>唐建伟（首席研究员）</w:t>
            </w:r>
          </w:p>
          <w:p w:rsidR="00532D7B" w:rsidRPr="0027008B" w:rsidRDefault="00532D7B" w:rsidP="00307279">
            <w:pPr>
              <w:spacing w:beforeLines="50" w:before="156"/>
              <w:ind w:firstLineChars="550" w:firstLine="1320"/>
              <w:rPr>
                <w:rFonts w:ascii="楷体_GB2312" w:eastAsia="楷体_GB2312" w:hAnsi="楷体" w:cs="Times New Roman"/>
                <w:sz w:val="24"/>
              </w:rPr>
            </w:pPr>
            <w:r w:rsidRPr="0027008B">
              <w:rPr>
                <w:rFonts w:ascii="楷体_GB2312" w:eastAsia="楷体_GB2312" w:hAnsi="楷体" w:cs="Times New Roman" w:hint="eastAsia"/>
                <w:sz w:val="24"/>
              </w:rPr>
              <w:t>夏</w:t>
            </w:r>
            <w:r w:rsidR="00236AE4">
              <w:rPr>
                <w:rFonts w:ascii="楷体_GB2312" w:eastAsia="楷体_GB2312" w:hAnsi="楷体" w:cs="Times New Roman" w:hint="eastAsia"/>
                <w:sz w:val="24"/>
              </w:rPr>
              <w:t xml:space="preserve"> </w:t>
            </w:r>
            <w:r w:rsidR="00236AE4">
              <w:rPr>
                <w:rFonts w:ascii="楷体_GB2312" w:eastAsia="楷体_GB2312" w:hAnsi="楷体" w:cs="Times New Roman"/>
                <w:sz w:val="24"/>
              </w:rPr>
              <w:t xml:space="preserve"> </w:t>
            </w:r>
            <w:r w:rsidRPr="0027008B">
              <w:rPr>
                <w:rFonts w:ascii="楷体_GB2312" w:eastAsia="楷体_GB2312" w:hAnsi="楷体" w:cs="Times New Roman" w:hint="eastAsia"/>
                <w:sz w:val="24"/>
              </w:rPr>
              <w:t>丹（</w:t>
            </w:r>
            <w:r w:rsidR="00AA7AED">
              <w:rPr>
                <w:rFonts w:ascii="楷体_GB2312" w:eastAsia="楷体_GB2312" w:hAnsi="楷体" w:cs="Times New Roman" w:hint="eastAsia"/>
                <w:sz w:val="24"/>
              </w:rPr>
              <w:t>首席房地产分析师</w:t>
            </w:r>
            <w:r w:rsidRPr="0027008B">
              <w:rPr>
                <w:rFonts w:ascii="楷体_GB2312" w:eastAsia="楷体_GB2312" w:hAnsi="楷体" w:cs="Times New Roman" w:hint="eastAsia"/>
                <w:sz w:val="24"/>
              </w:rPr>
              <w:t>）</w:t>
            </w:r>
            <w:bookmarkEnd w:id="1"/>
            <w:bookmarkEnd w:id="2"/>
          </w:p>
        </w:tc>
      </w:tr>
    </w:tbl>
    <w:p w:rsidR="009E1D83" w:rsidRPr="00532D7B" w:rsidRDefault="009E1D83" w:rsidP="009E1D83">
      <w:pPr>
        <w:spacing w:beforeLines="50" w:before="156"/>
        <w:ind w:firstLineChars="200" w:firstLine="560"/>
        <w:rPr>
          <w:rFonts w:ascii="黑体" w:eastAsia="黑体" w:hAnsi="黑体" w:cs="Times New Roman"/>
          <w:sz w:val="28"/>
          <w:szCs w:val="28"/>
        </w:rPr>
      </w:pPr>
      <w:r w:rsidRPr="00532D7B">
        <w:rPr>
          <w:rFonts w:ascii="黑体" w:eastAsia="黑体" w:hAnsi="黑体" w:cs="Times New Roman" w:hint="eastAsia"/>
          <w:sz w:val="28"/>
          <w:szCs w:val="28"/>
        </w:rPr>
        <w:t>观点摘要</w:t>
      </w:r>
    </w:p>
    <w:p w:rsidR="006B2C9C" w:rsidRDefault="007E0D91" w:rsidP="007E0D91">
      <w:pPr>
        <w:pStyle w:val="ad"/>
        <w:numPr>
          <w:ilvl w:val="0"/>
          <w:numId w:val="1"/>
        </w:numPr>
        <w:ind w:firstLineChars="0"/>
        <w:rPr>
          <w:rFonts w:ascii="楷体_GB2312" w:eastAsia="楷体_GB2312" w:hAnsi="仿宋"/>
          <w:sz w:val="28"/>
          <w:szCs w:val="28"/>
        </w:rPr>
      </w:pPr>
      <w:r w:rsidRPr="007E0D91">
        <w:rPr>
          <w:rFonts w:ascii="楷体_GB2312" w:eastAsia="楷体_GB2312" w:hAnsi="仿宋"/>
          <w:sz w:val="28"/>
          <w:szCs w:val="28"/>
        </w:rPr>
        <w:t>房价涨幅总体稳中趋缓，二手房</w:t>
      </w:r>
      <w:r w:rsidRPr="007E0D91">
        <w:rPr>
          <w:rFonts w:ascii="Times New Roman" w:eastAsia="楷体_GB2312" w:hAnsi="Times New Roman" w:cs="Times New Roman"/>
          <w:sz w:val="28"/>
          <w:szCs w:val="28"/>
        </w:rPr>
        <w:t>“</w:t>
      </w:r>
      <w:r w:rsidRPr="007E0D91">
        <w:rPr>
          <w:rFonts w:ascii="Times New Roman" w:eastAsia="楷体_GB2312" w:hAnsi="Times New Roman" w:cs="Times New Roman"/>
          <w:sz w:val="28"/>
          <w:szCs w:val="28"/>
        </w:rPr>
        <w:t>参考价</w:t>
      </w:r>
      <w:r w:rsidRPr="007E0D91">
        <w:rPr>
          <w:rFonts w:ascii="Times New Roman" w:eastAsia="楷体_GB2312" w:hAnsi="Times New Roman" w:cs="Times New Roman"/>
          <w:sz w:val="28"/>
          <w:szCs w:val="28"/>
        </w:rPr>
        <w:t>”</w:t>
      </w:r>
      <w:r w:rsidRPr="007E0D91">
        <w:rPr>
          <w:rFonts w:ascii="楷体_GB2312" w:eastAsia="楷体_GB2312" w:hAnsi="仿宋"/>
          <w:sz w:val="28"/>
          <w:szCs w:val="28"/>
        </w:rPr>
        <w:t>或在更多城市运用</w:t>
      </w:r>
    </w:p>
    <w:p w:rsidR="007E0D91" w:rsidRDefault="007E0D91" w:rsidP="007E0D91">
      <w:pPr>
        <w:pStyle w:val="ad"/>
        <w:numPr>
          <w:ilvl w:val="0"/>
          <w:numId w:val="1"/>
        </w:numPr>
        <w:ind w:firstLineChars="0"/>
        <w:rPr>
          <w:rFonts w:ascii="楷体_GB2312" w:eastAsia="楷体_GB2312" w:hAnsi="仿宋"/>
          <w:sz w:val="28"/>
          <w:szCs w:val="28"/>
        </w:rPr>
      </w:pPr>
      <w:r w:rsidRPr="007E0D91">
        <w:rPr>
          <w:rFonts w:ascii="楷体_GB2312" w:eastAsia="楷体_GB2312" w:hAnsi="仿宋"/>
          <w:sz w:val="28"/>
          <w:szCs w:val="28"/>
        </w:rPr>
        <w:t>市场成交增速回落，预计</w:t>
      </w:r>
      <w:proofErr w:type="gramStart"/>
      <w:r w:rsidRPr="007E0D91">
        <w:rPr>
          <w:rFonts w:ascii="楷体_GB2312" w:eastAsia="楷体_GB2312" w:hAnsi="仿宋"/>
          <w:sz w:val="28"/>
          <w:szCs w:val="28"/>
        </w:rPr>
        <w:t>降准影响</w:t>
      </w:r>
      <w:proofErr w:type="gramEnd"/>
      <w:r w:rsidRPr="007E0D91">
        <w:rPr>
          <w:rFonts w:ascii="楷体_GB2312" w:eastAsia="楷体_GB2312" w:hAnsi="仿宋"/>
          <w:sz w:val="28"/>
          <w:szCs w:val="28"/>
        </w:rPr>
        <w:t>有限、楼市成交继续降温</w:t>
      </w:r>
    </w:p>
    <w:p w:rsidR="007E0D91" w:rsidRPr="00BA344F" w:rsidRDefault="007E0D91" w:rsidP="007E0D91">
      <w:pPr>
        <w:pStyle w:val="ad"/>
        <w:numPr>
          <w:ilvl w:val="0"/>
          <w:numId w:val="1"/>
        </w:numPr>
        <w:ind w:firstLineChars="0"/>
        <w:rPr>
          <w:rFonts w:ascii="楷体_GB2312" w:eastAsia="楷体_GB2312" w:hAnsi="仿宋"/>
          <w:sz w:val="28"/>
          <w:szCs w:val="28"/>
        </w:rPr>
      </w:pPr>
      <w:r w:rsidRPr="007E0D91">
        <w:rPr>
          <w:rFonts w:ascii="楷体_GB2312" w:eastAsia="楷体_GB2312" w:hAnsi="仿宋"/>
          <w:sz w:val="28"/>
          <w:szCs w:val="28"/>
        </w:rPr>
        <w:t>施工提速</w:t>
      </w:r>
      <w:proofErr w:type="gramStart"/>
      <w:r w:rsidRPr="007E0D91">
        <w:rPr>
          <w:rFonts w:ascii="楷体_GB2312" w:eastAsia="楷体_GB2312" w:hAnsi="仿宋"/>
          <w:sz w:val="28"/>
          <w:szCs w:val="28"/>
        </w:rPr>
        <w:t>促投资</w:t>
      </w:r>
      <w:proofErr w:type="gramEnd"/>
      <w:r w:rsidRPr="007E0D91">
        <w:rPr>
          <w:rFonts w:ascii="楷体_GB2312" w:eastAsia="楷体_GB2312" w:hAnsi="仿宋"/>
          <w:sz w:val="28"/>
          <w:szCs w:val="28"/>
        </w:rPr>
        <w:t>稳增，预计7</w:t>
      </w:r>
      <w:r>
        <w:rPr>
          <w:rFonts w:ascii="楷体_GB2312" w:eastAsia="楷体_GB2312" w:hAnsi="仿宋"/>
          <w:sz w:val="28"/>
          <w:szCs w:val="28"/>
        </w:rPr>
        <w:t>月施工</w:t>
      </w:r>
      <w:r w:rsidRPr="007E0D91">
        <w:rPr>
          <w:rFonts w:ascii="楷体_GB2312" w:eastAsia="楷体_GB2312" w:hAnsi="仿宋"/>
          <w:sz w:val="28"/>
          <w:szCs w:val="28"/>
        </w:rPr>
        <w:t>入淡季、土地市场升温</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53"/>
        <w:gridCol w:w="4153"/>
      </w:tblGrid>
      <w:tr w:rsidR="00734185" w:rsidRPr="00CB2BB0" w:rsidTr="00734185">
        <w:tc>
          <w:tcPr>
            <w:tcW w:w="4153" w:type="dxa"/>
            <w:tcBorders>
              <w:top w:val="nil"/>
              <w:left w:val="nil"/>
              <w:bottom w:val="single" w:sz="4" w:space="0" w:color="000000"/>
              <w:right w:val="nil"/>
            </w:tcBorders>
          </w:tcPr>
          <w:p w:rsidR="00734185" w:rsidRPr="00532D7B" w:rsidRDefault="00734185" w:rsidP="00373AFD">
            <w:pPr>
              <w:widowControl/>
              <w:jc w:val="center"/>
              <w:rPr>
                <w:rFonts w:ascii="黑体" w:eastAsia="黑体" w:hAnsi="黑体" w:cs="Times New Roman"/>
                <w:color w:val="000000"/>
                <w:sz w:val="22"/>
                <w:szCs w:val="44"/>
              </w:rPr>
            </w:pPr>
          </w:p>
        </w:tc>
        <w:tc>
          <w:tcPr>
            <w:tcW w:w="4153" w:type="dxa"/>
            <w:tcBorders>
              <w:top w:val="nil"/>
              <w:left w:val="nil"/>
              <w:bottom w:val="single" w:sz="4" w:space="0" w:color="000000"/>
              <w:right w:val="nil"/>
            </w:tcBorders>
          </w:tcPr>
          <w:p w:rsidR="00734185" w:rsidRPr="00532D7B" w:rsidRDefault="00734185" w:rsidP="00373AFD">
            <w:pPr>
              <w:widowControl/>
              <w:jc w:val="center"/>
              <w:rPr>
                <w:rFonts w:ascii="黑体" w:eastAsia="黑体" w:hAnsi="黑体" w:cs="Times New Roman"/>
                <w:color w:val="000000"/>
                <w:sz w:val="22"/>
                <w:szCs w:val="44"/>
              </w:rPr>
            </w:pPr>
          </w:p>
        </w:tc>
      </w:tr>
    </w:tbl>
    <w:p w:rsidR="00CB2BB0" w:rsidRDefault="00CB2BB0" w:rsidP="001A5AF7">
      <w:pPr>
        <w:ind w:firstLineChars="200" w:firstLine="560"/>
        <w:rPr>
          <w:rFonts w:ascii="黑体" w:eastAsia="黑体" w:hAnsi="黑体" w:cs="Times New Roman"/>
          <w:sz w:val="28"/>
          <w:szCs w:val="28"/>
        </w:rPr>
      </w:pPr>
    </w:p>
    <w:p w:rsidR="009E1D83" w:rsidRDefault="009E1D83" w:rsidP="001A5AF7">
      <w:pPr>
        <w:ind w:firstLineChars="200" w:firstLine="560"/>
        <w:rPr>
          <w:rFonts w:ascii="黑体" w:eastAsia="黑体" w:hAnsi="黑体" w:cs="Times New Roman"/>
          <w:sz w:val="28"/>
          <w:szCs w:val="28"/>
        </w:rPr>
      </w:pPr>
      <w:r w:rsidRPr="00532D7B">
        <w:rPr>
          <w:rFonts w:ascii="黑体" w:eastAsia="黑体" w:hAnsi="黑体" w:cs="Times New Roman" w:hint="eastAsia"/>
          <w:sz w:val="28"/>
          <w:szCs w:val="28"/>
        </w:rPr>
        <w:t>正文</w:t>
      </w:r>
    </w:p>
    <w:p w:rsidR="006B2C9C" w:rsidRDefault="007E0D91" w:rsidP="006B2C9C">
      <w:pPr>
        <w:ind w:firstLineChars="200" w:firstLine="560"/>
        <w:rPr>
          <w:rFonts w:ascii="仿宋" w:eastAsia="仿宋" w:hAnsi="仿宋"/>
          <w:sz w:val="28"/>
          <w:szCs w:val="28"/>
        </w:rPr>
      </w:pPr>
      <w:r>
        <w:rPr>
          <w:rFonts w:ascii="仿宋" w:eastAsia="仿宋" w:hAnsi="仿宋"/>
          <w:sz w:val="28"/>
          <w:szCs w:val="28"/>
        </w:rPr>
        <w:t>7</w:t>
      </w:r>
      <w:r w:rsidR="006B2C9C">
        <w:rPr>
          <w:rFonts w:ascii="仿宋" w:eastAsia="仿宋" w:hAnsi="仿宋" w:hint="eastAsia"/>
          <w:sz w:val="28"/>
          <w:szCs w:val="28"/>
        </w:rPr>
        <w:t>月1</w:t>
      </w:r>
      <w:r>
        <w:rPr>
          <w:rFonts w:ascii="仿宋" w:eastAsia="仿宋" w:hAnsi="仿宋"/>
          <w:sz w:val="28"/>
          <w:szCs w:val="28"/>
        </w:rPr>
        <w:t>5</w:t>
      </w:r>
      <w:r w:rsidR="006B2C9C">
        <w:rPr>
          <w:rFonts w:ascii="仿宋" w:eastAsia="仿宋" w:hAnsi="仿宋" w:hint="eastAsia"/>
          <w:sz w:val="28"/>
          <w:szCs w:val="28"/>
        </w:rPr>
        <w:t>日</w:t>
      </w:r>
      <w:r w:rsidR="006B2C9C" w:rsidRPr="00F40019">
        <w:rPr>
          <w:rFonts w:ascii="仿宋" w:eastAsia="仿宋" w:hAnsi="仿宋" w:hint="eastAsia"/>
          <w:sz w:val="28"/>
          <w:szCs w:val="28"/>
        </w:rPr>
        <w:t>，</w:t>
      </w:r>
      <w:r w:rsidR="006B2C9C">
        <w:rPr>
          <w:rFonts w:ascii="仿宋" w:eastAsia="仿宋" w:hAnsi="仿宋" w:hint="eastAsia"/>
          <w:sz w:val="28"/>
          <w:szCs w:val="28"/>
        </w:rPr>
        <w:t>国家统计局</w:t>
      </w:r>
      <w:r>
        <w:rPr>
          <w:rFonts w:ascii="仿宋" w:eastAsia="仿宋" w:hAnsi="仿宋" w:hint="eastAsia"/>
          <w:sz w:val="28"/>
          <w:szCs w:val="28"/>
        </w:rPr>
        <w:t>分别</w:t>
      </w:r>
      <w:r w:rsidR="006B2C9C">
        <w:rPr>
          <w:rFonts w:ascii="仿宋" w:eastAsia="仿宋" w:hAnsi="仿宋" w:hint="eastAsia"/>
          <w:sz w:val="28"/>
          <w:szCs w:val="28"/>
        </w:rPr>
        <w:t>发布</w:t>
      </w:r>
      <w:r>
        <w:rPr>
          <w:rFonts w:ascii="仿宋" w:eastAsia="仿宋" w:hAnsi="仿宋"/>
          <w:sz w:val="28"/>
          <w:szCs w:val="28"/>
        </w:rPr>
        <w:t>6</w:t>
      </w:r>
      <w:r w:rsidRPr="00FE6601">
        <w:rPr>
          <w:rFonts w:ascii="仿宋" w:eastAsia="仿宋" w:hAnsi="仿宋"/>
          <w:sz w:val="28"/>
          <w:szCs w:val="28"/>
        </w:rPr>
        <w:t>月份70个大中城市商品住宅销售价格变动情况</w:t>
      </w:r>
      <w:r>
        <w:rPr>
          <w:rFonts w:ascii="仿宋" w:eastAsia="仿宋" w:hAnsi="仿宋" w:hint="eastAsia"/>
          <w:sz w:val="28"/>
          <w:szCs w:val="28"/>
        </w:rPr>
        <w:t>、</w:t>
      </w:r>
      <w:r w:rsidR="006B2C9C" w:rsidRPr="00FE6601">
        <w:rPr>
          <w:rFonts w:ascii="仿宋" w:eastAsia="仿宋" w:hAnsi="仿宋"/>
          <w:sz w:val="28"/>
          <w:szCs w:val="28"/>
        </w:rPr>
        <w:t>1</w:t>
      </w:r>
      <w:r w:rsidR="006B2C9C">
        <w:rPr>
          <w:rFonts w:ascii="仿宋" w:eastAsia="仿宋" w:hAnsi="仿宋" w:hint="eastAsia"/>
          <w:sz w:val="28"/>
          <w:szCs w:val="28"/>
        </w:rPr>
        <w:t>-</w:t>
      </w:r>
      <w:r>
        <w:rPr>
          <w:rFonts w:ascii="仿宋" w:eastAsia="仿宋" w:hAnsi="仿宋"/>
          <w:sz w:val="28"/>
          <w:szCs w:val="28"/>
        </w:rPr>
        <w:t>6</w:t>
      </w:r>
      <w:r w:rsidR="006B2C9C" w:rsidRPr="00FE6601">
        <w:rPr>
          <w:rFonts w:ascii="仿宋" w:eastAsia="仿宋" w:hAnsi="仿宋"/>
          <w:sz w:val="28"/>
          <w:szCs w:val="28"/>
        </w:rPr>
        <w:t>月份全国房地产开发投资和销售情况</w:t>
      </w:r>
      <w:r w:rsidR="006B2C9C">
        <w:rPr>
          <w:rFonts w:ascii="仿宋" w:eastAsia="仿宋" w:hAnsi="仿宋" w:hint="eastAsia"/>
          <w:sz w:val="28"/>
          <w:szCs w:val="28"/>
        </w:rPr>
        <w:t>，以下为本期数据点评。</w:t>
      </w:r>
    </w:p>
    <w:p w:rsidR="007E0D91" w:rsidRPr="007E0D91" w:rsidRDefault="007E0D91" w:rsidP="007E0D91">
      <w:pPr>
        <w:ind w:firstLineChars="200" w:firstLine="562"/>
        <w:rPr>
          <w:rFonts w:ascii="黑体" w:eastAsia="黑体" w:hAnsi="黑体" w:cs="Times New Roman"/>
          <w:b/>
          <w:sz w:val="28"/>
          <w:szCs w:val="28"/>
        </w:rPr>
      </w:pPr>
      <w:r w:rsidRPr="007E0D91">
        <w:rPr>
          <w:rFonts w:ascii="黑体" w:eastAsia="黑体" w:hAnsi="黑体" w:cs="Times New Roman" w:hint="eastAsia"/>
          <w:b/>
          <w:sz w:val="28"/>
          <w:szCs w:val="28"/>
        </w:rPr>
        <w:t>1、房价涨幅总体呈现稳中趋缓态势，</w:t>
      </w:r>
      <w:r>
        <w:rPr>
          <w:rFonts w:ascii="黑体" w:eastAsia="黑体" w:hAnsi="黑体" w:cs="Times New Roman" w:hint="eastAsia"/>
          <w:b/>
          <w:sz w:val="28"/>
          <w:szCs w:val="28"/>
        </w:rPr>
        <w:t>预计</w:t>
      </w:r>
      <w:r w:rsidRPr="007E0D91">
        <w:rPr>
          <w:rFonts w:ascii="黑体" w:eastAsia="黑体" w:hAnsi="黑体" w:cs="Times New Roman" w:hint="eastAsia"/>
          <w:b/>
          <w:sz w:val="28"/>
          <w:szCs w:val="28"/>
        </w:rPr>
        <w:t>二手房“参考价”机制或在更多城市运用。</w:t>
      </w:r>
    </w:p>
    <w:p w:rsidR="007E0D91" w:rsidRPr="007E0D91" w:rsidRDefault="007E0D91" w:rsidP="007E0D91">
      <w:pPr>
        <w:ind w:firstLineChars="200" w:firstLine="560"/>
        <w:rPr>
          <w:rFonts w:ascii="仿宋" w:eastAsia="仿宋" w:hAnsi="仿宋" w:cs="Times New Roman"/>
          <w:sz w:val="28"/>
          <w:szCs w:val="28"/>
        </w:rPr>
      </w:pPr>
      <w:r w:rsidRPr="007E0D91">
        <w:rPr>
          <w:rFonts w:ascii="仿宋" w:eastAsia="仿宋" w:hAnsi="仿宋" w:cs="Times New Roman" w:hint="eastAsia"/>
          <w:sz w:val="28"/>
          <w:szCs w:val="28"/>
        </w:rPr>
        <w:t>新房价格方面，6月70个大中</w:t>
      </w:r>
      <w:proofErr w:type="gramStart"/>
      <w:r w:rsidRPr="007E0D91">
        <w:rPr>
          <w:rFonts w:ascii="仿宋" w:eastAsia="仿宋" w:hAnsi="仿宋" w:cs="Times New Roman" w:hint="eastAsia"/>
          <w:sz w:val="28"/>
          <w:szCs w:val="28"/>
        </w:rPr>
        <w:t>城市环</w:t>
      </w:r>
      <w:proofErr w:type="gramEnd"/>
      <w:r w:rsidRPr="007E0D91">
        <w:rPr>
          <w:rFonts w:ascii="仿宋" w:eastAsia="仿宋" w:hAnsi="仿宋" w:cs="Times New Roman" w:hint="eastAsia"/>
          <w:sz w:val="28"/>
          <w:szCs w:val="28"/>
        </w:rPr>
        <w:t>比和同比增速分别为0.4%和4.3%，同时较上个月收窄，均属年内首次减速。其中，一线城市</w:t>
      </w:r>
      <w:proofErr w:type="gramStart"/>
      <w:r w:rsidRPr="007E0D91">
        <w:rPr>
          <w:rFonts w:ascii="仿宋" w:eastAsia="仿宋" w:hAnsi="仿宋" w:cs="Times New Roman" w:hint="eastAsia"/>
          <w:sz w:val="28"/>
          <w:szCs w:val="28"/>
        </w:rPr>
        <w:t>新房环</w:t>
      </w:r>
      <w:proofErr w:type="gramEnd"/>
      <w:r w:rsidRPr="007E0D91">
        <w:rPr>
          <w:rFonts w:ascii="仿宋" w:eastAsia="仿宋" w:hAnsi="仿宋" w:cs="Times New Roman" w:hint="eastAsia"/>
          <w:sz w:val="28"/>
          <w:szCs w:val="28"/>
        </w:rPr>
        <w:t>比同上月持平，同比微扩；二、三线</w:t>
      </w:r>
      <w:proofErr w:type="gramStart"/>
      <w:r w:rsidRPr="007E0D91">
        <w:rPr>
          <w:rFonts w:ascii="仿宋" w:eastAsia="仿宋" w:hAnsi="仿宋" w:cs="Times New Roman" w:hint="eastAsia"/>
          <w:sz w:val="28"/>
          <w:szCs w:val="28"/>
        </w:rPr>
        <w:t>城市环</w:t>
      </w:r>
      <w:proofErr w:type="gramEnd"/>
      <w:r w:rsidRPr="007E0D91">
        <w:rPr>
          <w:rFonts w:ascii="仿宋" w:eastAsia="仿宋" w:hAnsi="仿宋" w:cs="Times New Roman" w:hint="eastAsia"/>
          <w:sz w:val="28"/>
          <w:szCs w:val="28"/>
        </w:rPr>
        <w:t>同比涨幅均有缩小。二手房价格方面，70城环比和同比增速分别为0.3%和3.5%，与上月</w:t>
      </w:r>
      <w:r w:rsidRPr="007E0D91">
        <w:rPr>
          <w:rFonts w:ascii="仿宋" w:eastAsia="仿宋" w:hAnsi="仿宋" w:cs="Times New Roman" w:hint="eastAsia"/>
          <w:sz w:val="28"/>
          <w:szCs w:val="28"/>
        </w:rPr>
        <w:lastRenderedPageBreak/>
        <w:t>持平。其中，一线</w:t>
      </w:r>
      <w:proofErr w:type="gramStart"/>
      <w:r w:rsidRPr="007E0D91">
        <w:rPr>
          <w:rFonts w:ascii="仿宋" w:eastAsia="仿宋" w:hAnsi="仿宋" w:cs="Times New Roman" w:hint="eastAsia"/>
          <w:sz w:val="28"/>
          <w:szCs w:val="28"/>
        </w:rPr>
        <w:t>城市环比微</w:t>
      </w:r>
      <w:proofErr w:type="gramEnd"/>
      <w:r w:rsidRPr="007E0D91">
        <w:rPr>
          <w:rFonts w:ascii="仿宋" w:eastAsia="仿宋" w:hAnsi="仿宋" w:cs="Times New Roman" w:hint="eastAsia"/>
          <w:sz w:val="28"/>
          <w:szCs w:val="28"/>
        </w:rPr>
        <w:t>扩，</w:t>
      </w:r>
      <w:proofErr w:type="gramStart"/>
      <w:r w:rsidRPr="007E0D91">
        <w:rPr>
          <w:rFonts w:ascii="仿宋" w:eastAsia="仿宋" w:hAnsi="仿宋" w:cs="Times New Roman" w:hint="eastAsia"/>
          <w:sz w:val="28"/>
          <w:szCs w:val="28"/>
        </w:rPr>
        <w:t>同比收</w:t>
      </w:r>
      <w:proofErr w:type="gramEnd"/>
      <w:r w:rsidRPr="007E0D91">
        <w:rPr>
          <w:rFonts w:ascii="仿宋" w:eastAsia="仿宋" w:hAnsi="仿宋" w:cs="Times New Roman" w:hint="eastAsia"/>
          <w:sz w:val="28"/>
          <w:szCs w:val="28"/>
        </w:rPr>
        <w:t>窄，二、三线</w:t>
      </w:r>
      <w:proofErr w:type="gramStart"/>
      <w:r w:rsidRPr="007E0D91">
        <w:rPr>
          <w:rFonts w:ascii="仿宋" w:eastAsia="仿宋" w:hAnsi="仿宋" w:cs="Times New Roman" w:hint="eastAsia"/>
          <w:sz w:val="28"/>
          <w:szCs w:val="28"/>
        </w:rPr>
        <w:t>城市环</w:t>
      </w:r>
      <w:proofErr w:type="gramEnd"/>
      <w:r w:rsidRPr="007E0D91">
        <w:rPr>
          <w:rFonts w:ascii="仿宋" w:eastAsia="仿宋" w:hAnsi="仿宋" w:cs="Times New Roman" w:hint="eastAsia"/>
          <w:sz w:val="28"/>
          <w:szCs w:val="28"/>
        </w:rPr>
        <w:t>同比均与上月持平。</w:t>
      </w:r>
    </w:p>
    <w:p w:rsidR="007E0D91" w:rsidRPr="007E0D91" w:rsidRDefault="009F6A47" w:rsidP="007E0D91">
      <w:pPr>
        <w:ind w:firstLineChars="200" w:firstLine="560"/>
        <w:rPr>
          <w:rFonts w:ascii="仿宋" w:eastAsia="仿宋" w:hAnsi="仿宋" w:cs="Times New Roman"/>
          <w:sz w:val="28"/>
          <w:szCs w:val="28"/>
        </w:rPr>
      </w:pPr>
      <w:r>
        <w:rPr>
          <w:rFonts w:ascii="仿宋" w:eastAsia="仿宋" w:hAnsi="仿宋" w:cs="Times New Roman" w:hint="eastAsia"/>
          <w:sz w:val="28"/>
          <w:szCs w:val="28"/>
        </w:rPr>
        <w:t>在密集的调控政策出台之下，</w:t>
      </w:r>
      <w:r w:rsidRPr="009F6A47">
        <w:rPr>
          <w:rFonts w:ascii="仿宋" w:eastAsia="仿宋" w:hAnsi="仿宋" w:cs="Times New Roman" w:hint="eastAsia"/>
          <w:sz w:val="28"/>
          <w:szCs w:val="28"/>
        </w:rPr>
        <w:t>房价涨幅</w:t>
      </w:r>
      <w:r>
        <w:rPr>
          <w:rFonts w:ascii="仿宋" w:eastAsia="仿宋" w:hAnsi="仿宋" w:cs="Times New Roman" w:hint="eastAsia"/>
          <w:sz w:val="28"/>
          <w:szCs w:val="28"/>
        </w:rPr>
        <w:t>总体开始呈现出</w:t>
      </w:r>
      <w:r w:rsidRPr="009F6A47">
        <w:rPr>
          <w:rFonts w:ascii="仿宋" w:eastAsia="仿宋" w:hAnsi="仿宋" w:cs="Times New Roman" w:hint="eastAsia"/>
          <w:sz w:val="28"/>
          <w:szCs w:val="28"/>
        </w:rPr>
        <w:t>稳中趋缓态势</w:t>
      </w:r>
      <w:r>
        <w:rPr>
          <w:rFonts w:ascii="仿宋" w:eastAsia="仿宋" w:hAnsi="仿宋" w:cs="Times New Roman" w:hint="eastAsia"/>
          <w:sz w:val="28"/>
          <w:szCs w:val="28"/>
        </w:rPr>
        <w:t>。</w:t>
      </w:r>
      <w:r w:rsidR="007E0D91" w:rsidRPr="007E0D91">
        <w:rPr>
          <w:rFonts w:ascii="仿宋" w:eastAsia="仿宋" w:hAnsi="仿宋" w:cs="Times New Roman" w:hint="eastAsia"/>
          <w:sz w:val="28"/>
          <w:szCs w:val="28"/>
        </w:rPr>
        <w:t>相对于已实施限价的新房，随行就市的二手房价格管</w:t>
      </w:r>
      <w:proofErr w:type="gramStart"/>
      <w:r w:rsidR="007E0D91" w:rsidRPr="007E0D91">
        <w:rPr>
          <w:rFonts w:ascii="仿宋" w:eastAsia="仿宋" w:hAnsi="仿宋" w:cs="Times New Roman" w:hint="eastAsia"/>
          <w:sz w:val="28"/>
          <w:szCs w:val="28"/>
        </w:rPr>
        <w:t>控压力</w:t>
      </w:r>
      <w:proofErr w:type="gramEnd"/>
      <w:r w:rsidR="007E0D91" w:rsidRPr="007E0D91">
        <w:rPr>
          <w:rFonts w:ascii="仿宋" w:eastAsia="仿宋" w:hAnsi="仿宋" w:cs="Times New Roman" w:hint="eastAsia"/>
          <w:sz w:val="28"/>
          <w:szCs w:val="28"/>
        </w:rPr>
        <w:t>更大，其中也包含对学区房、</w:t>
      </w:r>
      <w:proofErr w:type="gramStart"/>
      <w:r w:rsidR="007E0D91" w:rsidRPr="007E0D91">
        <w:rPr>
          <w:rFonts w:ascii="仿宋" w:eastAsia="仿宋" w:hAnsi="仿宋" w:cs="Times New Roman" w:hint="eastAsia"/>
          <w:sz w:val="28"/>
          <w:szCs w:val="28"/>
        </w:rPr>
        <w:t>学位房</w:t>
      </w:r>
      <w:proofErr w:type="gramEnd"/>
      <w:r w:rsidR="007E0D91" w:rsidRPr="007E0D91">
        <w:rPr>
          <w:rFonts w:ascii="仿宋" w:eastAsia="仿宋" w:hAnsi="仿宋" w:cs="Times New Roman" w:hint="eastAsia"/>
          <w:sz w:val="28"/>
          <w:szCs w:val="28"/>
        </w:rPr>
        <w:t>炒作现象的整顿。近期多地加强二手房价格监管，</w:t>
      </w:r>
      <w:r w:rsidR="007E0D91" w:rsidRPr="007E0D91">
        <w:rPr>
          <w:rFonts w:ascii="仿宋" w:eastAsia="仿宋" w:hAnsi="仿宋" w:cs="Times New Roman" w:hint="eastAsia"/>
          <w:b/>
          <w:sz w:val="28"/>
          <w:szCs w:val="28"/>
        </w:rPr>
        <w:t>后续房价涨幅较大的城市很可能借鉴深圳率先推出的</w:t>
      </w:r>
      <w:proofErr w:type="gramStart"/>
      <w:r w:rsidR="007E0D91" w:rsidRPr="007E0D91">
        <w:rPr>
          <w:rFonts w:ascii="仿宋" w:eastAsia="仿宋" w:hAnsi="仿宋" w:cs="Times New Roman" w:hint="eastAsia"/>
          <w:b/>
          <w:sz w:val="28"/>
          <w:szCs w:val="28"/>
        </w:rPr>
        <w:t>二手住宅</w:t>
      </w:r>
      <w:proofErr w:type="gramEnd"/>
      <w:r w:rsidR="007E0D91" w:rsidRPr="007E0D91">
        <w:rPr>
          <w:rFonts w:ascii="仿宋" w:eastAsia="仿宋" w:hAnsi="仿宋" w:cs="Times New Roman" w:hint="eastAsia"/>
          <w:b/>
          <w:sz w:val="28"/>
          <w:szCs w:val="28"/>
        </w:rPr>
        <w:t>参考价格机制，通过金融渠道发挥效果</w:t>
      </w:r>
      <w:r w:rsidR="007E0D91" w:rsidRPr="007E0D91">
        <w:rPr>
          <w:rFonts w:ascii="仿宋" w:eastAsia="仿宋" w:hAnsi="仿宋" w:cs="Times New Roman" w:hint="eastAsia"/>
          <w:sz w:val="28"/>
          <w:szCs w:val="28"/>
        </w:rPr>
        <w:t>：实际成交价格仍按照双方约定，但若高于参考价格，则相应提升房贷首付比例。</w:t>
      </w:r>
      <w:r w:rsidR="007E0D91" w:rsidRPr="007E0D91">
        <w:rPr>
          <w:rFonts w:ascii="仿宋" w:eastAsia="仿宋" w:hAnsi="仿宋" w:cs="Times New Roman" w:hint="eastAsia"/>
          <w:b/>
          <w:sz w:val="28"/>
          <w:szCs w:val="28"/>
        </w:rPr>
        <w:t>二手房“参考价”与新房“限价令”搭配使用，</w:t>
      </w:r>
      <w:r w:rsidR="007E0D91">
        <w:rPr>
          <w:rFonts w:ascii="仿宋" w:eastAsia="仿宋" w:hAnsi="仿宋" w:cs="Times New Roman" w:hint="eastAsia"/>
          <w:b/>
          <w:sz w:val="28"/>
          <w:szCs w:val="28"/>
        </w:rPr>
        <w:t>将</w:t>
      </w:r>
      <w:r w:rsidR="007E0D91" w:rsidRPr="007E0D91">
        <w:rPr>
          <w:rFonts w:ascii="仿宋" w:eastAsia="仿宋" w:hAnsi="仿宋" w:cs="Times New Roman" w:hint="eastAsia"/>
          <w:b/>
          <w:sz w:val="28"/>
          <w:szCs w:val="28"/>
        </w:rPr>
        <w:t>有助于缓解两者房价倒挂现象。</w:t>
      </w:r>
    </w:p>
    <w:p w:rsidR="007E0D91" w:rsidRPr="007E0D91" w:rsidRDefault="007E0D91" w:rsidP="007E0D91">
      <w:pPr>
        <w:jc w:val="center"/>
        <w:rPr>
          <w:rFonts w:ascii="仿宋" w:eastAsia="仿宋" w:hAnsi="仿宋" w:cs="Times New Roman"/>
          <w:sz w:val="28"/>
          <w:szCs w:val="28"/>
        </w:rPr>
      </w:pPr>
      <w:r w:rsidRPr="007E0D91">
        <w:rPr>
          <w:rFonts w:ascii="仿宋" w:eastAsia="仿宋" w:hAnsi="仿宋" w:cs="Times New Roman"/>
          <w:noProof/>
          <w:sz w:val="28"/>
          <w:szCs w:val="28"/>
        </w:rPr>
        <w:drawing>
          <wp:inline distT="0" distB="0" distL="0" distR="0" wp14:anchorId="37A30F2D" wp14:editId="684FF121">
            <wp:extent cx="4956048" cy="2963992"/>
            <wp:effectExtent l="0" t="0" r="0" b="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956048" cy="2963992"/>
                    </a:xfrm>
                    <a:prstGeom prst="rect">
                      <a:avLst/>
                    </a:prstGeom>
                    <a:noFill/>
                    <a:ln>
                      <a:noFill/>
                    </a:ln>
                  </pic:spPr>
                </pic:pic>
              </a:graphicData>
            </a:graphic>
          </wp:inline>
        </w:drawing>
      </w:r>
    </w:p>
    <w:p w:rsidR="007E0D91" w:rsidRDefault="007E0D91" w:rsidP="007E0D91">
      <w:pPr>
        <w:jc w:val="center"/>
        <w:rPr>
          <w:rFonts w:ascii="仿宋" w:eastAsia="仿宋" w:hAnsi="仿宋" w:cs="Times New Roman"/>
          <w:sz w:val="24"/>
          <w:szCs w:val="28"/>
        </w:rPr>
      </w:pPr>
      <w:r w:rsidRPr="007E0D91">
        <w:rPr>
          <w:rFonts w:ascii="仿宋" w:eastAsia="仿宋" w:hAnsi="仿宋" w:cs="Times New Roman" w:hint="eastAsia"/>
          <w:sz w:val="24"/>
          <w:szCs w:val="28"/>
        </w:rPr>
        <w:t>数据来源：国家统计局，交行金研中心</w:t>
      </w:r>
    </w:p>
    <w:p w:rsidR="007E0D91" w:rsidRPr="007E0D91" w:rsidRDefault="007E0D91" w:rsidP="007E0D91">
      <w:pPr>
        <w:jc w:val="center"/>
        <w:rPr>
          <w:rFonts w:ascii="仿宋" w:eastAsia="仿宋" w:hAnsi="仿宋" w:cs="Times New Roman"/>
          <w:sz w:val="24"/>
          <w:szCs w:val="28"/>
        </w:rPr>
      </w:pPr>
    </w:p>
    <w:p w:rsidR="007E0D91" w:rsidRPr="007E0D91" w:rsidRDefault="007E0D91" w:rsidP="007E0D91">
      <w:pPr>
        <w:ind w:firstLineChars="200" w:firstLine="562"/>
        <w:rPr>
          <w:rFonts w:ascii="黑体" w:eastAsia="黑体" w:hAnsi="黑体" w:cs="Times New Roman"/>
          <w:b/>
          <w:sz w:val="28"/>
          <w:szCs w:val="28"/>
        </w:rPr>
      </w:pPr>
      <w:r w:rsidRPr="007E0D91">
        <w:rPr>
          <w:rFonts w:ascii="黑体" w:eastAsia="黑体" w:hAnsi="黑体" w:cs="Times New Roman" w:hint="eastAsia"/>
          <w:b/>
          <w:sz w:val="28"/>
          <w:szCs w:val="28"/>
        </w:rPr>
        <w:t>2、房地产市场成交增速回落，预计</w:t>
      </w:r>
      <w:proofErr w:type="gramStart"/>
      <w:r w:rsidRPr="007E0D91">
        <w:rPr>
          <w:rFonts w:ascii="黑体" w:eastAsia="黑体" w:hAnsi="黑体" w:cs="Times New Roman" w:hint="eastAsia"/>
          <w:b/>
          <w:sz w:val="28"/>
          <w:szCs w:val="28"/>
        </w:rPr>
        <w:t>降准影响</w:t>
      </w:r>
      <w:proofErr w:type="gramEnd"/>
      <w:r w:rsidRPr="007E0D91">
        <w:rPr>
          <w:rFonts w:ascii="黑体" w:eastAsia="黑体" w:hAnsi="黑体" w:cs="Times New Roman" w:hint="eastAsia"/>
          <w:b/>
          <w:sz w:val="28"/>
          <w:szCs w:val="28"/>
        </w:rPr>
        <w:t>有限、楼市成交继续降温</w:t>
      </w:r>
      <w:r>
        <w:rPr>
          <w:rFonts w:ascii="黑体" w:eastAsia="黑体" w:hAnsi="黑体" w:cs="Times New Roman" w:hint="eastAsia"/>
          <w:b/>
          <w:sz w:val="28"/>
          <w:szCs w:val="28"/>
        </w:rPr>
        <w:t>。</w:t>
      </w:r>
    </w:p>
    <w:p w:rsidR="007E0D91" w:rsidRPr="007E0D91" w:rsidRDefault="007E0D91" w:rsidP="007E0D91">
      <w:pPr>
        <w:ind w:firstLineChars="200" w:firstLine="560"/>
        <w:rPr>
          <w:rFonts w:ascii="仿宋" w:eastAsia="仿宋" w:hAnsi="仿宋" w:cs="Times New Roman"/>
          <w:sz w:val="28"/>
          <w:szCs w:val="28"/>
        </w:rPr>
      </w:pPr>
      <w:r w:rsidRPr="007E0D91">
        <w:rPr>
          <w:rFonts w:ascii="仿宋" w:eastAsia="仿宋" w:hAnsi="仿宋" w:cs="Times New Roman" w:hint="eastAsia"/>
          <w:sz w:val="28"/>
          <w:szCs w:val="28"/>
        </w:rPr>
        <w:t>1-6月份，商品房销售面积88635万平方米，同比增长27.7%；</w:t>
      </w:r>
      <w:r w:rsidRPr="007E0D91">
        <w:rPr>
          <w:rFonts w:ascii="仿宋" w:eastAsia="仿宋" w:hAnsi="仿宋" w:cs="Times New Roman" w:hint="eastAsia"/>
          <w:sz w:val="28"/>
          <w:szCs w:val="28"/>
        </w:rPr>
        <w:lastRenderedPageBreak/>
        <w:t>比2019年1-6月份增长17.0%，两年平均增长8.1%。商品房销售额92931亿元，增长38.9%；比2019年1-6月份增长31.4%，两年平均增长14.7%。</w:t>
      </w:r>
    </w:p>
    <w:p w:rsidR="007E0D91" w:rsidRPr="007E0D91" w:rsidRDefault="007E0D91" w:rsidP="007E0D91">
      <w:pPr>
        <w:ind w:firstLineChars="200" w:firstLine="560"/>
        <w:rPr>
          <w:rFonts w:ascii="仿宋" w:eastAsia="仿宋" w:hAnsi="仿宋" w:cs="Times New Roman"/>
          <w:b/>
          <w:sz w:val="28"/>
          <w:szCs w:val="28"/>
        </w:rPr>
      </w:pPr>
      <w:r w:rsidRPr="007E0D91">
        <w:rPr>
          <w:rFonts w:ascii="仿宋" w:eastAsia="仿宋" w:hAnsi="仿宋" w:cs="Times New Roman" w:hint="eastAsia"/>
          <w:sz w:val="28"/>
          <w:szCs w:val="28"/>
        </w:rPr>
        <w:t>成交各项增速继续回落，是今年</w:t>
      </w:r>
      <w:proofErr w:type="gramStart"/>
      <w:r w:rsidRPr="007E0D91">
        <w:rPr>
          <w:rFonts w:ascii="仿宋" w:eastAsia="仿宋" w:hAnsi="仿宋" w:cs="Times New Roman" w:hint="eastAsia"/>
          <w:sz w:val="28"/>
          <w:szCs w:val="28"/>
        </w:rPr>
        <w:t>以来房企</w:t>
      </w:r>
      <w:proofErr w:type="gramEnd"/>
      <w:r w:rsidRPr="007E0D91">
        <w:rPr>
          <w:rFonts w:ascii="仿宋" w:eastAsia="仿宋" w:hAnsi="仿宋" w:cs="Times New Roman" w:hint="eastAsia"/>
          <w:sz w:val="28"/>
          <w:szCs w:val="28"/>
        </w:rPr>
        <w:t>“三道红线”、银行“两个占比”、严控经营</w:t>
      </w:r>
      <w:proofErr w:type="gramStart"/>
      <w:r w:rsidRPr="007E0D91">
        <w:rPr>
          <w:rFonts w:ascii="仿宋" w:eastAsia="仿宋" w:hAnsi="仿宋" w:cs="Times New Roman" w:hint="eastAsia"/>
          <w:sz w:val="28"/>
          <w:szCs w:val="28"/>
        </w:rPr>
        <w:t>贷入楼市</w:t>
      </w:r>
      <w:proofErr w:type="gramEnd"/>
      <w:r w:rsidRPr="007E0D91">
        <w:rPr>
          <w:rFonts w:ascii="仿宋" w:eastAsia="仿宋" w:hAnsi="仿宋" w:cs="Times New Roman" w:hint="eastAsia"/>
          <w:sz w:val="28"/>
          <w:szCs w:val="28"/>
        </w:rPr>
        <w:t>这“三重门”的效果显现。虽然7月央行进行了0.5个百分点的全面降准，</w:t>
      </w:r>
      <w:proofErr w:type="gramStart"/>
      <w:r w:rsidRPr="007E0D91">
        <w:rPr>
          <w:rFonts w:ascii="仿宋" w:eastAsia="仿宋" w:hAnsi="仿宋" w:cs="Times New Roman" w:hint="eastAsia"/>
          <w:sz w:val="28"/>
          <w:szCs w:val="28"/>
        </w:rPr>
        <w:t>但</w:t>
      </w:r>
      <w:r w:rsidRPr="007E0D91">
        <w:rPr>
          <w:rFonts w:ascii="仿宋" w:eastAsia="仿宋" w:hAnsi="仿宋" w:cs="Times New Roman" w:hint="eastAsia"/>
          <w:b/>
          <w:sz w:val="28"/>
          <w:szCs w:val="28"/>
        </w:rPr>
        <w:t>降准释放</w:t>
      </w:r>
      <w:proofErr w:type="gramEnd"/>
      <w:r w:rsidRPr="007E0D91">
        <w:rPr>
          <w:rFonts w:ascii="仿宋" w:eastAsia="仿宋" w:hAnsi="仿宋" w:cs="Times New Roman" w:hint="eastAsia"/>
          <w:b/>
          <w:sz w:val="28"/>
          <w:szCs w:val="28"/>
        </w:rPr>
        <w:t>的流动性不一定能通过房地产融资管控的“三重门”。</w:t>
      </w:r>
      <w:r w:rsidRPr="007E0D91">
        <w:rPr>
          <w:rFonts w:ascii="仿宋" w:eastAsia="仿宋" w:hAnsi="仿宋" w:cs="Times New Roman" w:hint="eastAsia"/>
          <w:sz w:val="28"/>
          <w:szCs w:val="28"/>
        </w:rPr>
        <w:t>统计局数据显示，开发企业</w:t>
      </w:r>
      <w:proofErr w:type="gramStart"/>
      <w:r w:rsidRPr="007E0D91">
        <w:rPr>
          <w:rFonts w:ascii="仿宋" w:eastAsia="仿宋" w:hAnsi="仿宋" w:cs="Times New Roman" w:hint="eastAsia"/>
          <w:sz w:val="28"/>
          <w:szCs w:val="28"/>
        </w:rPr>
        <w:t>端收到</w:t>
      </w:r>
      <w:proofErr w:type="gramEnd"/>
      <w:r w:rsidRPr="007E0D91">
        <w:rPr>
          <w:rFonts w:ascii="仿宋" w:eastAsia="仿宋" w:hAnsi="仿宋" w:cs="Times New Roman" w:hint="eastAsia"/>
          <w:sz w:val="28"/>
          <w:szCs w:val="28"/>
        </w:rPr>
        <w:t>的开发贷和按揭</w:t>
      </w:r>
      <w:proofErr w:type="gramStart"/>
      <w:r w:rsidRPr="007E0D91">
        <w:rPr>
          <w:rFonts w:ascii="仿宋" w:eastAsia="仿宋" w:hAnsi="仿宋" w:cs="Times New Roman" w:hint="eastAsia"/>
          <w:sz w:val="28"/>
          <w:szCs w:val="28"/>
        </w:rPr>
        <w:t>贷明显</w:t>
      </w:r>
      <w:proofErr w:type="gramEnd"/>
      <w:r w:rsidRPr="007E0D91">
        <w:rPr>
          <w:rFonts w:ascii="仿宋" w:eastAsia="仿宋" w:hAnsi="仿宋" w:cs="Times New Roman" w:hint="eastAsia"/>
          <w:sz w:val="28"/>
          <w:szCs w:val="28"/>
        </w:rPr>
        <w:t>收紧，增速分别降至-2.4%和23.9%；另由央行数据显示，6月末个人住房贷款余额增速进一步降低至13%。从房贷利率来看，自1月现拐点后，2月起首套和二套房贷利率连续上扬。房地产融资环境已经较严，叠加各地陆续强化调控，</w:t>
      </w:r>
      <w:proofErr w:type="gramStart"/>
      <w:r w:rsidRPr="007E0D91">
        <w:rPr>
          <w:rFonts w:ascii="仿宋" w:eastAsia="仿宋" w:hAnsi="仿宋" w:cs="Times New Roman" w:hint="eastAsia"/>
          <w:b/>
          <w:sz w:val="28"/>
          <w:szCs w:val="28"/>
        </w:rPr>
        <w:t>预计降准对</w:t>
      </w:r>
      <w:proofErr w:type="gramEnd"/>
      <w:r w:rsidRPr="007E0D91">
        <w:rPr>
          <w:rFonts w:ascii="仿宋" w:eastAsia="仿宋" w:hAnsi="仿宋" w:cs="Times New Roman" w:hint="eastAsia"/>
          <w:b/>
          <w:sz w:val="28"/>
          <w:szCs w:val="28"/>
        </w:rPr>
        <w:t>房地产行业的影响有限，后续市场成交仍将继续降温。</w:t>
      </w:r>
    </w:p>
    <w:p w:rsidR="007E0D91" w:rsidRDefault="007E0D91" w:rsidP="007E0D91">
      <w:pPr>
        <w:jc w:val="center"/>
        <w:rPr>
          <w:rFonts w:ascii="仿宋" w:eastAsia="仿宋" w:hAnsi="仿宋" w:cs="Times New Roman"/>
          <w:sz w:val="28"/>
          <w:szCs w:val="28"/>
        </w:rPr>
      </w:pPr>
      <w:r w:rsidRPr="007E0D91">
        <w:rPr>
          <w:rFonts w:ascii="仿宋" w:eastAsia="仿宋" w:hAnsi="仿宋" w:cs="Times New Roman"/>
          <w:noProof/>
          <w:sz w:val="28"/>
          <w:szCs w:val="28"/>
        </w:rPr>
        <w:drawing>
          <wp:inline distT="0" distB="0" distL="0" distR="0" wp14:anchorId="0589FC21" wp14:editId="34632377">
            <wp:extent cx="5312664" cy="2792491"/>
            <wp:effectExtent l="0" t="0" r="2540" b="8255"/>
            <wp:docPr id="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15804" cy="2794141"/>
                    </a:xfrm>
                    <a:prstGeom prst="rect">
                      <a:avLst/>
                    </a:prstGeom>
                    <a:noFill/>
                    <a:ln>
                      <a:noFill/>
                    </a:ln>
                  </pic:spPr>
                </pic:pic>
              </a:graphicData>
            </a:graphic>
          </wp:inline>
        </w:drawing>
      </w:r>
    </w:p>
    <w:p w:rsidR="007E0D91" w:rsidRPr="007E0D91" w:rsidRDefault="007E0D91" w:rsidP="007E0D91">
      <w:pPr>
        <w:jc w:val="center"/>
        <w:rPr>
          <w:rFonts w:ascii="仿宋" w:eastAsia="仿宋" w:hAnsi="仿宋" w:cs="Times New Roman"/>
          <w:sz w:val="24"/>
          <w:szCs w:val="28"/>
        </w:rPr>
      </w:pPr>
      <w:r w:rsidRPr="007E0D91">
        <w:rPr>
          <w:rFonts w:ascii="仿宋" w:eastAsia="仿宋" w:hAnsi="仿宋" w:cs="Times New Roman" w:hint="eastAsia"/>
          <w:sz w:val="24"/>
          <w:szCs w:val="28"/>
        </w:rPr>
        <w:t>数据来源：国家统计局，交行金研中心</w:t>
      </w:r>
    </w:p>
    <w:p w:rsidR="007E0D91" w:rsidRPr="007E0D91" w:rsidRDefault="007E0D91" w:rsidP="007E0D91">
      <w:pPr>
        <w:jc w:val="center"/>
        <w:rPr>
          <w:rFonts w:ascii="仿宋" w:eastAsia="仿宋" w:hAnsi="仿宋" w:cs="Times New Roman"/>
          <w:sz w:val="28"/>
          <w:szCs w:val="28"/>
        </w:rPr>
      </w:pPr>
    </w:p>
    <w:p w:rsidR="007E0D91" w:rsidRDefault="007E0D91" w:rsidP="007E0D91">
      <w:pPr>
        <w:jc w:val="center"/>
        <w:rPr>
          <w:rFonts w:ascii="仿宋" w:eastAsia="仿宋" w:hAnsi="仿宋" w:cs="Times New Roman"/>
          <w:sz w:val="28"/>
          <w:szCs w:val="28"/>
        </w:rPr>
      </w:pPr>
      <w:r w:rsidRPr="007E0D91">
        <w:rPr>
          <w:rFonts w:ascii="仿宋" w:eastAsia="仿宋" w:hAnsi="仿宋" w:cs="Times New Roman"/>
          <w:noProof/>
          <w:sz w:val="28"/>
          <w:szCs w:val="28"/>
        </w:rPr>
        <w:lastRenderedPageBreak/>
        <w:drawing>
          <wp:inline distT="0" distB="0" distL="0" distR="0" wp14:anchorId="199A3C1B" wp14:editId="7DA7290E">
            <wp:extent cx="4864608" cy="291876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865980" cy="2919588"/>
                    </a:xfrm>
                    <a:prstGeom prst="rect">
                      <a:avLst/>
                    </a:prstGeom>
                    <a:noFill/>
                    <a:ln>
                      <a:noFill/>
                    </a:ln>
                  </pic:spPr>
                </pic:pic>
              </a:graphicData>
            </a:graphic>
          </wp:inline>
        </w:drawing>
      </w:r>
    </w:p>
    <w:p w:rsidR="007E0D91" w:rsidRDefault="007E0D91" w:rsidP="007E0D91">
      <w:pPr>
        <w:jc w:val="center"/>
        <w:rPr>
          <w:rFonts w:ascii="仿宋" w:eastAsia="仿宋" w:hAnsi="仿宋" w:cs="Times New Roman"/>
          <w:sz w:val="24"/>
          <w:szCs w:val="28"/>
        </w:rPr>
      </w:pPr>
      <w:r w:rsidRPr="007E0D91">
        <w:rPr>
          <w:rFonts w:ascii="仿宋" w:eastAsia="仿宋" w:hAnsi="仿宋" w:cs="Times New Roman" w:hint="eastAsia"/>
          <w:sz w:val="24"/>
          <w:szCs w:val="28"/>
        </w:rPr>
        <w:t>数据来源：融3</w:t>
      </w:r>
      <w:r w:rsidRPr="007E0D91">
        <w:rPr>
          <w:rFonts w:ascii="仿宋" w:eastAsia="仿宋" w:hAnsi="仿宋" w:cs="Times New Roman"/>
          <w:sz w:val="24"/>
          <w:szCs w:val="28"/>
        </w:rPr>
        <w:t>60</w:t>
      </w:r>
      <w:r w:rsidRPr="007E0D91">
        <w:rPr>
          <w:rFonts w:ascii="仿宋" w:eastAsia="仿宋" w:hAnsi="仿宋" w:cs="Times New Roman" w:hint="eastAsia"/>
          <w:sz w:val="24"/>
          <w:szCs w:val="28"/>
        </w:rPr>
        <w:t>，交行金研中心</w:t>
      </w:r>
    </w:p>
    <w:p w:rsidR="007E0D91" w:rsidRPr="007E0D91" w:rsidRDefault="007E0D91" w:rsidP="007E0D91">
      <w:pPr>
        <w:jc w:val="center"/>
        <w:rPr>
          <w:rFonts w:ascii="仿宋" w:eastAsia="仿宋" w:hAnsi="仿宋" w:cs="Times New Roman"/>
          <w:sz w:val="24"/>
          <w:szCs w:val="28"/>
        </w:rPr>
      </w:pPr>
    </w:p>
    <w:p w:rsidR="007E0D91" w:rsidRPr="007E0D91" w:rsidRDefault="007E0D91" w:rsidP="007E0D91">
      <w:pPr>
        <w:ind w:firstLineChars="200" w:firstLine="562"/>
        <w:rPr>
          <w:rFonts w:ascii="黑体" w:eastAsia="黑体" w:hAnsi="黑体" w:cs="Times New Roman"/>
          <w:b/>
          <w:sz w:val="28"/>
          <w:szCs w:val="28"/>
        </w:rPr>
      </w:pPr>
      <w:r w:rsidRPr="007E0D91">
        <w:rPr>
          <w:rFonts w:ascii="黑体" w:eastAsia="黑体" w:hAnsi="黑体" w:cs="Times New Roman" w:hint="eastAsia"/>
          <w:b/>
          <w:sz w:val="28"/>
          <w:szCs w:val="28"/>
        </w:rPr>
        <w:t>3、房屋施工提速促开发投资稳增，预计7月施工进入淡季、土地市场升温</w:t>
      </w:r>
      <w:r>
        <w:rPr>
          <w:rFonts w:ascii="黑体" w:eastAsia="黑体" w:hAnsi="黑体" w:cs="Times New Roman" w:hint="eastAsia"/>
          <w:b/>
          <w:sz w:val="28"/>
          <w:szCs w:val="28"/>
        </w:rPr>
        <w:t>。</w:t>
      </w:r>
    </w:p>
    <w:p w:rsidR="007E0D91" w:rsidRPr="007E0D91" w:rsidRDefault="007E0D91" w:rsidP="007E0D91">
      <w:pPr>
        <w:ind w:firstLineChars="200" w:firstLine="560"/>
        <w:rPr>
          <w:rFonts w:ascii="仿宋" w:eastAsia="仿宋" w:hAnsi="仿宋" w:cs="Times New Roman"/>
          <w:sz w:val="28"/>
          <w:szCs w:val="28"/>
        </w:rPr>
      </w:pPr>
      <w:r w:rsidRPr="007E0D91">
        <w:rPr>
          <w:rFonts w:ascii="仿宋" w:eastAsia="仿宋" w:hAnsi="仿宋" w:cs="Times New Roman" w:hint="eastAsia"/>
          <w:sz w:val="28"/>
          <w:szCs w:val="28"/>
        </w:rPr>
        <w:t>1-6月份，全国房地产开发投资72179亿元，同比增长15.0%；比2019年1-6月份增长17.2%，两年平均增长8.2%，两年平均增速较上月有所下降。房地产开发投资的韧劲主要来自于施工面积坚挺，1-6月份开发企业房屋施工面积873251万平方米，同比增长10.2%，两年复合增速6.34%，均较上月有所提高。</w:t>
      </w:r>
    </w:p>
    <w:p w:rsidR="007E0D91" w:rsidRPr="007E0D91" w:rsidRDefault="007E0D91" w:rsidP="007E0D91">
      <w:pPr>
        <w:ind w:firstLineChars="200" w:firstLine="560"/>
        <w:rPr>
          <w:rFonts w:ascii="仿宋" w:eastAsia="仿宋" w:hAnsi="仿宋" w:cs="Times New Roman"/>
          <w:sz w:val="28"/>
          <w:szCs w:val="28"/>
        </w:rPr>
      </w:pPr>
      <w:r w:rsidRPr="007E0D91">
        <w:rPr>
          <w:rFonts w:ascii="仿宋" w:eastAsia="仿宋" w:hAnsi="仿宋" w:cs="Times New Roman" w:hint="eastAsia"/>
          <w:sz w:val="28"/>
          <w:szCs w:val="28"/>
        </w:rPr>
        <w:t>土地成交方面，1-6月份开发企业土地购置面积7021万平方米，同比下降11.8%，降幅继续扩大；土地成交价款3808亿元，下降5.7%，降幅较大程度缩窄。单月土地成交面积不及往年同期，但成交价款却创历年同期新高，这可能与拿</w:t>
      </w:r>
      <w:proofErr w:type="gramStart"/>
      <w:r w:rsidRPr="007E0D91">
        <w:rPr>
          <w:rFonts w:ascii="仿宋" w:eastAsia="仿宋" w:hAnsi="仿宋" w:cs="Times New Roman" w:hint="eastAsia"/>
          <w:sz w:val="28"/>
          <w:szCs w:val="28"/>
        </w:rPr>
        <w:t>地结构</w:t>
      </w:r>
      <w:proofErr w:type="gramEnd"/>
      <w:r w:rsidRPr="007E0D91">
        <w:rPr>
          <w:rFonts w:ascii="仿宋" w:eastAsia="仿宋" w:hAnsi="仿宋" w:cs="Times New Roman" w:hint="eastAsia"/>
          <w:sz w:val="28"/>
          <w:szCs w:val="28"/>
        </w:rPr>
        <w:t>的变化有关。今年以来三线城市土地成交面积占</w:t>
      </w:r>
      <w:proofErr w:type="gramStart"/>
      <w:r w:rsidRPr="007E0D91">
        <w:rPr>
          <w:rFonts w:ascii="仿宋" w:eastAsia="仿宋" w:hAnsi="仿宋" w:cs="Times New Roman" w:hint="eastAsia"/>
          <w:sz w:val="28"/>
          <w:szCs w:val="28"/>
        </w:rPr>
        <w:t>比持续</w:t>
      </w:r>
      <w:proofErr w:type="gramEnd"/>
      <w:r w:rsidRPr="007E0D91">
        <w:rPr>
          <w:rFonts w:ascii="仿宋" w:eastAsia="仿宋" w:hAnsi="仿宋" w:cs="Times New Roman" w:hint="eastAsia"/>
          <w:sz w:val="28"/>
          <w:szCs w:val="28"/>
        </w:rPr>
        <w:t>下降，截至6月末在100个大中城市中的比例跌破50%。</w:t>
      </w:r>
    </w:p>
    <w:p w:rsidR="007E0D91" w:rsidRPr="007E0D91" w:rsidRDefault="007E0D91" w:rsidP="007E0D91">
      <w:pPr>
        <w:ind w:firstLineChars="200" w:firstLine="562"/>
        <w:rPr>
          <w:rFonts w:ascii="仿宋" w:eastAsia="仿宋" w:hAnsi="仿宋" w:cs="Times New Roman"/>
          <w:b/>
          <w:sz w:val="28"/>
          <w:szCs w:val="28"/>
        </w:rPr>
      </w:pPr>
      <w:r w:rsidRPr="007E0D91">
        <w:rPr>
          <w:rFonts w:ascii="仿宋" w:eastAsia="仿宋" w:hAnsi="仿宋" w:cs="Times New Roman" w:hint="eastAsia"/>
          <w:b/>
          <w:sz w:val="28"/>
          <w:szCs w:val="28"/>
        </w:rPr>
        <w:lastRenderedPageBreak/>
        <w:t>预计7月份，房屋施工相对进入淡季，而重点城市将迎来第二波“两集中”供地，可能带动土地市场整体成交热度提升，房地产开发投资仍有支撑。</w:t>
      </w:r>
    </w:p>
    <w:p w:rsidR="007E0D91" w:rsidRDefault="007E0D91" w:rsidP="007E0D91">
      <w:pPr>
        <w:jc w:val="center"/>
        <w:rPr>
          <w:rFonts w:ascii="仿宋" w:eastAsia="仿宋" w:hAnsi="仿宋" w:cs="Times New Roman"/>
          <w:sz w:val="28"/>
          <w:szCs w:val="28"/>
        </w:rPr>
      </w:pPr>
      <w:r w:rsidRPr="007E0D91">
        <w:rPr>
          <w:rFonts w:ascii="仿宋" w:eastAsia="仿宋" w:hAnsi="仿宋" w:cs="Times New Roman"/>
          <w:noProof/>
          <w:sz w:val="28"/>
          <w:szCs w:val="28"/>
        </w:rPr>
        <w:drawing>
          <wp:inline distT="0" distB="0" distL="0" distR="0" wp14:anchorId="4D00A18A" wp14:editId="66E6072B">
            <wp:extent cx="4471416" cy="2682849"/>
            <wp:effectExtent l="0" t="0" r="5715" b="3810"/>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78186" cy="2686911"/>
                    </a:xfrm>
                    <a:prstGeom prst="rect">
                      <a:avLst/>
                    </a:prstGeom>
                    <a:noFill/>
                    <a:ln>
                      <a:noFill/>
                    </a:ln>
                  </pic:spPr>
                </pic:pic>
              </a:graphicData>
            </a:graphic>
          </wp:inline>
        </w:drawing>
      </w:r>
    </w:p>
    <w:p w:rsidR="007E0D91" w:rsidRPr="007E0D91" w:rsidRDefault="007E0D91" w:rsidP="007E0D91">
      <w:pPr>
        <w:jc w:val="center"/>
        <w:rPr>
          <w:rFonts w:ascii="仿宋" w:eastAsia="仿宋" w:hAnsi="仿宋" w:cs="Times New Roman"/>
          <w:sz w:val="24"/>
          <w:szCs w:val="28"/>
        </w:rPr>
      </w:pPr>
      <w:r w:rsidRPr="007E0D91">
        <w:rPr>
          <w:rFonts w:ascii="仿宋" w:eastAsia="仿宋" w:hAnsi="仿宋" w:cs="Times New Roman" w:hint="eastAsia"/>
          <w:sz w:val="24"/>
          <w:szCs w:val="28"/>
        </w:rPr>
        <w:t>数据来源：国家统计局，交行金研中心</w:t>
      </w:r>
    </w:p>
    <w:p w:rsidR="007E0D91" w:rsidRPr="007E0D91" w:rsidRDefault="007E0D91" w:rsidP="007E0D91">
      <w:pPr>
        <w:jc w:val="center"/>
        <w:rPr>
          <w:rFonts w:ascii="仿宋" w:eastAsia="仿宋" w:hAnsi="仿宋" w:cs="Times New Roman"/>
          <w:sz w:val="28"/>
          <w:szCs w:val="28"/>
        </w:rPr>
      </w:pPr>
      <w:r w:rsidRPr="007E0D91">
        <w:rPr>
          <w:rFonts w:ascii="仿宋" w:eastAsia="仿宋" w:hAnsi="仿宋" w:cs="Times New Roman"/>
          <w:noProof/>
          <w:sz w:val="28"/>
          <w:szCs w:val="28"/>
        </w:rPr>
        <w:drawing>
          <wp:inline distT="0" distB="0" distL="0" distR="0" wp14:anchorId="2C41FAC8" wp14:editId="7AA77DA3">
            <wp:extent cx="4517136" cy="2710282"/>
            <wp:effectExtent l="0" t="0" r="0" b="0"/>
            <wp:docPr id="1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517136" cy="2710282"/>
                    </a:xfrm>
                    <a:prstGeom prst="rect">
                      <a:avLst/>
                    </a:prstGeom>
                    <a:noFill/>
                    <a:ln>
                      <a:noFill/>
                    </a:ln>
                  </pic:spPr>
                </pic:pic>
              </a:graphicData>
            </a:graphic>
          </wp:inline>
        </w:drawing>
      </w:r>
    </w:p>
    <w:p w:rsidR="007E0D91" w:rsidRPr="007E0D91" w:rsidRDefault="007E0D91" w:rsidP="007E0D91">
      <w:pPr>
        <w:jc w:val="center"/>
        <w:rPr>
          <w:rFonts w:ascii="仿宋" w:eastAsia="仿宋" w:hAnsi="仿宋" w:cs="Times New Roman"/>
          <w:sz w:val="24"/>
          <w:szCs w:val="28"/>
        </w:rPr>
      </w:pPr>
      <w:r w:rsidRPr="007E0D91">
        <w:rPr>
          <w:rFonts w:ascii="仿宋" w:eastAsia="仿宋" w:hAnsi="仿宋" w:cs="Times New Roman" w:hint="eastAsia"/>
          <w:sz w:val="24"/>
          <w:szCs w:val="28"/>
        </w:rPr>
        <w:t>数据来源：WIND，交行金研中心</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306"/>
      </w:tblGrid>
      <w:tr w:rsidR="00C82FDC" w:rsidRPr="00C969EB" w:rsidTr="00DD099A">
        <w:tc>
          <w:tcPr>
            <w:tcW w:w="8306" w:type="dxa"/>
            <w:tcBorders>
              <w:top w:val="nil"/>
              <w:left w:val="nil"/>
              <w:right w:val="nil"/>
            </w:tcBorders>
          </w:tcPr>
          <w:p w:rsidR="00C82FDC" w:rsidRPr="00C969EB" w:rsidRDefault="00C82FDC" w:rsidP="00DD099A">
            <w:pPr>
              <w:spacing w:line="20" w:lineRule="exact"/>
              <w:rPr>
                <w:rFonts w:ascii="仿宋_GB2312" w:eastAsia="仿宋_GB2312" w:hAnsi="Calibri" w:cs="Times New Roman"/>
                <w:sz w:val="18"/>
                <w:szCs w:val="28"/>
              </w:rPr>
            </w:pPr>
          </w:p>
        </w:tc>
      </w:tr>
    </w:tbl>
    <w:p w:rsidR="00C82FDC" w:rsidRPr="00C969EB" w:rsidRDefault="00C82FDC" w:rsidP="004132D3">
      <w:pPr>
        <w:spacing w:line="360" w:lineRule="auto"/>
        <w:ind w:firstLineChars="200" w:firstLine="440"/>
        <w:rPr>
          <w:rFonts w:ascii="黑体" w:eastAsia="黑体" w:hAnsi="黑体" w:cs="Times New Roman"/>
          <w:sz w:val="22"/>
          <w:szCs w:val="21"/>
        </w:rPr>
      </w:pPr>
      <w:r w:rsidRPr="00C969EB">
        <w:rPr>
          <w:rFonts w:ascii="黑体" w:eastAsia="黑体" w:hAnsi="黑体" w:cs="Times New Roman" w:hint="eastAsia"/>
          <w:sz w:val="22"/>
          <w:szCs w:val="21"/>
        </w:rPr>
        <w:t>免责声明</w:t>
      </w:r>
    </w:p>
    <w:p w:rsidR="00C82FDC" w:rsidRPr="00C969EB" w:rsidRDefault="00C82FDC" w:rsidP="004132D3">
      <w:pPr>
        <w:spacing w:line="360" w:lineRule="auto"/>
        <w:ind w:firstLineChars="200" w:firstLine="440"/>
        <w:rPr>
          <w:rFonts w:ascii="黑体" w:eastAsia="黑体" w:hAnsi="黑体" w:cs="Times New Roman"/>
          <w:sz w:val="22"/>
          <w:szCs w:val="21"/>
        </w:rPr>
      </w:pPr>
      <w:r w:rsidRPr="00C969EB">
        <w:rPr>
          <w:rFonts w:ascii="黑体" w:eastAsia="黑体" w:hAnsi="黑体" w:cs="Times New Roman" w:hint="eastAsia"/>
          <w:sz w:val="22"/>
          <w:szCs w:val="21"/>
        </w:rPr>
        <w:t>本报告由交通银行金融研究中心撰写发布。本报告中的信息均来源于我们认为可靠的已公开资料，但交通银行对这些信息的准确性及完整性不作任何保证。</w:t>
      </w:r>
    </w:p>
    <w:p w:rsidR="00F37747" w:rsidRPr="00B952FE" w:rsidRDefault="00C82FDC" w:rsidP="004132D3">
      <w:pPr>
        <w:spacing w:line="360" w:lineRule="auto"/>
        <w:ind w:firstLineChars="200" w:firstLine="440"/>
        <w:rPr>
          <w:rFonts w:ascii="黑体" w:eastAsia="黑体" w:hAnsi="黑体" w:cs="Times New Roman"/>
          <w:sz w:val="22"/>
          <w:szCs w:val="21"/>
        </w:rPr>
      </w:pPr>
      <w:r w:rsidRPr="00C969EB">
        <w:rPr>
          <w:rFonts w:ascii="黑体" w:eastAsia="黑体" w:hAnsi="黑体" w:cs="Times New Roman" w:hint="eastAsia"/>
          <w:sz w:val="22"/>
          <w:szCs w:val="21"/>
        </w:rPr>
        <w:t>本报告仅为报告出具日的观点和预测。该观点及预测无需通知即可随时更改。在不同时期，交通银行金融研究中心可能会发布与本报告观点和预测不一致的研究报告。</w:t>
      </w:r>
    </w:p>
    <w:sectPr w:rsidR="00F37747" w:rsidRPr="00B952FE" w:rsidSect="00776D72">
      <w:headerReference w:type="default" r:id="rId13"/>
      <w:footerReference w:type="default" r:id="rId14"/>
      <w:pgSz w:w="11906" w:h="16838"/>
      <w:pgMar w:top="1440" w:right="1800" w:bottom="1440" w:left="1800" w:header="993"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064A4" w:rsidRDefault="00B064A4" w:rsidP="00C969EB">
      <w:r>
        <w:separator/>
      </w:r>
    </w:p>
  </w:endnote>
  <w:endnote w:type="continuationSeparator" w:id="0">
    <w:p w:rsidR="00B064A4" w:rsidRDefault="00B064A4" w:rsidP="00C969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仿宋" w:eastAsia="仿宋" w:hAnsi="仿宋"/>
      </w:rPr>
      <w:id w:val="935487604"/>
      <w:docPartObj>
        <w:docPartGallery w:val="Page Numbers (Bottom of Page)"/>
        <w:docPartUnique/>
      </w:docPartObj>
    </w:sdtPr>
    <w:sdtEndPr/>
    <w:sdtContent>
      <w:p w:rsidR="00F8627F" w:rsidRPr="002820FD" w:rsidRDefault="0028484C">
        <w:pPr>
          <w:pStyle w:val="a8"/>
          <w:jc w:val="center"/>
          <w:rPr>
            <w:rFonts w:ascii="仿宋" w:eastAsia="仿宋" w:hAnsi="仿宋"/>
          </w:rPr>
        </w:pPr>
        <w:r w:rsidRPr="002820FD">
          <w:rPr>
            <w:rFonts w:ascii="仿宋" w:eastAsia="仿宋" w:hAnsi="仿宋"/>
          </w:rPr>
          <w:fldChar w:fldCharType="begin"/>
        </w:r>
        <w:r w:rsidR="00F8627F" w:rsidRPr="002820FD">
          <w:rPr>
            <w:rFonts w:ascii="仿宋" w:eastAsia="仿宋" w:hAnsi="仿宋"/>
          </w:rPr>
          <w:instrText>PAGE   \* MERGEFORMAT</w:instrText>
        </w:r>
        <w:r w:rsidRPr="002820FD">
          <w:rPr>
            <w:rFonts w:ascii="仿宋" w:eastAsia="仿宋" w:hAnsi="仿宋"/>
          </w:rPr>
          <w:fldChar w:fldCharType="separate"/>
        </w:r>
        <w:r w:rsidR="00015C4E" w:rsidRPr="00015C4E">
          <w:rPr>
            <w:rFonts w:ascii="仿宋" w:eastAsia="仿宋" w:hAnsi="仿宋"/>
            <w:noProof/>
            <w:lang w:val="zh-CN"/>
          </w:rPr>
          <w:t>5</w:t>
        </w:r>
        <w:r w:rsidRPr="002820FD">
          <w:rPr>
            <w:rFonts w:ascii="仿宋" w:eastAsia="仿宋" w:hAnsi="仿宋"/>
          </w:rPr>
          <w:fldChar w:fldCharType="end"/>
        </w:r>
      </w:p>
    </w:sdtContent>
  </w:sdt>
  <w:p w:rsidR="00F8627F" w:rsidRDefault="00F8627F">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064A4" w:rsidRDefault="00B064A4" w:rsidP="00C969EB">
      <w:r>
        <w:separator/>
      </w:r>
    </w:p>
  </w:footnote>
  <w:footnote w:type="continuationSeparator" w:id="0">
    <w:p w:rsidR="00B064A4" w:rsidRDefault="00B064A4" w:rsidP="00C969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627F" w:rsidRPr="00C969EB" w:rsidRDefault="00F8627F" w:rsidP="00C969EB">
    <w:pPr>
      <w:tabs>
        <w:tab w:val="center" w:pos="4153"/>
        <w:tab w:val="right" w:pos="8306"/>
      </w:tabs>
      <w:snapToGrid w:val="0"/>
      <w:rPr>
        <w:rFonts w:ascii="黑体" w:eastAsia="黑体" w:hAnsi="黑体" w:cs="Times New Roman"/>
        <w:sz w:val="24"/>
        <w:szCs w:val="18"/>
      </w:rPr>
    </w:pPr>
    <w:r w:rsidRPr="00C969EB">
      <w:rPr>
        <w:rFonts w:ascii="Calibri" w:eastAsia="宋体" w:hAnsi="Calibri" w:cs="Times New Roman" w:hint="eastAsia"/>
        <w:noProof/>
        <w:sz w:val="18"/>
        <w:szCs w:val="18"/>
      </w:rPr>
      <w:drawing>
        <wp:anchor distT="0" distB="0" distL="114300" distR="114300" simplePos="0" relativeHeight="251659264" behindDoc="0" locked="0" layoutInCell="1" allowOverlap="1">
          <wp:simplePos x="0" y="0"/>
          <wp:positionH relativeFrom="column">
            <wp:posOffset>-33655</wp:posOffset>
          </wp:positionH>
          <wp:positionV relativeFrom="paragraph">
            <wp:posOffset>-151765</wp:posOffset>
          </wp:positionV>
          <wp:extent cx="1695450" cy="523875"/>
          <wp:effectExtent l="19050" t="0" r="0" b="0"/>
          <wp:wrapNone/>
          <wp:docPr id="19" name="图片 1" descr="C:\Users\admin\Deskto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logo.jpg"/>
                  <pic:cNvPicPr>
                    <a:picLocks noChangeAspect="1" noChangeArrowheads="1"/>
                  </pic:cNvPicPr>
                </pic:nvPicPr>
                <pic:blipFill>
                  <a:blip r:embed="rId1"/>
                  <a:srcRect/>
                  <a:stretch>
                    <a:fillRect/>
                  </a:stretch>
                </pic:blipFill>
                <pic:spPr bwMode="auto">
                  <a:xfrm>
                    <a:off x="0" y="0"/>
                    <a:ext cx="1695450" cy="523875"/>
                  </a:xfrm>
                  <a:prstGeom prst="rect">
                    <a:avLst/>
                  </a:prstGeom>
                  <a:noFill/>
                  <a:ln w="9525">
                    <a:noFill/>
                    <a:miter lim="800000"/>
                    <a:headEnd/>
                    <a:tailEnd/>
                  </a:ln>
                </pic:spPr>
              </pic:pic>
            </a:graphicData>
          </a:graphic>
        </wp:anchor>
      </w:drawing>
    </w:r>
    <w:r w:rsidRPr="00C969EB">
      <w:rPr>
        <w:rFonts w:ascii="Calibri" w:eastAsia="宋体" w:hAnsi="Calibri" w:cs="Times New Roman"/>
        <w:sz w:val="18"/>
        <w:szCs w:val="18"/>
      </w:rPr>
      <w:t xml:space="preserve">                                                                         </w:t>
    </w:r>
    <w:r w:rsidRPr="00C969EB">
      <w:rPr>
        <w:rFonts w:ascii="黑体" w:eastAsia="黑体" w:hAnsi="黑体" w:cs="Times New Roman" w:hint="eastAsia"/>
        <w:sz w:val="24"/>
        <w:szCs w:val="18"/>
      </w:rPr>
      <w:t>房地产数据点评</w:t>
    </w:r>
  </w:p>
  <w:p w:rsidR="00F8627F" w:rsidRPr="00C969EB" w:rsidRDefault="00F8627F" w:rsidP="00C969EB">
    <w:pPr>
      <w:pBdr>
        <w:bottom w:val="single" w:sz="24" w:space="1" w:color="000080"/>
      </w:pBdr>
      <w:tabs>
        <w:tab w:val="center" w:pos="4153"/>
        <w:tab w:val="right" w:pos="8306"/>
      </w:tabs>
      <w:snapToGrid w:val="0"/>
      <w:jc w:val="right"/>
      <w:rPr>
        <w:rFonts w:ascii="楷体" w:eastAsia="楷体" w:hAnsi="楷体" w:cs="Times New Roman"/>
        <w:szCs w:val="21"/>
      </w:rPr>
    </w:pPr>
    <w:r w:rsidRPr="00C969EB">
      <w:rPr>
        <w:rFonts w:ascii="楷体" w:eastAsia="楷体" w:hAnsi="楷体" w:cs="Times New Roman" w:hint="eastAsia"/>
        <w:szCs w:val="21"/>
      </w:rPr>
      <w:t>交通银行金融研究中心</w:t>
    </w:r>
    <w:r w:rsidRPr="00C969EB">
      <w:rPr>
        <w:rFonts w:ascii="楷体" w:eastAsia="楷体" w:hAnsi="楷体" w:cs="Times New Roman"/>
        <w:szCs w:val="21"/>
      </w:rPr>
      <w:t>(BFRC)</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37F2371"/>
    <w:multiLevelType w:val="hybridMultilevel"/>
    <w:tmpl w:val="7F6E1512"/>
    <w:lvl w:ilvl="0" w:tplc="0409000B">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43CA"/>
    <w:rsid w:val="000040CA"/>
    <w:rsid w:val="00010FB5"/>
    <w:rsid w:val="000143CA"/>
    <w:rsid w:val="00015C4E"/>
    <w:rsid w:val="00017162"/>
    <w:rsid w:val="000276B6"/>
    <w:rsid w:val="00035B58"/>
    <w:rsid w:val="000377CC"/>
    <w:rsid w:val="00041381"/>
    <w:rsid w:val="000607EA"/>
    <w:rsid w:val="0006357D"/>
    <w:rsid w:val="0007024C"/>
    <w:rsid w:val="00071BF2"/>
    <w:rsid w:val="00074B5E"/>
    <w:rsid w:val="00075E95"/>
    <w:rsid w:val="00086F4F"/>
    <w:rsid w:val="0009240F"/>
    <w:rsid w:val="0009368C"/>
    <w:rsid w:val="00095F60"/>
    <w:rsid w:val="000A52E7"/>
    <w:rsid w:val="000B2821"/>
    <w:rsid w:val="000B2C45"/>
    <w:rsid w:val="000B3495"/>
    <w:rsid w:val="000C1220"/>
    <w:rsid w:val="000D6364"/>
    <w:rsid w:val="000D6D9A"/>
    <w:rsid w:val="000F0A91"/>
    <w:rsid w:val="000F4507"/>
    <w:rsid w:val="001124F3"/>
    <w:rsid w:val="00121460"/>
    <w:rsid w:val="00123705"/>
    <w:rsid w:val="001269EF"/>
    <w:rsid w:val="00130102"/>
    <w:rsid w:val="001306B5"/>
    <w:rsid w:val="00144B39"/>
    <w:rsid w:val="001526A2"/>
    <w:rsid w:val="001526DB"/>
    <w:rsid w:val="00153CCA"/>
    <w:rsid w:val="001616DC"/>
    <w:rsid w:val="001629AE"/>
    <w:rsid w:val="001637D3"/>
    <w:rsid w:val="0018535D"/>
    <w:rsid w:val="0019545C"/>
    <w:rsid w:val="001A22E5"/>
    <w:rsid w:val="001A3C0F"/>
    <w:rsid w:val="001A5AF7"/>
    <w:rsid w:val="001B0729"/>
    <w:rsid w:val="001B11AE"/>
    <w:rsid w:val="001B159D"/>
    <w:rsid w:val="001B32C8"/>
    <w:rsid w:val="001C0454"/>
    <w:rsid w:val="001C0CBB"/>
    <w:rsid w:val="001C0D74"/>
    <w:rsid w:val="001C2475"/>
    <w:rsid w:val="001C3CD4"/>
    <w:rsid w:val="001E0109"/>
    <w:rsid w:val="001E5541"/>
    <w:rsid w:val="001F1E11"/>
    <w:rsid w:val="001F2E15"/>
    <w:rsid w:val="001F3064"/>
    <w:rsid w:val="002001E6"/>
    <w:rsid w:val="00202D3C"/>
    <w:rsid w:val="00213310"/>
    <w:rsid w:val="00224741"/>
    <w:rsid w:val="0022681B"/>
    <w:rsid w:val="00226DA6"/>
    <w:rsid w:val="002302F8"/>
    <w:rsid w:val="00230A80"/>
    <w:rsid w:val="00236AE4"/>
    <w:rsid w:val="002440B5"/>
    <w:rsid w:val="00244537"/>
    <w:rsid w:val="00252122"/>
    <w:rsid w:val="0025298D"/>
    <w:rsid w:val="00260695"/>
    <w:rsid w:val="0026145C"/>
    <w:rsid w:val="00261B0B"/>
    <w:rsid w:val="0027008B"/>
    <w:rsid w:val="00271303"/>
    <w:rsid w:val="0027315E"/>
    <w:rsid w:val="002820FD"/>
    <w:rsid w:val="0028484C"/>
    <w:rsid w:val="00286ED1"/>
    <w:rsid w:val="00287901"/>
    <w:rsid w:val="002A7F57"/>
    <w:rsid w:val="002D0BD5"/>
    <w:rsid w:val="002D0FE3"/>
    <w:rsid w:val="002E17F3"/>
    <w:rsid w:val="002E7641"/>
    <w:rsid w:val="00302BFB"/>
    <w:rsid w:val="00307279"/>
    <w:rsid w:val="00310589"/>
    <w:rsid w:val="00323C6D"/>
    <w:rsid w:val="00323D27"/>
    <w:rsid w:val="00325612"/>
    <w:rsid w:val="00325B19"/>
    <w:rsid w:val="003315FD"/>
    <w:rsid w:val="00334D73"/>
    <w:rsid w:val="00337A7F"/>
    <w:rsid w:val="00345F04"/>
    <w:rsid w:val="0035403D"/>
    <w:rsid w:val="00357510"/>
    <w:rsid w:val="00372BAD"/>
    <w:rsid w:val="003754D2"/>
    <w:rsid w:val="003802BC"/>
    <w:rsid w:val="00385B90"/>
    <w:rsid w:val="0039062C"/>
    <w:rsid w:val="0039279C"/>
    <w:rsid w:val="003927B9"/>
    <w:rsid w:val="00394DA7"/>
    <w:rsid w:val="003A218C"/>
    <w:rsid w:val="003C2239"/>
    <w:rsid w:val="003E38DA"/>
    <w:rsid w:val="003E4EE5"/>
    <w:rsid w:val="003F2045"/>
    <w:rsid w:val="003F24A5"/>
    <w:rsid w:val="003F5C00"/>
    <w:rsid w:val="00400891"/>
    <w:rsid w:val="004132D3"/>
    <w:rsid w:val="00421151"/>
    <w:rsid w:val="0042326E"/>
    <w:rsid w:val="0042371C"/>
    <w:rsid w:val="00434FDB"/>
    <w:rsid w:val="00436F00"/>
    <w:rsid w:val="00450BF2"/>
    <w:rsid w:val="0045320C"/>
    <w:rsid w:val="00454DF8"/>
    <w:rsid w:val="004571A8"/>
    <w:rsid w:val="004656CD"/>
    <w:rsid w:val="004668FB"/>
    <w:rsid w:val="004718D9"/>
    <w:rsid w:val="00472FD1"/>
    <w:rsid w:val="00474CA3"/>
    <w:rsid w:val="00476986"/>
    <w:rsid w:val="004770ED"/>
    <w:rsid w:val="004823B1"/>
    <w:rsid w:val="004901DB"/>
    <w:rsid w:val="004930A1"/>
    <w:rsid w:val="004A01E8"/>
    <w:rsid w:val="004A1D94"/>
    <w:rsid w:val="004A37A0"/>
    <w:rsid w:val="004C4859"/>
    <w:rsid w:val="004C62C3"/>
    <w:rsid w:val="004D267E"/>
    <w:rsid w:val="004D550D"/>
    <w:rsid w:val="004D6CF4"/>
    <w:rsid w:val="004E42FB"/>
    <w:rsid w:val="004F58C3"/>
    <w:rsid w:val="00501661"/>
    <w:rsid w:val="00502E1A"/>
    <w:rsid w:val="00504C63"/>
    <w:rsid w:val="005125C1"/>
    <w:rsid w:val="00515A5E"/>
    <w:rsid w:val="00523B08"/>
    <w:rsid w:val="00532D7B"/>
    <w:rsid w:val="0053425F"/>
    <w:rsid w:val="00535DF3"/>
    <w:rsid w:val="00554840"/>
    <w:rsid w:val="00555847"/>
    <w:rsid w:val="005575CC"/>
    <w:rsid w:val="005614EB"/>
    <w:rsid w:val="00564A50"/>
    <w:rsid w:val="00566513"/>
    <w:rsid w:val="005710C2"/>
    <w:rsid w:val="0057298B"/>
    <w:rsid w:val="00573FA9"/>
    <w:rsid w:val="00574C48"/>
    <w:rsid w:val="00582501"/>
    <w:rsid w:val="0058441F"/>
    <w:rsid w:val="00590598"/>
    <w:rsid w:val="00593EFB"/>
    <w:rsid w:val="00596C52"/>
    <w:rsid w:val="005A038D"/>
    <w:rsid w:val="005A12BB"/>
    <w:rsid w:val="005A70F6"/>
    <w:rsid w:val="005B01C1"/>
    <w:rsid w:val="005B48F6"/>
    <w:rsid w:val="005B57C3"/>
    <w:rsid w:val="005B6490"/>
    <w:rsid w:val="005C0962"/>
    <w:rsid w:val="005C561F"/>
    <w:rsid w:val="005C61B7"/>
    <w:rsid w:val="005D2178"/>
    <w:rsid w:val="005D37DC"/>
    <w:rsid w:val="005D4898"/>
    <w:rsid w:val="005D5B88"/>
    <w:rsid w:val="005D6568"/>
    <w:rsid w:val="005E7143"/>
    <w:rsid w:val="005F0E5D"/>
    <w:rsid w:val="00600FFC"/>
    <w:rsid w:val="00622D8C"/>
    <w:rsid w:val="006270A6"/>
    <w:rsid w:val="0063256F"/>
    <w:rsid w:val="00632A4D"/>
    <w:rsid w:val="00634986"/>
    <w:rsid w:val="006453EA"/>
    <w:rsid w:val="00647AC7"/>
    <w:rsid w:val="00660968"/>
    <w:rsid w:val="006657C0"/>
    <w:rsid w:val="006768FE"/>
    <w:rsid w:val="006771B6"/>
    <w:rsid w:val="00680322"/>
    <w:rsid w:val="00681133"/>
    <w:rsid w:val="00681CDC"/>
    <w:rsid w:val="0068281B"/>
    <w:rsid w:val="00686A72"/>
    <w:rsid w:val="006923C2"/>
    <w:rsid w:val="006957CC"/>
    <w:rsid w:val="006A56C2"/>
    <w:rsid w:val="006A665D"/>
    <w:rsid w:val="006A795E"/>
    <w:rsid w:val="006B2C9C"/>
    <w:rsid w:val="006B36F3"/>
    <w:rsid w:val="006B5D97"/>
    <w:rsid w:val="006C08EB"/>
    <w:rsid w:val="006C73B0"/>
    <w:rsid w:val="006D3AC8"/>
    <w:rsid w:val="006D52A9"/>
    <w:rsid w:val="007023F1"/>
    <w:rsid w:val="00706917"/>
    <w:rsid w:val="007101ED"/>
    <w:rsid w:val="0071420A"/>
    <w:rsid w:val="007161B5"/>
    <w:rsid w:val="00716A89"/>
    <w:rsid w:val="00716B21"/>
    <w:rsid w:val="00721B2F"/>
    <w:rsid w:val="00721D1C"/>
    <w:rsid w:val="007230B7"/>
    <w:rsid w:val="00724A58"/>
    <w:rsid w:val="00726294"/>
    <w:rsid w:val="007266ED"/>
    <w:rsid w:val="00727ACF"/>
    <w:rsid w:val="007300E1"/>
    <w:rsid w:val="00731DEB"/>
    <w:rsid w:val="00734185"/>
    <w:rsid w:val="00734739"/>
    <w:rsid w:val="007362AE"/>
    <w:rsid w:val="00744A39"/>
    <w:rsid w:val="00745425"/>
    <w:rsid w:val="0074708F"/>
    <w:rsid w:val="007563D4"/>
    <w:rsid w:val="00756FD2"/>
    <w:rsid w:val="0076482C"/>
    <w:rsid w:val="007667FE"/>
    <w:rsid w:val="00776D72"/>
    <w:rsid w:val="00780D5E"/>
    <w:rsid w:val="007913F5"/>
    <w:rsid w:val="00793825"/>
    <w:rsid w:val="007A05BC"/>
    <w:rsid w:val="007B1093"/>
    <w:rsid w:val="007E0D91"/>
    <w:rsid w:val="007F2EB6"/>
    <w:rsid w:val="007F4636"/>
    <w:rsid w:val="007F7671"/>
    <w:rsid w:val="007F7767"/>
    <w:rsid w:val="00800C9C"/>
    <w:rsid w:val="00804DAC"/>
    <w:rsid w:val="008203F5"/>
    <w:rsid w:val="00823836"/>
    <w:rsid w:val="0082418E"/>
    <w:rsid w:val="008251E2"/>
    <w:rsid w:val="00827F16"/>
    <w:rsid w:val="008320CB"/>
    <w:rsid w:val="00832B2E"/>
    <w:rsid w:val="00834C53"/>
    <w:rsid w:val="00836391"/>
    <w:rsid w:val="008364B0"/>
    <w:rsid w:val="00836D4F"/>
    <w:rsid w:val="00841B74"/>
    <w:rsid w:val="0084346A"/>
    <w:rsid w:val="00861123"/>
    <w:rsid w:val="0086465F"/>
    <w:rsid w:val="00876B05"/>
    <w:rsid w:val="00880C7A"/>
    <w:rsid w:val="00883096"/>
    <w:rsid w:val="00885490"/>
    <w:rsid w:val="00887087"/>
    <w:rsid w:val="00893E5A"/>
    <w:rsid w:val="00895F66"/>
    <w:rsid w:val="008C290C"/>
    <w:rsid w:val="008C75F7"/>
    <w:rsid w:val="008D43EB"/>
    <w:rsid w:val="008D5E48"/>
    <w:rsid w:val="008E18A4"/>
    <w:rsid w:val="008E3C35"/>
    <w:rsid w:val="008E514B"/>
    <w:rsid w:val="008E6894"/>
    <w:rsid w:val="008F12BB"/>
    <w:rsid w:val="008F2E70"/>
    <w:rsid w:val="00904E30"/>
    <w:rsid w:val="00910F37"/>
    <w:rsid w:val="00912C70"/>
    <w:rsid w:val="00914879"/>
    <w:rsid w:val="009161A4"/>
    <w:rsid w:val="00916CBA"/>
    <w:rsid w:val="00925EDD"/>
    <w:rsid w:val="00931618"/>
    <w:rsid w:val="00941E2F"/>
    <w:rsid w:val="00947223"/>
    <w:rsid w:val="00947731"/>
    <w:rsid w:val="009605D3"/>
    <w:rsid w:val="009659CB"/>
    <w:rsid w:val="009669A0"/>
    <w:rsid w:val="009675A4"/>
    <w:rsid w:val="00967C04"/>
    <w:rsid w:val="00973775"/>
    <w:rsid w:val="00984153"/>
    <w:rsid w:val="00997D81"/>
    <w:rsid w:val="009A4328"/>
    <w:rsid w:val="009A5876"/>
    <w:rsid w:val="009C75D2"/>
    <w:rsid w:val="009D378F"/>
    <w:rsid w:val="009D37F4"/>
    <w:rsid w:val="009E1D83"/>
    <w:rsid w:val="009E7EBC"/>
    <w:rsid w:val="009F6A47"/>
    <w:rsid w:val="00A0105F"/>
    <w:rsid w:val="00A01439"/>
    <w:rsid w:val="00A07F9E"/>
    <w:rsid w:val="00A178AA"/>
    <w:rsid w:val="00A21385"/>
    <w:rsid w:val="00A22F63"/>
    <w:rsid w:val="00A24267"/>
    <w:rsid w:val="00A35841"/>
    <w:rsid w:val="00A37E6C"/>
    <w:rsid w:val="00A42294"/>
    <w:rsid w:val="00A451AF"/>
    <w:rsid w:val="00A4783C"/>
    <w:rsid w:val="00A6090F"/>
    <w:rsid w:val="00A62A4E"/>
    <w:rsid w:val="00A64968"/>
    <w:rsid w:val="00A67D6F"/>
    <w:rsid w:val="00A75752"/>
    <w:rsid w:val="00A7795C"/>
    <w:rsid w:val="00A80840"/>
    <w:rsid w:val="00A8388F"/>
    <w:rsid w:val="00A83A9F"/>
    <w:rsid w:val="00A86C3B"/>
    <w:rsid w:val="00A910AB"/>
    <w:rsid w:val="00A924AD"/>
    <w:rsid w:val="00A92871"/>
    <w:rsid w:val="00A96F1D"/>
    <w:rsid w:val="00A97CEC"/>
    <w:rsid w:val="00AA21B4"/>
    <w:rsid w:val="00AA4611"/>
    <w:rsid w:val="00AA7AED"/>
    <w:rsid w:val="00AB1516"/>
    <w:rsid w:val="00AB3CC4"/>
    <w:rsid w:val="00AC0B66"/>
    <w:rsid w:val="00AC1ECC"/>
    <w:rsid w:val="00AC1EDC"/>
    <w:rsid w:val="00AC4948"/>
    <w:rsid w:val="00AC5D4F"/>
    <w:rsid w:val="00AC6F35"/>
    <w:rsid w:val="00AD0741"/>
    <w:rsid w:val="00AD58BB"/>
    <w:rsid w:val="00AE24C1"/>
    <w:rsid w:val="00AE77C7"/>
    <w:rsid w:val="00AF026B"/>
    <w:rsid w:val="00AF0BC5"/>
    <w:rsid w:val="00AF7BD7"/>
    <w:rsid w:val="00B03973"/>
    <w:rsid w:val="00B03F92"/>
    <w:rsid w:val="00B05770"/>
    <w:rsid w:val="00B064A4"/>
    <w:rsid w:val="00B12F13"/>
    <w:rsid w:val="00B14D72"/>
    <w:rsid w:val="00B16310"/>
    <w:rsid w:val="00B17822"/>
    <w:rsid w:val="00B346B3"/>
    <w:rsid w:val="00B419A2"/>
    <w:rsid w:val="00B42DEB"/>
    <w:rsid w:val="00B478BC"/>
    <w:rsid w:val="00B51A4D"/>
    <w:rsid w:val="00B52D5C"/>
    <w:rsid w:val="00B57CA0"/>
    <w:rsid w:val="00B65D3A"/>
    <w:rsid w:val="00B6725A"/>
    <w:rsid w:val="00B71530"/>
    <w:rsid w:val="00B81C4A"/>
    <w:rsid w:val="00B85F17"/>
    <w:rsid w:val="00B92BE2"/>
    <w:rsid w:val="00B952FE"/>
    <w:rsid w:val="00B95D60"/>
    <w:rsid w:val="00B9672C"/>
    <w:rsid w:val="00BA12B6"/>
    <w:rsid w:val="00BA2503"/>
    <w:rsid w:val="00BA2BF0"/>
    <w:rsid w:val="00BA344F"/>
    <w:rsid w:val="00BA7041"/>
    <w:rsid w:val="00BB106F"/>
    <w:rsid w:val="00BB6888"/>
    <w:rsid w:val="00BC45E6"/>
    <w:rsid w:val="00BD63D6"/>
    <w:rsid w:val="00BE1877"/>
    <w:rsid w:val="00BE1CE6"/>
    <w:rsid w:val="00BE4B14"/>
    <w:rsid w:val="00C017C9"/>
    <w:rsid w:val="00C02F82"/>
    <w:rsid w:val="00C101AD"/>
    <w:rsid w:val="00C15EA7"/>
    <w:rsid w:val="00C17B71"/>
    <w:rsid w:val="00C227FC"/>
    <w:rsid w:val="00C330F1"/>
    <w:rsid w:val="00C34383"/>
    <w:rsid w:val="00C40F75"/>
    <w:rsid w:val="00C450D1"/>
    <w:rsid w:val="00C57086"/>
    <w:rsid w:val="00C57423"/>
    <w:rsid w:val="00C63274"/>
    <w:rsid w:val="00C73523"/>
    <w:rsid w:val="00C745B0"/>
    <w:rsid w:val="00C75988"/>
    <w:rsid w:val="00C77FAE"/>
    <w:rsid w:val="00C80BAA"/>
    <w:rsid w:val="00C82FDC"/>
    <w:rsid w:val="00C83AA3"/>
    <w:rsid w:val="00C869C5"/>
    <w:rsid w:val="00C91008"/>
    <w:rsid w:val="00C93B5F"/>
    <w:rsid w:val="00C969EB"/>
    <w:rsid w:val="00CB2BB0"/>
    <w:rsid w:val="00CB78C6"/>
    <w:rsid w:val="00CC0110"/>
    <w:rsid w:val="00CC02BE"/>
    <w:rsid w:val="00CC0B1A"/>
    <w:rsid w:val="00CC2756"/>
    <w:rsid w:val="00CC312C"/>
    <w:rsid w:val="00CC7502"/>
    <w:rsid w:val="00CD1BE5"/>
    <w:rsid w:val="00CD4255"/>
    <w:rsid w:val="00CE06D4"/>
    <w:rsid w:val="00CE2DDF"/>
    <w:rsid w:val="00CE3271"/>
    <w:rsid w:val="00CE34E5"/>
    <w:rsid w:val="00CE3C86"/>
    <w:rsid w:val="00CF4863"/>
    <w:rsid w:val="00CF49FB"/>
    <w:rsid w:val="00D02C93"/>
    <w:rsid w:val="00D03C6C"/>
    <w:rsid w:val="00D03D4D"/>
    <w:rsid w:val="00D11E0D"/>
    <w:rsid w:val="00D125FC"/>
    <w:rsid w:val="00D25AEF"/>
    <w:rsid w:val="00D379DD"/>
    <w:rsid w:val="00D55523"/>
    <w:rsid w:val="00D71291"/>
    <w:rsid w:val="00D81E83"/>
    <w:rsid w:val="00D9380D"/>
    <w:rsid w:val="00D93E3B"/>
    <w:rsid w:val="00DA4037"/>
    <w:rsid w:val="00DA489E"/>
    <w:rsid w:val="00DA6EF7"/>
    <w:rsid w:val="00DB100E"/>
    <w:rsid w:val="00DB32A9"/>
    <w:rsid w:val="00DB3CBC"/>
    <w:rsid w:val="00DB5297"/>
    <w:rsid w:val="00DB7853"/>
    <w:rsid w:val="00DD099A"/>
    <w:rsid w:val="00DD40C2"/>
    <w:rsid w:val="00DE236B"/>
    <w:rsid w:val="00DE7C95"/>
    <w:rsid w:val="00E0016F"/>
    <w:rsid w:val="00E02D9F"/>
    <w:rsid w:val="00E035F7"/>
    <w:rsid w:val="00E04FD8"/>
    <w:rsid w:val="00E0552D"/>
    <w:rsid w:val="00E11F92"/>
    <w:rsid w:val="00E14087"/>
    <w:rsid w:val="00E1703E"/>
    <w:rsid w:val="00E21AF2"/>
    <w:rsid w:val="00E21B1A"/>
    <w:rsid w:val="00E220E7"/>
    <w:rsid w:val="00E272DA"/>
    <w:rsid w:val="00E30615"/>
    <w:rsid w:val="00E34491"/>
    <w:rsid w:val="00E44F07"/>
    <w:rsid w:val="00E51C60"/>
    <w:rsid w:val="00E52F6F"/>
    <w:rsid w:val="00E540B8"/>
    <w:rsid w:val="00E57AFF"/>
    <w:rsid w:val="00E63A71"/>
    <w:rsid w:val="00E72D32"/>
    <w:rsid w:val="00E73A36"/>
    <w:rsid w:val="00E80CE0"/>
    <w:rsid w:val="00E87794"/>
    <w:rsid w:val="00E916A9"/>
    <w:rsid w:val="00EA47AB"/>
    <w:rsid w:val="00EA5928"/>
    <w:rsid w:val="00EB223C"/>
    <w:rsid w:val="00EB622E"/>
    <w:rsid w:val="00EB74D0"/>
    <w:rsid w:val="00EC1361"/>
    <w:rsid w:val="00EC465E"/>
    <w:rsid w:val="00EC5E97"/>
    <w:rsid w:val="00ED3B7D"/>
    <w:rsid w:val="00EE01DF"/>
    <w:rsid w:val="00EE5EFF"/>
    <w:rsid w:val="00EF2C36"/>
    <w:rsid w:val="00F00354"/>
    <w:rsid w:val="00F022C7"/>
    <w:rsid w:val="00F05576"/>
    <w:rsid w:val="00F06BC0"/>
    <w:rsid w:val="00F10D6F"/>
    <w:rsid w:val="00F13E27"/>
    <w:rsid w:val="00F167F2"/>
    <w:rsid w:val="00F205A3"/>
    <w:rsid w:val="00F219E7"/>
    <w:rsid w:val="00F343C0"/>
    <w:rsid w:val="00F37049"/>
    <w:rsid w:val="00F37747"/>
    <w:rsid w:val="00F40019"/>
    <w:rsid w:val="00F4752A"/>
    <w:rsid w:val="00F55D75"/>
    <w:rsid w:val="00F65331"/>
    <w:rsid w:val="00F667CB"/>
    <w:rsid w:val="00F70D08"/>
    <w:rsid w:val="00F7471B"/>
    <w:rsid w:val="00F85F48"/>
    <w:rsid w:val="00F8627F"/>
    <w:rsid w:val="00F95797"/>
    <w:rsid w:val="00FA299E"/>
    <w:rsid w:val="00FA33C2"/>
    <w:rsid w:val="00FA6E45"/>
    <w:rsid w:val="00FB3178"/>
    <w:rsid w:val="00FC1494"/>
    <w:rsid w:val="00FC1510"/>
    <w:rsid w:val="00FD126A"/>
    <w:rsid w:val="00FD7364"/>
    <w:rsid w:val="00FE3C72"/>
    <w:rsid w:val="00FE4CD2"/>
    <w:rsid w:val="00FE6601"/>
    <w:rsid w:val="00FE7B9F"/>
    <w:rsid w:val="00FF1004"/>
    <w:rsid w:val="00FF4DFA"/>
    <w:rsid w:val="00FF56E3"/>
    <w:rsid w:val="00FF7A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6FA7FE6-A0F1-4C1F-89FD-0A41F969F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E0D9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32B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
    <w:name w:val="清单表 4 - 着色 61"/>
    <w:basedOn w:val="a1"/>
    <w:uiPriority w:val="49"/>
    <w:rsid w:val="007023F1"/>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5-61">
    <w:name w:val="网格表 5 深色 - 着色 61"/>
    <w:basedOn w:val="a1"/>
    <w:uiPriority w:val="50"/>
    <w:rsid w:val="007023F1"/>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customStyle="1" w:styleId="5-11">
    <w:name w:val="网格表 5 深色 - 着色 11"/>
    <w:basedOn w:val="a1"/>
    <w:uiPriority w:val="50"/>
    <w:rsid w:val="007023F1"/>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paragraph" w:styleId="a4">
    <w:name w:val="Balloon Text"/>
    <w:basedOn w:val="a"/>
    <w:link w:val="a5"/>
    <w:uiPriority w:val="99"/>
    <w:semiHidden/>
    <w:unhideWhenUsed/>
    <w:rsid w:val="006768FE"/>
    <w:rPr>
      <w:sz w:val="18"/>
      <w:szCs w:val="18"/>
    </w:rPr>
  </w:style>
  <w:style w:type="character" w:customStyle="1" w:styleId="a5">
    <w:name w:val="批注框文本 字符"/>
    <w:basedOn w:val="a0"/>
    <w:link w:val="a4"/>
    <w:uiPriority w:val="99"/>
    <w:semiHidden/>
    <w:rsid w:val="006768FE"/>
    <w:rPr>
      <w:sz w:val="18"/>
      <w:szCs w:val="18"/>
    </w:rPr>
  </w:style>
  <w:style w:type="paragraph" w:styleId="a6">
    <w:name w:val="header"/>
    <w:basedOn w:val="a"/>
    <w:link w:val="a7"/>
    <w:uiPriority w:val="99"/>
    <w:unhideWhenUsed/>
    <w:rsid w:val="00C969EB"/>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C969EB"/>
    <w:rPr>
      <w:sz w:val="18"/>
      <w:szCs w:val="18"/>
    </w:rPr>
  </w:style>
  <w:style w:type="paragraph" w:styleId="a8">
    <w:name w:val="footer"/>
    <w:basedOn w:val="a"/>
    <w:link w:val="a9"/>
    <w:uiPriority w:val="99"/>
    <w:unhideWhenUsed/>
    <w:rsid w:val="00C969EB"/>
    <w:pPr>
      <w:tabs>
        <w:tab w:val="center" w:pos="4153"/>
        <w:tab w:val="right" w:pos="8306"/>
      </w:tabs>
      <w:snapToGrid w:val="0"/>
      <w:jc w:val="left"/>
    </w:pPr>
    <w:rPr>
      <w:sz w:val="18"/>
      <w:szCs w:val="18"/>
    </w:rPr>
  </w:style>
  <w:style w:type="character" w:customStyle="1" w:styleId="a9">
    <w:name w:val="页脚 字符"/>
    <w:basedOn w:val="a0"/>
    <w:link w:val="a8"/>
    <w:uiPriority w:val="99"/>
    <w:rsid w:val="00C969EB"/>
    <w:rPr>
      <w:sz w:val="18"/>
      <w:szCs w:val="18"/>
    </w:rPr>
  </w:style>
  <w:style w:type="table" w:customStyle="1" w:styleId="1">
    <w:name w:val="网格型浅色1"/>
    <w:basedOn w:val="a1"/>
    <w:next w:val="2"/>
    <w:uiPriority w:val="40"/>
    <w:rsid w:val="00AC1EDC"/>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10">
    <w:name w:val="脚注文本1"/>
    <w:basedOn w:val="a"/>
    <w:next w:val="aa"/>
    <w:link w:val="ab"/>
    <w:uiPriority w:val="99"/>
    <w:semiHidden/>
    <w:unhideWhenUsed/>
    <w:rsid w:val="00AC1EDC"/>
    <w:pPr>
      <w:snapToGrid w:val="0"/>
      <w:jc w:val="left"/>
    </w:pPr>
    <w:rPr>
      <w:sz w:val="18"/>
      <w:szCs w:val="18"/>
    </w:rPr>
  </w:style>
  <w:style w:type="character" w:customStyle="1" w:styleId="ab">
    <w:name w:val="脚注文本 字符"/>
    <w:basedOn w:val="a0"/>
    <w:link w:val="10"/>
    <w:uiPriority w:val="99"/>
    <w:semiHidden/>
    <w:rsid w:val="00AC1EDC"/>
    <w:rPr>
      <w:sz w:val="18"/>
      <w:szCs w:val="18"/>
    </w:rPr>
  </w:style>
  <w:style w:type="character" w:styleId="ac">
    <w:name w:val="footnote reference"/>
    <w:basedOn w:val="a0"/>
    <w:uiPriority w:val="99"/>
    <w:semiHidden/>
    <w:unhideWhenUsed/>
    <w:rsid w:val="00AC1EDC"/>
    <w:rPr>
      <w:vertAlign w:val="superscript"/>
    </w:rPr>
  </w:style>
  <w:style w:type="table" w:customStyle="1" w:styleId="2">
    <w:name w:val="网格型浅色2"/>
    <w:basedOn w:val="a1"/>
    <w:uiPriority w:val="40"/>
    <w:rsid w:val="00AC1ED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a">
    <w:name w:val="footnote text"/>
    <w:basedOn w:val="a"/>
    <w:link w:val="11"/>
    <w:uiPriority w:val="99"/>
    <w:semiHidden/>
    <w:unhideWhenUsed/>
    <w:rsid w:val="00AC1EDC"/>
    <w:pPr>
      <w:snapToGrid w:val="0"/>
      <w:jc w:val="left"/>
    </w:pPr>
    <w:rPr>
      <w:sz w:val="18"/>
      <w:szCs w:val="18"/>
    </w:rPr>
  </w:style>
  <w:style w:type="character" w:customStyle="1" w:styleId="11">
    <w:name w:val="脚注文本 字符1"/>
    <w:basedOn w:val="a0"/>
    <w:link w:val="aa"/>
    <w:uiPriority w:val="99"/>
    <w:semiHidden/>
    <w:rsid w:val="00AC1EDC"/>
    <w:rPr>
      <w:sz w:val="18"/>
      <w:szCs w:val="18"/>
    </w:rPr>
  </w:style>
  <w:style w:type="table" w:customStyle="1" w:styleId="12">
    <w:name w:val="网格型1"/>
    <w:basedOn w:val="a1"/>
    <w:next w:val="a3"/>
    <w:uiPriority w:val="39"/>
    <w:rsid w:val="00AA21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无格式表格 21"/>
    <w:basedOn w:val="a1"/>
    <w:uiPriority w:val="42"/>
    <w:rsid w:val="00727ACF"/>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ad">
    <w:name w:val="List Paragraph"/>
    <w:basedOn w:val="a"/>
    <w:uiPriority w:val="34"/>
    <w:qFormat/>
    <w:rsid w:val="00C80BAA"/>
    <w:pPr>
      <w:ind w:firstLineChars="200" w:firstLine="420"/>
    </w:pPr>
  </w:style>
  <w:style w:type="table" w:customStyle="1" w:styleId="4-11">
    <w:name w:val="网格表 4 - 着色 11"/>
    <w:basedOn w:val="a1"/>
    <w:uiPriority w:val="49"/>
    <w:rsid w:val="0068281B"/>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4-31">
    <w:name w:val="网格表 4 - 着色 31"/>
    <w:basedOn w:val="a1"/>
    <w:uiPriority w:val="49"/>
    <w:rsid w:val="0068281B"/>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2-31">
    <w:name w:val="网格表 2 - 着色 31"/>
    <w:basedOn w:val="a1"/>
    <w:uiPriority w:val="47"/>
    <w:rsid w:val="00EB622E"/>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3-11">
    <w:name w:val="网格表 3 - 着色 11"/>
    <w:basedOn w:val="a1"/>
    <w:uiPriority w:val="48"/>
    <w:rsid w:val="00EB622E"/>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2-61">
    <w:name w:val="网格表 2 - 着色 61"/>
    <w:basedOn w:val="a1"/>
    <w:uiPriority w:val="47"/>
    <w:rsid w:val="00EB622E"/>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4-610">
    <w:name w:val="网格表 4 - 着色 61"/>
    <w:basedOn w:val="a1"/>
    <w:uiPriority w:val="49"/>
    <w:rsid w:val="00EB622E"/>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110">
    <w:name w:val="无格式表格 11"/>
    <w:basedOn w:val="a1"/>
    <w:next w:val="120"/>
    <w:uiPriority w:val="41"/>
    <w:rsid w:val="00B952FE"/>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120">
    <w:name w:val="无格式表格 12"/>
    <w:basedOn w:val="a1"/>
    <w:uiPriority w:val="41"/>
    <w:rsid w:val="00B952FE"/>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4-110">
    <w:name w:val="网格表 4 - 着色 11"/>
    <w:basedOn w:val="a1"/>
    <w:uiPriority w:val="49"/>
    <w:rsid w:val="00B478BC"/>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4-21">
    <w:name w:val="网格表 4 - 着色 21"/>
    <w:basedOn w:val="a1"/>
    <w:uiPriority w:val="49"/>
    <w:rsid w:val="00B478BC"/>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4-41">
    <w:name w:val="网格表 4 - 着色 41"/>
    <w:basedOn w:val="a1"/>
    <w:uiPriority w:val="49"/>
    <w:rsid w:val="00B478BC"/>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1-11">
    <w:name w:val="网格表 1 浅色 - 着色 11"/>
    <w:basedOn w:val="a1"/>
    <w:uiPriority w:val="46"/>
    <w:rsid w:val="00DE236B"/>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3-110">
    <w:name w:val="网格表 3 - 着色 11"/>
    <w:basedOn w:val="a1"/>
    <w:next w:val="3-11"/>
    <w:uiPriority w:val="48"/>
    <w:rsid w:val="00C91008"/>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table" w:customStyle="1" w:styleId="3-12">
    <w:name w:val="网格表 3 - 着色 12"/>
    <w:basedOn w:val="a1"/>
    <w:next w:val="3-11"/>
    <w:uiPriority w:val="48"/>
    <w:rsid w:val="001306B5"/>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table" w:customStyle="1" w:styleId="3-13">
    <w:name w:val="网格表 3 - 着色 13"/>
    <w:basedOn w:val="a1"/>
    <w:next w:val="3-11"/>
    <w:uiPriority w:val="48"/>
    <w:rsid w:val="001306B5"/>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544831">
      <w:bodyDiv w:val="1"/>
      <w:marLeft w:val="0"/>
      <w:marRight w:val="0"/>
      <w:marTop w:val="0"/>
      <w:marBottom w:val="0"/>
      <w:divBdr>
        <w:top w:val="none" w:sz="0" w:space="0" w:color="auto"/>
        <w:left w:val="none" w:sz="0" w:space="0" w:color="auto"/>
        <w:bottom w:val="none" w:sz="0" w:space="0" w:color="auto"/>
        <w:right w:val="none" w:sz="0" w:space="0" w:color="auto"/>
      </w:divBdr>
    </w:div>
    <w:div w:id="158468447">
      <w:bodyDiv w:val="1"/>
      <w:marLeft w:val="0"/>
      <w:marRight w:val="0"/>
      <w:marTop w:val="0"/>
      <w:marBottom w:val="0"/>
      <w:divBdr>
        <w:top w:val="none" w:sz="0" w:space="0" w:color="auto"/>
        <w:left w:val="none" w:sz="0" w:space="0" w:color="auto"/>
        <w:bottom w:val="none" w:sz="0" w:space="0" w:color="auto"/>
        <w:right w:val="none" w:sz="0" w:space="0" w:color="auto"/>
      </w:divBdr>
    </w:div>
    <w:div w:id="186601777">
      <w:bodyDiv w:val="1"/>
      <w:marLeft w:val="0"/>
      <w:marRight w:val="0"/>
      <w:marTop w:val="0"/>
      <w:marBottom w:val="0"/>
      <w:divBdr>
        <w:top w:val="none" w:sz="0" w:space="0" w:color="auto"/>
        <w:left w:val="none" w:sz="0" w:space="0" w:color="auto"/>
        <w:bottom w:val="none" w:sz="0" w:space="0" w:color="auto"/>
        <w:right w:val="none" w:sz="0" w:space="0" w:color="auto"/>
      </w:divBdr>
    </w:div>
    <w:div w:id="196937941">
      <w:bodyDiv w:val="1"/>
      <w:marLeft w:val="0"/>
      <w:marRight w:val="0"/>
      <w:marTop w:val="0"/>
      <w:marBottom w:val="0"/>
      <w:divBdr>
        <w:top w:val="none" w:sz="0" w:space="0" w:color="auto"/>
        <w:left w:val="none" w:sz="0" w:space="0" w:color="auto"/>
        <w:bottom w:val="none" w:sz="0" w:space="0" w:color="auto"/>
        <w:right w:val="none" w:sz="0" w:space="0" w:color="auto"/>
      </w:divBdr>
    </w:div>
    <w:div w:id="282270235">
      <w:bodyDiv w:val="1"/>
      <w:marLeft w:val="0"/>
      <w:marRight w:val="0"/>
      <w:marTop w:val="0"/>
      <w:marBottom w:val="0"/>
      <w:divBdr>
        <w:top w:val="none" w:sz="0" w:space="0" w:color="auto"/>
        <w:left w:val="none" w:sz="0" w:space="0" w:color="auto"/>
        <w:bottom w:val="none" w:sz="0" w:space="0" w:color="auto"/>
        <w:right w:val="none" w:sz="0" w:space="0" w:color="auto"/>
      </w:divBdr>
    </w:div>
    <w:div w:id="614024210">
      <w:bodyDiv w:val="1"/>
      <w:marLeft w:val="0"/>
      <w:marRight w:val="0"/>
      <w:marTop w:val="0"/>
      <w:marBottom w:val="0"/>
      <w:divBdr>
        <w:top w:val="none" w:sz="0" w:space="0" w:color="auto"/>
        <w:left w:val="none" w:sz="0" w:space="0" w:color="auto"/>
        <w:bottom w:val="none" w:sz="0" w:space="0" w:color="auto"/>
        <w:right w:val="none" w:sz="0" w:space="0" w:color="auto"/>
      </w:divBdr>
    </w:div>
    <w:div w:id="700397696">
      <w:bodyDiv w:val="1"/>
      <w:marLeft w:val="0"/>
      <w:marRight w:val="0"/>
      <w:marTop w:val="0"/>
      <w:marBottom w:val="0"/>
      <w:divBdr>
        <w:top w:val="none" w:sz="0" w:space="0" w:color="auto"/>
        <w:left w:val="none" w:sz="0" w:space="0" w:color="auto"/>
        <w:bottom w:val="none" w:sz="0" w:space="0" w:color="auto"/>
        <w:right w:val="none" w:sz="0" w:space="0" w:color="auto"/>
      </w:divBdr>
    </w:div>
    <w:div w:id="736049043">
      <w:bodyDiv w:val="1"/>
      <w:marLeft w:val="0"/>
      <w:marRight w:val="0"/>
      <w:marTop w:val="0"/>
      <w:marBottom w:val="0"/>
      <w:divBdr>
        <w:top w:val="none" w:sz="0" w:space="0" w:color="auto"/>
        <w:left w:val="none" w:sz="0" w:space="0" w:color="auto"/>
        <w:bottom w:val="none" w:sz="0" w:space="0" w:color="auto"/>
        <w:right w:val="none" w:sz="0" w:space="0" w:color="auto"/>
      </w:divBdr>
    </w:div>
    <w:div w:id="791872914">
      <w:bodyDiv w:val="1"/>
      <w:marLeft w:val="0"/>
      <w:marRight w:val="0"/>
      <w:marTop w:val="0"/>
      <w:marBottom w:val="0"/>
      <w:divBdr>
        <w:top w:val="none" w:sz="0" w:space="0" w:color="auto"/>
        <w:left w:val="none" w:sz="0" w:space="0" w:color="auto"/>
        <w:bottom w:val="none" w:sz="0" w:space="0" w:color="auto"/>
        <w:right w:val="none" w:sz="0" w:space="0" w:color="auto"/>
      </w:divBdr>
    </w:div>
    <w:div w:id="837842297">
      <w:bodyDiv w:val="1"/>
      <w:marLeft w:val="0"/>
      <w:marRight w:val="0"/>
      <w:marTop w:val="0"/>
      <w:marBottom w:val="0"/>
      <w:divBdr>
        <w:top w:val="none" w:sz="0" w:space="0" w:color="auto"/>
        <w:left w:val="none" w:sz="0" w:space="0" w:color="auto"/>
        <w:bottom w:val="none" w:sz="0" w:space="0" w:color="auto"/>
        <w:right w:val="none" w:sz="0" w:space="0" w:color="auto"/>
      </w:divBdr>
    </w:div>
    <w:div w:id="899291112">
      <w:bodyDiv w:val="1"/>
      <w:marLeft w:val="0"/>
      <w:marRight w:val="0"/>
      <w:marTop w:val="0"/>
      <w:marBottom w:val="0"/>
      <w:divBdr>
        <w:top w:val="none" w:sz="0" w:space="0" w:color="auto"/>
        <w:left w:val="none" w:sz="0" w:space="0" w:color="auto"/>
        <w:bottom w:val="none" w:sz="0" w:space="0" w:color="auto"/>
        <w:right w:val="none" w:sz="0" w:space="0" w:color="auto"/>
      </w:divBdr>
    </w:div>
    <w:div w:id="922104723">
      <w:bodyDiv w:val="1"/>
      <w:marLeft w:val="0"/>
      <w:marRight w:val="0"/>
      <w:marTop w:val="0"/>
      <w:marBottom w:val="0"/>
      <w:divBdr>
        <w:top w:val="none" w:sz="0" w:space="0" w:color="auto"/>
        <w:left w:val="none" w:sz="0" w:space="0" w:color="auto"/>
        <w:bottom w:val="none" w:sz="0" w:space="0" w:color="auto"/>
        <w:right w:val="none" w:sz="0" w:space="0" w:color="auto"/>
      </w:divBdr>
    </w:div>
    <w:div w:id="1044060278">
      <w:bodyDiv w:val="1"/>
      <w:marLeft w:val="0"/>
      <w:marRight w:val="0"/>
      <w:marTop w:val="0"/>
      <w:marBottom w:val="0"/>
      <w:divBdr>
        <w:top w:val="none" w:sz="0" w:space="0" w:color="auto"/>
        <w:left w:val="none" w:sz="0" w:space="0" w:color="auto"/>
        <w:bottom w:val="none" w:sz="0" w:space="0" w:color="auto"/>
        <w:right w:val="none" w:sz="0" w:space="0" w:color="auto"/>
      </w:divBdr>
    </w:div>
    <w:div w:id="1072119684">
      <w:bodyDiv w:val="1"/>
      <w:marLeft w:val="0"/>
      <w:marRight w:val="0"/>
      <w:marTop w:val="0"/>
      <w:marBottom w:val="0"/>
      <w:divBdr>
        <w:top w:val="none" w:sz="0" w:space="0" w:color="auto"/>
        <w:left w:val="none" w:sz="0" w:space="0" w:color="auto"/>
        <w:bottom w:val="none" w:sz="0" w:space="0" w:color="auto"/>
        <w:right w:val="none" w:sz="0" w:space="0" w:color="auto"/>
      </w:divBdr>
    </w:div>
    <w:div w:id="1087728397">
      <w:bodyDiv w:val="1"/>
      <w:marLeft w:val="0"/>
      <w:marRight w:val="0"/>
      <w:marTop w:val="0"/>
      <w:marBottom w:val="0"/>
      <w:divBdr>
        <w:top w:val="none" w:sz="0" w:space="0" w:color="auto"/>
        <w:left w:val="none" w:sz="0" w:space="0" w:color="auto"/>
        <w:bottom w:val="none" w:sz="0" w:space="0" w:color="auto"/>
        <w:right w:val="none" w:sz="0" w:space="0" w:color="auto"/>
      </w:divBdr>
      <w:divsChild>
        <w:div w:id="1798061862">
          <w:marLeft w:val="0"/>
          <w:marRight w:val="0"/>
          <w:marTop w:val="0"/>
          <w:marBottom w:val="0"/>
          <w:divBdr>
            <w:top w:val="none" w:sz="0" w:space="0" w:color="auto"/>
            <w:left w:val="none" w:sz="0" w:space="0" w:color="auto"/>
            <w:bottom w:val="none" w:sz="0" w:space="0" w:color="auto"/>
            <w:right w:val="none" w:sz="0" w:space="0" w:color="auto"/>
          </w:divBdr>
          <w:divsChild>
            <w:div w:id="529339066">
              <w:marLeft w:val="0"/>
              <w:marRight w:val="0"/>
              <w:marTop w:val="0"/>
              <w:marBottom w:val="0"/>
              <w:divBdr>
                <w:top w:val="none" w:sz="0" w:space="0" w:color="auto"/>
                <w:left w:val="none" w:sz="0" w:space="0" w:color="auto"/>
                <w:bottom w:val="none" w:sz="0" w:space="0" w:color="auto"/>
                <w:right w:val="none" w:sz="0" w:space="0" w:color="auto"/>
              </w:divBdr>
              <w:divsChild>
                <w:div w:id="1330132559">
                  <w:marLeft w:val="0"/>
                  <w:marRight w:val="0"/>
                  <w:marTop w:val="150"/>
                  <w:marBottom w:val="0"/>
                  <w:divBdr>
                    <w:top w:val="none" w:sz="0" w:space="0" w:color="auto"/>
                    <w:left w:val="none" w:sz="0" w:space="0" w:color="auto"/>
                    <w:bottom w:val="none" w:sz="0" w:space="0" w:color="auto"/>
                    <w:right w:val="none" w:sz="0" w:space="0" w:color="auto"/>
                  </w:divBdr>
                  <w:divsChild>
                    <w:div w:id="1878347533">
                      <w:marLeft w:val="0"/>
                      <w:marRight w:val="0"/>
                      <w:marTop w:val="375"/>
                      <w:marBottom w:val="0"/>
                      <w:divBdr>
                        <w:top w:val="none" w:sz="0" w:space="0" w:color="auto"/>
                        <w:left w:val="none" w:sz="0" w:space="0" w:color="auto"/>
                        <w:bottom w:val="none" w:sz="0" w:space="0" w:color="auto"/>
                        <w:right w:val="none" w:sz="0" w:space="0" w:color="auto"/>
                      </w:divBdr>
                      <w:divsChild>
                        <w:div w:id="867184162">
                          <w:marLeft w:val="0"/>
                          <w:marRight w:val="0"/>
                          <w:marTop w:val="0"/>
                          <w:marBottom w:val="0"/>
                          <w:divBdr>
                            <w:top w:val="none" w:sz="0" w:space="0" w:color="auto"/>
                            <w:left w:val="none" w:sz="0" w:space="0" w:color="auto"/>
                            <w:bottom w:val="none" w:sz="0" w:space="0" w:color="auto"/>
                            <w:right w:val="none" w:sz="0" w:space="0" w:color="auto"/>
                          </w:divBdr>
                          <w:divsChild>
                            <w:div w:id="38129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539298">
      <w:bodyDiv w:val="1"/>
      <w:marLeft w:val="0"/>
      <w:marRight w:val="0"/>
      <w:marTop w:val="0"/>
      <w:marBottom w:val="0"/>
      <w:divBdr>
        <w:top w:val="none" w:sz="0" w:space="0" w:color="auto"/>
        <w:left w:val="none" w:sz="0" w:space="0" w:color="auto"/>
        <w:bottom w:val="none" w:sz="0" w:space="0" w:color="auto"/>
        <w:right w:val="none" w:sz="0" w:space="0" w:color="auto"/>
      </w:divBdr>
    </w:div>
    <w:div w:id="1189098800">
      <w:bodyDiv w:val="1"/>
      <w:marLeft w:val="0"/>
      <w:marRight w:val="0"/>
      <w:marTop w:val="0"/>
      <w:marBottom w:val="0"/>
      <w:divBdr>
        <w:top w:val="none" w:sz="0" w:space="0" w:color="auto"/>
        <w:left w:val="none" w:sz="0" w:space="0" w:color="auto"/>
        <w:bottom w:val="none" w:sz="0" w:space="0" w:color="auto"/>
        <w:right w:val="none" w:sz="0" w:space="0" w:color="auto"/>
      </w:divBdr>
      <w:divsChild>
        <w:div w:id="422411668">
          <w:marLeft w:val="0"/>
          <w:marRight w:val="0"/>
          <w:marTop w:val="0"/>
          <w:marBottom w:val="0"/>
          <w:divBdr>
            <w:top w:val="none" w:sz="0" w:space="0" w:color="auto"/>
            <w:left w:val="none" w:sz="0" w:space="0" w:color="auto"/>
            <w:bottom w:val="none" w:sz="0" w:space="0" w:color="auto"/>
            <w:right w:val="none" w:sz="0" w:space="0" w:color="auto"/>
          </w:divBdr>
          <w:divsChild>
            <w:div w:id="1541699519">
              <w:marLeft w:val="0"/>
              <w:marRight w:val="0"/>
              <w:marTop w:val="0"/>
              <w:marBottom w:val="0"/>
              <w:divBdr>
                <w:top w:val="none" w:sz="0" w:space="0" w:color="auto"/>
                <w:left w:val="none" w:sz="0" w:space="0" w:color="auto"/>
                <w:bottom w:val="none" w:sz="0" w:space="0" w:color="auto"/>
                <w:right w:val="none" w:sz="0" w:space="0" w:color="auto"/>
              </w:divBdr>
              <w:divsChild>
                <w:div w:id="1980187365">
                  <w:marLeft w:val="0"/>
                  <w:marRight w:val="0"/>
                  <w:marTop w:val="150"/>
                  <w:marBottom w:val="0"/>
                  <w:divBdr>
                    <w:top w:val="none" w:sz="0" w:space="0" w:color="auto"/>
                    <w:left w:val="none" w:sz="0" w:space="0" w:color="auto"/>
                    <w:bottom w:val="none" w:sz="0" w:space="0" w:color="auto"/>
                    <w:right w:val="none" w:sz="0" w:space="0" w:color="auto"/>
                  </w:divBdr>
                  <w:divsChild>
                    <w:div w:id="1469664965">
                      <w:marLeft w:val="0"/>
                      <w:marRight w:val="0"/>
                      <w:marTop w:val="375"/>
                      <w:marBottom w:val="0"/>
                      <w:divBdr>
                        <w:top w:val="none" w:sz="0" w:space="0" w:color="auto"/>
                        <w:left w:val="none" w:sz="0" w:space="0" w:color="auto"/>
                        <w:bottom w:val="none" w:sz="0" w:space="0" w:color="auto"/>
                        <w:right w:val="none" w:sz="0" w:space="0" w:color="auto"/>
                      </w:divBdr>
                      <w:divsChild>
                        <w:div w:id="1903909376">
                          <w:marLeft w:val="0"/>
                          <w:marRight w:val="0"/>
                          <w:marTop w:val="0"/>
                          <w:marBottom w:val="0"/>
                          <w:divBdr>
                            <w:top w:val="none" w:sz="0" w:space="0" w:color="auto"/>
                            <w:left w:val="none" w:sz="0" w:space="0" w:color="auto"/>
                            <w:bottom w:val="none" w:sz="0" w:space="0" w:color="auto"/>
                            <w:right w:val="none" w:sz="0" w:space="0" w:color="auto"/>
                          </w:divBdr>
                          <w:divsChild>
                            <w:div w:id="2106270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0269056">
      <w:bodyDiv w:val="1"/>
      <w:marLeft w:val="0"/>
      <w:marRight w:val="0"/>
      <w:marTop w:val="0"/>
      <w:marBottom w:val="0"/>
      <w:divBdr>
        <w:top w:val="none" w:sz="0" w:space="0" w:color="auto"/>
        <w:left w:val="none" w:sz="0" w:space="0" w:color="auto"/>
        <w:bottom w:val="none" w:sz="0" w:space="0" w:color="auto"/>
        <w:right w:val="none" w:sz="0" w:space="0" w:color="auto"/>
      </w:divBdr>
    </w:div>
    <w:div w:id="1291522335">
      <w:bodyDiv w:val="1"/>
      <w:marLeft w:val="0"/>
      <w:marRight w:val="0"/>
      <w:marTop w:val="0"/>
      <w:marBottom w:val="0"/>
      <w:divBdr>
        <w:top w:val="none" w:sz="0" w:space="0" w:color="auto"/>
        <w:left w:val="none" w:sz="0" w:space="0" w:color="auto"/>
        <w:bottom w:val="none" w:sz="0" w:space="0" w:color="auto"/>
        <w:right w:val="none" w:sz="0" w:space="0" w:color="auto"/>
      </w:divBdr>
    </w:div>
    <w:div w:id="1523977868">
      <w:bodyDiv w:val="1"/>
      <w:marLeft w:val="0"/>
      <w:marRight w:val="0"/>
      <w:marTop w:val="0"/>
      <w:marBottom w:val="0"/>
      <w:divBdr>
        <w:top w:val="none" w:sz="0" w:space="0" w:color="auto"/>
        <w:left w:val="none" w:sz="0" w:space="0" w:color="auto"/>
        <w:bottom w:val="none" w:sz="0" w:space="0" w:color="auto"/>
        <w:right w:val="none" w:sz="0" w:space="0" w:color="auto"/>
      </w:divBdr>
    </w:div>
    <w:div w:id="1592858558">
      <w:bodyDiv w:val="1"/>
      <w:marLeft w:val="0"/>
      <w:marRight w:val="0"/>
      <w:marTop w:val="0"/>
      <w:marBottom w:val="0"/>
      <w:divBdr>
        <w:top w:val="none" w:sz="0" w:space="0" w:color="auto"/>
        <w:left w:val="none" w:sz="0" w:space="0" w:color="auto"/>
        <w:bottom w:val="none" w:sz="0" w:space="0" w:color="auto"/>
        <w:right w:val="none" w:sz="0" w:space="0" w:color="auto"/>
      </w:divBdr>
    </w:div>
    <w:div w:id="1594361100">
      <w:bodyDiv w:val="1"/>
      <w:marLeft w:val="0"/>
      <w:marRight w:val="0"/>
      <w:marTop w:val="0"/>
      <w:marBottom w:val="0"/>
      <w:divBdr>
        <w:top w:val="none" w:sz="0" w:space="0" w:color="auto"/>
        <w:left w:val="none" w:sz="0" w:space="0" w:color="auto"/>
        <w:bottom w:val="none" w:sz="0" w:space="0" w:color="auto"/>
        <w:right w:val="none" w:sz="0" w:space="0" w:color="auto"/>
      </w:divBdr>
    </w:div>
    <w:div w:id="1678389600">
      <w:bodyDiv w:val="1"/>
      <w:marLeft w:val="0"/>
      <w:marRight w:val="0"/>
      <w:marTop w:val="0"/>
      <w:marBottom w:val="0"/>
      <w:divBdr>
        <w:top w:val="none" w:sz="0" w:space="0" w:color="auto"/>
        <w:left w:val="none" w:sz="0" w:space="0" w:color="auto"/>
        <w:bottom w:val="none" w:sz="0" w:space="0" w:color="auto"/>
        <w:right w:val="none" w:sz="0" w:space="0" w:color="auto"/>
      </w:divBdr>
    </w:div>
    <w:div w:id="1680890332">
      <w:bodyDiv w:val="1"/>
      <w:marLeft w:val="0"/>
      <w:marRight w:val="0"/>
      <w:marTop w:val="0"/>
      <w:marBottom w:val="0"/>
      <w:divBdr>
        <w:top w:val="none" w:sz="0" w:space="0" w:color="auto"/>
        <w:left w:val="none" w:sz="0" w:space="0" w:color="auto"/>
        <w:bottom w:val="none" w:sz="0" w:space="0" w:color="auto"/>
        <w:right w:val="none" w:sz="0" w:space="0" w:color="auto"/>
      </w:divBdr>
    </w:div>
    <w:div w:id="1721707906">
      <w:bodyDiv w:val="1"/>
      <w:marLeft w:val="0"/>
      <w:marRight w:val="0"/>
      <w:marTop w:val="0"/>
      <w:marBottom w:val="0"/>
      <w:divBdr>
        <w:top w:val="none" w:sz="0" w:space="0" w:color="auto"/>
        <w:left w:val="none" w:sz="0" w:space="0" w:color="auto"/>
        <w:bottom w:val="none" w:sz="0" w:space="0" w:color="auto"/>
        <w:right w:val="none" w:sz="0" w:space="0" w:color="auto"/>
      </w:divBdr>
    </w:div>
    <w:div w:id="1754353577">
      <w:bodyDiv w:val="1"/>
      <w:marLeft w:val="0"/>
      <w:marRight w:val="0"/>
      <w:marTop w:val="0"/>
      <w:marBottom w:val="0"/>
      <w:divBdr>
        <w:top w:val="none" w:sz="0" w:space="0" w:color="auto"/>
        <w:left w:val="none" w:sz="0" w:space="0" w:color="auto"/>
        <w:bottom w:val="none" w:sz="0" w:space="0" w:color="auto"/>
        <w:right w:val="none" w:sz="0" w:space="0" w:color="auto"/>
      </w:divBdr>
    </w:div>
    <w:div w:id="1791506877">
      <w:bodyDiv w:val="1"/>
      <w:marLeft w:val="0"/>
      <w:marRight w:val="0"/>
      <w:marTop w:val="0"/>
      <w:marBottom w:val="0"/>
      <w:divBdr>
        <w:top w:val="none" w:sz="0" w:space="0" w:color="auto"/>
        <w:left w:val="none" w:sz="0" w:space="0" w:color="auto"/>
        <w:bottom w:val="none" w:sz="0" w:space="0" w:color="auto"/>
        <w:right w:val="none" w:sz="0" w:space="0" w:color="auto"/>
      </w:divBdr>
    </w:div>
    <w:div w:id="1817183593">
      <w:bodyDiv w:val="1"/>
      <w:marLeft w:val="0"/>
      <w:marRight w:val="0"/>
      <w:marTop w:val="0"/>
      <w:marBottom w:val="0"/>
      <w:divBdr>
        <w:top w:val="none" w:sz="0" w:space="0" w:color="auto"/>
        <w:left w:val="none" w:sz="0" w:space="0" w:color="auto"/>
        <w:bottom w:val="none" w:sz="0" w:space="0" w:color="auto"/>
        <w:right w:val="none" w:sz="0" w:space="0" w:color="auto"/>
      </w:divBdr>
    </w:div>
    <w:div w:id="1838424550">
      <w:bodyDiv w:val="1"/>
      <w:marLeft w:val="0"/>
      <w:marRight w:val="0"/>
      <w:marTop w:val="0"/>
      <w:marBottom w:val="0"/>
      <w:divBdr>
        <w:top w:val="none" w:sz="0" w:space="0" w:color="auto"/>
        <w:left w:val="none" w:sz="0" w:space="0" w:color="auto"/>
        <w:bottom w:val="none" w:sz="0" w:space="0" w:color="auto"/>
        <w:right w:val="none" w:sz="0" w:space="0" w:color="auto"/>
      </w:divBdr>
    </w:div>
    <w:div w:id="1840384476">
      <w:bodyDiv w:val="1"/>
      <w:marLeft w:val="0"/>
      <w:marRight w:val="0"/>
      <w:marTop w:val="0"/>
      <w:marBottom w:val="0"/>
      <w:divBdr>
        <w:top w:val="none" w:sz="0" w:space="0" w:color="auto"/>
        <w:left w:val="none" w:sz="0" w:space="0" w:color="auto"/>
        <w:bottom w:val="none" w:sz="0" w:space="0" w:color="auto"/>
        <w:right w:val="none" w:sz="0" w:space="0" w:color="auto"/>
      </w:divBdr>
    </w:div>
    <w:div w:id="1985429062">
      <w:bodyDiv w:val="1"/>
      <w:marLeft w:val="0"/>
      <w:marRight w:val="0"/>
      <w:marTop w:val="0"/>
      <w:marBottom w:val="0"/>
      <w:divBdr>
        <w:top w:val="none" w:sz="0" w:space="0" w:color="auto"/>
        <w:left w:val="none" w:sz="0" w:space="0" w:color="auto"/>
        <w:bottom w:val="none" w:sz="0" w:space="0" w:color="auto"/>
        <w:right w:val="none" w:sz="0" w:space="0" w:color="auto"/>
      </w:divBdr>
    </w:div>
    <w:div w:id="2106029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主题​​">
  <a:themeElements>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FC5D19-7A7D-43B1-8C97-8E54B03DA6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268</Words>
  <Characters>1529</Characters>
  <Application>Microsoft Office Word</Application>
  <DocSecurity>0</DocSecurity>
  <Lines>12</Lines>
  <Paragraphs>3</Paragraphs>
  <ScaleCrop>false</ScaleCrop>
  <Company>BOCOM</Company>
  <LinksUpToDate>false</LinksUpToDate>
  <CharactersWithSpaces>1794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Jessie Xia</dc:creator>
  <cp:lastModifiedBy>Xia Jessie</cp:lastModifiedBy>
  <cp:revision>3</cp:revision>
  <cp:lastPrinted>2021-07-15T07:11:00Z</cp:lastPrinted>
  <dcterms:created xsi:type="dcterms:W3CDTF">2021-07-15T06:58:00Z</dcterms:created>
  <dcterms:modified xsi:type="dcterms:W3CDTF">2021-07-15T07:13:00Z</dcterms:modified>
</cp:coreProperties>
</file>