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60"/>
      </w:pPr>
      <w:r>
        <mc:AlternateContent>
          <mc:Choice Requires="wpg">
            <w:drawing>
              <wp:anchor distT="0" distB="0" distL="114300" distR="114300" simplePos="0" relativeHeight="251659264" behindDoc="0" locked="0" layoutInCell="1" allowOverlap="1">
                <wp:simplePos x="0" y="0"/>
                <wp:positionH relativeFrom="page">
                  <wp:posOffset>13335</wp:posOffset>
                </wp:positionH>
                <wp:positionV relativeFrom="paragraph">
                  <wp:posOffset>-636905</wp:posOffset>
                </wp:positionV>
                <wp:extent cx="6888480" cy="675005"/>
                <wp:effectExtent l="0" t="0" r="7620" b="0"/>
                <wp:wrapNone/>
                <wp:docPr id="12" name="组合 12"/>
                <wp:cNvGraphicFramePr/>
                <a:graphic xmlns:a="http://schemas.openxmlformats.org/drawingml/2006/main">
                  <a:graphicData uri="http://schemas.microsoft.com/office/word/2010/wordprocessingGroup">
                    <wpg:wgp>
                      <wpg:cNvGrpSpPr/>
                      <wpg:grpSpPr>
                        <a:xfrm>
                          <a:off x="0" y="0"/>
                          <a:ext cx="6888538" cy="675005"/>
                          <a:chOff x="14262" y="0"/>
                          <a:chExt cx="7091388" cy="675005"/>
                        </a:xfrm>
                      </wpg:grpSpPr>
                      <pic:pic xmlns:pic="http://schemas.openxmlformats.org/drawingml/2006/picture">
                        <pic:nvPicPr>
                          <pic:cNvPr id="1" name="图片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895350" y="0"/>
                            <a:ext cx="6210300" cy="675005"/>
                          </a:xfrm>
                          <a:prstGeom prst="rect">
                            <a:avLst/>
                          </a:prstGeom>
                        </pic:spPr>
                      </pic:pic>
                      <pic:pic xmlns:pic="http://schemas.openxmlformats.org/drawingml/2006/picture">
                        <pic:nvPicPr>
                          <pic:cNvPr id="9" name="图片 9"/>
                          <pic:cNvPicPr>
                            <a:picLocks noChangeAspect="1"/>
                          </pic:cNvPicPr>
                        </pic:nvPicPr>
                        <pic:blipFill>
                          <a:blip r:embed="rId7" cstate="print">
                            <a:extLst>
                              <a:ext uri="{28A0092B-C50C-407E-A947-70E740481C1C}">
                                <a14:useLocalDpi xmlns:a14="http://schemas.microsoft.com/office/drawing/2010/main" val="0"/>
                              </a:ext>
                            </a:extLst>
                          </a:blip>
                          <a:srcRect r="16718"/>
                          <a:stretch>
                            <a:fillRect/>
                          </a:stretch>
                        </pic:blipFill>
                        <pic:spPr>
                          <a:xfrm>
                            <a:off x="14262" y="0"/>
                            <a:ext cx="5172075" cy="675005"/>
                          </a:xfrm>
                          <a:prstGeom prst="rect">
                            <a:avLst/>
                          </a:prstGeom>
                          <a:ln>
                            <a:noFill/>
                          </a:ln>
                        </pic:spPr>
                      </pic:pic>
                    </wpg:wgp>
                  </a:graphicData>
                </a:graphic>
              </wp:anchor>
            </w:drawing>
          </mc:Choice>
          <mc:Fallback>
            <w:pict>
              <v:group id="_x0000_s1026" o:spid="_x0000_s1026" o:spt="203" style="position:absolute;left:0pt;margin-left:1.05pt;margin-top:-50.15pt;height:53.15pt;width:542.4pt;mso-position-horizontal-relative:page;z-index:251659264;mso-width-relative:page;mso-height-relative:page;" coordorigin="14262,0" coordsize="7091388,675005" o:gfxdata="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">
                <o:lock v:ext="edit" aspectratio="f"/>
                <v:shape id="_x0000_s1026" o:spid="_x0000_s1026" o:spt="75" type="#_x0000_t75" style="position:absolute;left:895350;top:0;height:675005;width:6210300;" filled="f" o:preferrelative="t" stroked="f" coordsize="21600,21600" o:gfxdata="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5O+MrsAAADa&#10;AAAADwAAAAAAAAABACAAAAAiAAAAZHJzL2Rvd25yZXYueG1sUEsBAhQAFAAAAAgAh07iQDMvBZ47&#10;AAAAOQAAABAAAAAAAAAAAQAgAAAACgEAAGRycy9zaGFwZXhtbC54bWxQSwUGAAAAAAYABgBbAQAA&#10;tAMAAAAA&#10;">
                  <v:fill on="f" focussize="0,0"/>
                  <v:stroke on="f"/>
                  <v:imagedata r:id="rId7" o:title=""/>
                  <o:lock v:ext="edit" aspectratio="t"/>
                </v:shape>
                <v:shape id="_x0000_s1026" o:spid="_x0000_s1026" o:spt="75" type="#_x0000_t75" style="position:absolute;left:14262;top:0;height:675005;width:5172075;" filled="f" o:preferrelative="t" stroked="f" coordsize="21600,21600" o:gfxdata="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YIZFO8AAAA&#10;2gAAAA8AAAAAAAAAAQAgAAAAIgAAAGRycy9kb3ducmV2LnhtbFBLAQIUABQAAAAIAIdO4kAzLwWe&#10;OwAAADkAAAAQAAAAAAAAAAEAIAAAAAsBAABkcnMvc2hhcGV4bWwueG1sUEsFBgAAAAAGAAYAWwEA&#10;ALUDAAAAAA==&#10;">
                  <v:fill on="f" focussize="0,0"/>
                  <v:stroke on="f"/>
                  <v:imagedata r:id="rId7" cropright="10956f" o:title=""/>
                  <o:lock v:ext="edit" aspectratio="t"/>
                </v:shape>
              </v:group>
            </w:pict>
          </mc:Fallback>
        </mc:AlternateContent>
      </w:r>
      <w:r>
        <mc:AlternateContent>
          <mc:Choice Requires="wps">
            <w:drawing>
              <wp:anchor distT="45720" distB="45720" distL="114300" distR="114300" simplePos="0" relativeHeight="251660288" behindDoc="0" locked="0" layoutInCell="1" allowOverlap="1">
                <wp:simplePos x="0" y="0"/>
                <wp:positionH relativeFrom="column">
                  <wp:posOffset>3603625</wp:posOffset>
                </wp:positionH>
                <wp:positionV relativeFrom="paragraph">
                  <wp:posOffset>-285750</wp:posOffset>
                </wp:positionV>
                <wp:extent cx="2360930" cy="276225"/>
                <wp:effectExtent l="0" t="0" r="0" b="0"/>
                <wp:wrapNone/>
                <wp:docPr id="16"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360930" cy="276225"/>
                        </a:xfrm>
                        <a:prstGeom prst="rect">
                          <a:avLst/>
                        </a:prstGeom>
                        <a:noFill/>
                        <a:ln w="9525">
                          <a:noFill/>
                          <a:miter lim="800000"/>
                        </a:ln>
                      </wps:spPr>
                      <wps:txbx>
                        <w:txbxContent>
                          <w:p>
                            <w:pPr>
                              <w:ind w:firstLine="480"/>
                              <w:jc w:val="right"/>
                              <w:rPr>
                                <w:rFonts w:ascii="黑体" w:hAnsi="黑体" w:eastAsia="黑体"/>
                                <w:color w:val="C00000"/>
                              </w:rPr>
                            </w:pPr>
                            <w:r>
                              <w:rPr>
                                <w:rFonts w:hint="eastAsia" w:ascii="黑体" w:hAnsi="黑体" w:eastAsia="黑体"/>
                                <w:color w:val="C00000"/>
                              </w:rPr>
                              <w:t>汽车行业</w:t>
                            </w:r>
                          </w:p>
                        </w:txbxContent>
                      </wps:txbx>
                      <wps:bodyPr rot="0" vert="horz" wrap="square" lIns="91440" tIns="45720" rIns="91440" bIns="45720" anchor="t" anchorCtr="0">
                        <a:noAutofit/>
                      </wps:bodyPr>
                    </wps:wsp>
                  </a:graphicData>
                </a:graphic>
                <wp14:sizeRelH relativeFrom="margin">
                  <wp14:pctWidth>40000</wp14:pctWidth>
                </wp14:sizeRelH>
                <wp14:sizeRelV relativeFrom="page">
                  <wp14:pctHeight>0</wp14:pctHeight>
                </wp14:sizeRelV>
              </wp:anchor>
            </w:drawing>
          </mc:Choice>
          <mc:Fallback>
            <w:pict>
              <v:shape id="文本框 2" o:spid="_x0000_s1026" o:spt="202" type="#_x0000_t202" style="position:absolute;left:0pt;margin-left:283.75pt;margin-top:-22.5pt;height:21.75pt;width:185.9pt;z-index:251660288;mso-width-relative:margin;mso-height-relative:page;mso-width-percent:400;" filled="f" stroked="f" coordsize="21600,21600" o:gfxdata="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PrO&#10;mYjaAAAACgEAAA8AAAAAAAAAAQAgAAAAIgAAAGRycy9kb3ducmV2LnhtbFBLAQIUABQAAAAIAIdO&#10;4kBGWQvuIQIAACoEAAAOAAAAAAAAAAEAIAAAACkBAABkcnMvZTJvRG9jLnhtbFBLBQYAAAAABgAG&#10;AFkBAAC8BQAAAAA=&#10;">
                <v:fill on="f" focussize="0,0"/>
                <v:stroke on="f" miterlimit="8" joinstyle="miter"/>
                <v:imagedata o:title=""/>
                <o:lock v:ext="edit" aspectratio="f"/>
                <v:textbox>
                  <w:txbxContent>
                    <w:p>
                      <w:pPr>
                        <w:ind w:firstLine="480"/>
                        <w:jc w:val="right"/>
                        <w:rPr>
                          <w:rFonts w:ascii="黑体" w:hAnsi="黑体" w:eastAsia="黑体"/>
                          <w:color w:val="C00000"/>
                        </w:rPr>
                      </w:pPr>
                      <w:r>
                        <w:rPr>
                          <w:rFonts w:hint="eastAsia" w:ascii="黑体" w:hAnsi="黑体" w:eastAsia="黑体"/>
                          <w:color w:val="C00000"/>
                        </w:rPr>
                        <w:t>汽车行业</w:t>
                      </w:r>
                    </w:p>
                  </w:txbxContent>
                </v:textbox>
              </v:shape>
            </w:pict>
          </mc:Fallback>
        </mc:AlternateContent>
      </w:r>
      <w:r>
        <w:rPr>
          <w:rFonts w:ascii="黑体" w:hAnsi="黑体" w:eastAsia="黑体"/>
          <w:color w:val="C00000"/>
          <w:sz w:val="36"/>
          <w:szCs w:val="44"/>
        </w:rPr>
        <mc:AlternateContent>
          <mc:Choice Requires="wps">
            <w:drawing>
              <wp:anchor distT="45720" distB="45720" distL="114300" distR="114300" simplePos="0" relativeHeight="251661312" behindDoc="0" locked="0" layoutInCell="1" allowOverlap="1">
                <wp:simplePos x="0" y="0"/>
                <wp:positionH relativeFrom="margin">
                  <wp:posOffset>3117850</wp:posOffset>
                </wp:positionH>
                <wp:positionV relativeFrom="paragraph">
                  <wp:posOffset>-628650</wp:posOffset>
                </wp:positionV>
                <wp:extent cx="2753995" cy="342900"/>
                <wp:effectExtent l="0" t="0" r="0" b="0"/>
                <wp:wrapNone/>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753947" cy="342900"/>
                        </a:xfrm>
                        <a:prstGeom prst="rect">
                          <a:avLst/>
                        </a:prstGeom>
                        <a:noFill/>
                        <a:ln w="9525">
                          <a:noFill/>
                          <a:miter lim="800000"/>
                        </a:ln>
                      </wps:spPr>
                      <wps:txbx>
                        <w:txbxContent>
                          <w:p>
                            <w:pPr>
                              <w:jc w:val="right"/>
                              <w:rPr>
                                <w:rFonts w:ascii="黑体" w:hAnsi="黑体" w:eastAsia="黑体"/>
                                <w:color w:val="C00000"/>
                                <w:sz w:val="22"/>
                              </w:rPr>
                            </w:pPr>
                            <w:r>
                              <w:rPr>
                                <w:rFonts w:hint="eastAsia" w:ascii="黑体" w:hAnsi="黑体" w:eastAsia="黑体"/>
                                <w:color w:val="C00000"/>
                                <w:sz w:val="22"/>
                              </w:rPr>
                              <w:t>行业</w:t>
                            </w:r>
                            <w:r>
                              <w:rPr>
                                <w:rFonts w:ascii="黑体" w:hAnsi="黑体" w:eastAsia="黑体"/>
                                <w:color w:val="C00000"/>
                                <w:sz w:val="22"/>
                              </w:rPr>
                              <w:t>研究</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245.5pt;margin-top:-49.5pt;height:27pt;width:216.85pt;mso-position-horizontal-relative:margin;z-index:251661312;mso-width-relative:page;mso-height-relative:page;" filled="f" stroked="f" coordsize="21600,21600" o:gfxdata="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wFO4qdgAAAALAQAADwAAAAAAAAABACAAAAAiAAAAZHJzL2Rvd25yZXYueG1sUEsBAhQAFAAAAAgA&#10;h07iQNdMN5clAgAAKQQAAA4AAAAAAAAAAQAgAAAAJwEAAGRycy9lMm9Eb2MueG1sUEsFBgAAAAAG&#10;AAYAWQEAAL4FAAAAAA==&#10;">
                <v:fill on="f" focussize="0,0"/>
                <v:stroke on="f" miterlimit="8" joinstyle="miter"/>
                <v:imagedata o:title=""/>
                <o:lock v:ext="edit" aspectratio="f"/>
                <v:textbox>
                  <w:txbxContent>
                    <w:p>
                      <w:pPr>
                        <w:jc w:val="right"/>
                        <w:rPr>
                          <w:rFonts w:ascii="黑体" w:hAnsi="黑体" w:eastAsia="黑体"/>
                          <w:color w:val="C00000"/>
                          <w:sz w:val="22"/>
                        </w:rPr>
                      </w:pPr>
                      <w:r>
                        <w:rPr>
                          <w:rFonts w:hint="eastAsia" w:ascii="黑体" w:hAnsi="黑体" w:eastAsia="黑体"/>
                          <w:color w:val="C00000"/>
                          <w:sz w:val="22"/>
                        </w:rPr>
                        <w:t>行业</w:t>
                      </w:r>
                      <w:r>
                        <w:rPr>
                          <w:rFonts w:ascii="黑体" w:hAnsi="黑体" w:eastAsia="黑体"/>
                          <w:color w:val="C00000"/>
                          <w:sz w:val="22"/>
                        </w:rPr>
                        <w:t>研究</w:t>
                      </w:r>
                    </w:p>
                  </w:txbxContent>
                </v:textbox>
              </v:shape>
            </w:pict>
          </mc:Fallback>
        </mc:AlternateContent>
      </w:r>
    </w:p>
    <w:p>
      <w:pPr>
        <w:spacing w:before="156" w:beforeLines="50" w:after="156" w:afterLines="50" w:line="400" w:lineRule="exact"/>
        <w:rPr>
          <w:rFonts w:ascii="黑体" w:hAnsi="黑体" w:eastAsia="黑体"/>
          <w:color w:val="C00000"/>
          <w:sz w:val="28"/>
          <w:szCs w:val="44"/>
        </w:rPr>
      </w:pPr>
      <w:r>
        <w:rPr>
          <w:rFonts w:hint="eastAsia" w:ascii="黑体" w:hAnsi="黑体" w:eastAsia="黑体"/>
          <w:color w:val="C00000"/>
          <w:sz w:val="28"/>
          <w:szCs w:val="44"/>
        </w:rPr>
        <w:t>大公国际：汽车行业2024年信用风险展望</w:t>
      </w:r>
    </w:p>
    <w:p>
      <w:pPr>
        <w:wordWrap w:val="0"/>
        <w:spacing w:before="156" w:beforeLines="50" w:after="156" w:afterLines="50" w:line="400" w:lineRule="exact"/>
        <w:jc w:val="right"/>
        <w:rPr>
          <w:rFonts w:ascii="黑体" w:hAnsi="黑体" w:eastAsia="黑体" w:cstheme="minorBidi"/>
          <w:color w:val="000000"/>
          <w:sz w:val="24"/>
          <w:szCs w:val="24"/>
        </w:rPr>
      </w:pPr>
      <w:r>
        <w:rPr>
          <w:rFonts w:hint="eastAsia" w:ascii="黑体" w:hAnsi="黑体" w:eastAsia="黑体" w:cstheme="minorBidi"/>
          <w:color w:val="000000"/>
          <w:sz w:val="24"/>
          <w:szCs w:val="24"/>
        </w:rPr>
        <w:t>文/刘银玲</w:t>
      </w:r>
    </w:p>
    <w:p>
      <w:pPr>
        <w:adjustRightInd w:val="0"/>
        <w:spacing w:before="156" w:beforeLines="50" w:after="156" w:afterLines="50" w:line="400" w:lineRule="exact"/>
        <w:outlineLvl w:val="0"/>
        <w:rPr>
          <w:rFonts w:ascii="黑体" w:hAnsi="黑体" w:eastAsia="黑体"/>
          <w:b/>
          <w:color w:val="C00000"/>
          <w:sz w:val="28"/>
          <w:szCs w:val="28"/>
        </w:rPr>
      </w:pPr>
      <w:r>
        <w:rPr>
          <w:rFonts w:hint="eastAsia" w:ascii="黑体" w:hAnsi="黑体" w:eastAsia="黑体"/>
          <w:b/>
          <w:color w:val="C00000"/>
          <w:sz w:val="28"/>
          <w:szCs w:val="28"/>
        </w:rPr>
        <w:t>摘要</w:t>
      </w:r>
    </w:p>
    <w:p>
      <w:pPr>
        <w:spacing w:line="400" w:lineRule="exact"/>
        <w:ind w:firstLine="480" w:firstLineChars="200"/>
        <w:rPr>
          <w:rFonts w:ascii="仿宋" w:hAnsi="仿宋" w:eastAsia="仿宋" w:cs="仿宋"/>
          <w:color w:val="000000"/>
          <w:sz w:val="24"/>
          <w:szCs w:val="24"/>
          <w:lang w:bidi="ar"/>
        </w:rPr>
      </w:pPr>
      <w:r>
        <w:rPr>
          <w:rFonts w:hint="eastAsia" w:ascii="仿宋" w:hAnsi="仿宋" w:eastAsia="仿宋" w:cs="仿宋"/>
          <w:color w:val="000000"/>
          <w:sz w:val="24"/>
          <w:szCs w:val="24"/>
          <w:lang w:bidi="ar"/>
        </w:rPr>
        <w:t>汽车产业是国民经济的重要支柱产业，产业链长、关联度高、带动性强，近年来国家持续出台扶持自主品牌、提振消费、促进新能源转型等方面政策，助力汽车产业发展；2023年，受益于政策推动及促销活动等措施以及出口大幅增长拉动，我国汽车产销实现超预期增长，创历史新高，其中，乘用车市场延续良好增长态势，商用车扭转连续两年下滑趋势实现触底回弹，新能源汽车继续保持快速增长，行业整体向好发展。2024年政府工作报告对促进汽车消费、支持新能源汽车发展、加快汽车智联网科技创新等工作进行明确，奠定了汽车产业未来政策基调。我国汽车行业进入“增量和存量并重时代”，市场更新换代需求和潜力很大，但存量规模大且普及率持续提升，未来销售增速或将承压；汽车行业集中度高，自主品牌竞争力大幅提升，但行业内品牌较多且新能源汽车参与主体不断增加，整体竞争较为激烈。债券市场方面，2023年，汽车行业全年新发债规模同比有所增长，目前存续债主要集中于高评级的行业龙头企业且存续债主体信用水平稳定，预计中短期内汽车行业债券市场风险较小，信用水平保持稳定，但需关注经济波动及市场竞争加剧对汽车企业经营业绩的影响。</w:t>
      </w:r>
    </w:p>
    <w:p>
      <w:pPr>
        <w:adjustRightInd w:val="0"/>
        <w:spacing w:before="156" w:beforeLines="50" w:after="156" w:afterLines="50" w:line="400" w:lineRule="exact"/>
        <w:outlineLvl w:val="0"/>
        <w:rPr>
          <w:rFonts w:ascii="黑体" w:hAnsi="黑体" w:eastAsia="黑体"/>
          <w:b/>
          <w:color w:val="C00000"/>
          <w:sz w:val="28"/>
          <w:szCs w:val="28"/>
        </w:rPr>
      </w:pPr>
      <w:r>
        <w:rPr>
          <w:rFonts w:hint="eastAsia" w:ascii="黑体" w:hAnsi="黑体" w:eastAsia="黑体"/>
          <w:b/>
          <w:color w:val="C00000"/>
          <w:sz w:val="28"/>
          <w:szCs w:val="28"/>
        </w:rPr>
        <w:t>正文</w:t>
      </w:r>
    </w:p>
    <w:p>
      <w:pPr>
        <w:spacing w:before="156" w:beforeLines="50" w:after="156" w:afterLines="50" w:line="400" w:lineRule="exact"/>
        <w:outlineLvl w:val="0"/>
        <w:rPr>
          <w:rFonts w:ascii="黑体" w:hAnsi="宋体" w:eastAsia="黑体" w:cs="黑体"/>
          <w:b/>
          <w:color w:val="C00000"/>
          <w:sz w:val="28"/>
          <w:szCs w:val="28"/>
        </w:rPr>
      </w:pPr>
      <w:bookmarkStart w:id="0" w:name="_Toc148550215"/>
      <w:r>
        <w:rPr>
          <w:rFonts w:hint="eastAsia" w:ascii="黑体" w:hAnsi="宋体" w:eastAsia="黑体" w:cs="黑体"/>
          <w:b/>
          <w:color w:val="C00000"/>
          <w:sz w:val="28"/>
          <w:szCs w:val="28"/>
          <w:lang w:bidi="ar"/>
        </w:rPr>
        <w:t>一、行业基本面及政策环境</w:t>
      </w:r>
    </w:p>
    <w:p>
      <w:pPr>
        <w:spacing w:line="400" w:lineRule="exact"/>
        <w:ind w:firstLine="482" w:firstLineChars="200"/>
        <w:rPr>
          <w:rFonts w:ascii="仿宋" w:hAnsi="仿宋" w:eastAsia="仿宋" w:cs="仿宋"/>
          <w:b/>
          <w:color w:val="000000"/>
          <w:sz w:val="24"/>
          <w:szCs w:val="24"/>
        </w:rPr>
      </w:pPr>
      <w:r>
        <w:rPr>
          <w:rFonts w:hint="eastAsia" w:ascii="仿宋" w:hAnsi="仿宋" w:eastAsia="仿宋" w:cs="仿宋"/>
          <w:b/>
          <w:color w:val="000000"/>
          <w:sz w:val="24"/>
          <w:szCs w:val="24"/>
          <w:lang w:bidi="ar"/>
        </w:rPr>
        <w:t>2023年，受益于政策推动及促销活动等措施以及出口大幅增长拉动，我国汽车产销实现超预期增长，创历史新高；乘用车市场延续良好增长态势，商用车扭转连续两年下滑趋势实现触底回弹，新能源汽车继续保持快速增长，市场占有率同比提升；二季度以来，汽车产业景气指数持续处于正常区间，未来发展趋势向好。</w:t>
      </w:r>
    </w:p>
    <w:p>
      <w:pPr>
        <w:spacing w:after="156" w:afterLines="50" w:line="400" w:lineRule="exact"/>
        <w:ind w:firstLine="480" w:firstLineChars="200"/>
        <w:rPr>
          <w:rFonts w:ascii="仿宋" w:hAnsi="仿宋" w:eastAsia="仿宋" w:cs="仿宋"/>
          <w:color w:val="000000"/>
          <w:sz w:val="24"/>
          <w:szCs w:val="24"/>
          <w:lang w:bidi="ar"/>
        </w:rPr>
      </w:pPr>
      <w:r>
        <w:rPr>
          <w:rFonts w:hint="eastAsia" w:ascii="仿宋" w:hAnsi="仿宋" w:eastAsia="仿宋" w:cs="仿宋"/>
          <w:color w:val="000000"/>
          <w:sz w:val="24"/>
          <w:szCs w:val="24"/>
          <w:lang w:bidi="ar"/>
        </w:rPr>
        <w:t>2023年，我国汽车产销累计完成3,016万辆和3,009万辆，同比增幅分别为11.6%和12.0%，产销创历史新高，并达两位数的高增速。从年内数据看，全年汽车市场销售呈“低开高走，逐步向好”特点，年初受传统燃油车购置税优惠和新能源汽车补贴退出、部分消费提前透支等因素影响，汽车消费恢复相对滞后，前两个月累计销量较同期回落显著；3～5月，价格促销潮对市场产生波动；随后在国家及地方政策推动、促销活动及出口大幅增长拉动下，汽车市场需求逐步释放且超出预期。</w:t>
      </w:r>
    </w:p>
    <w:p>
      <w:pPr>
        <w:spacing w:after="156" w:afterLines="50" w:line="400" w:lineRule="exact"/>
        <w:ind w:firstLine="480" w:firstLineChars="200"/>
        <w:rPr>
          <w:rFonts w:ascii="仿宋" w:hAnsi="仿宋" w:eastAsia="仿宋" w:cs="仿宋"/>
          <w:color w:val="000000"/>
          <w:sz w:val="24"/>
          <w:szCs w:val="24"/>
          <w:lang w:bidi="ar"/>
        </w:rPr>
      </w:pPr>
    </w:p>
    <w:p>
      <w:pPr>
        <w:spacing w:after="156" w:afterLines="50" w:line="400" w:lineRule="exact"/>
        <w:ind w:firstLine="480" w:firstLineChars="200"/>
        <w:rPr>
          <w:rFonts w:ascii="仿宋" w:hAnsi="仿宋" w:eastAsia="仿宋" w:cs="仿宋"/>
          <w:color w:val="000000"/>
          <w:sz w:val="24"/>
          <w:szCs w:val="24"/>
          <w:lang w:bidi="ar"/>
        </w:rPr>
      </w:pPr>
    </w:p>
    <w:tbl>
      <w:tblPr>
        <w:tblStyle w:val="15"/>
        <w:tblW w:w="5000" w:type="pct"/>
        <w:jc w:val="center"/>
        <w:tblBorders>
          <w:top w:val="single" w:color="943634" w:sz="18" w:space="0"/>
          <w:left w:val="none" w:color="auto" w:sz="6" w:space="0"/>
          <w:bottom w:val="single" w:color="943634" w:sz="18" w:space="0"/>
          <w:right w:val="none" w:color="auto" w:sz="6" w:space="0"/>
          <w:insideH w:val="single" w:color="000000" w:sz="4" w:space="0"/>
          <w:insideV w:val="single" w:color="000000" w:sz="4" w:space="0"/>
        </w:tblBorders>
        <w:tblLayout w:type="fixed"/>
        <w:tblCellMar>
          <w:top w:w="0" w:type="dxa"/>
          <w:left w:w="108" w:type="dxa"/>
          <w:bottom w:w="0" w:type="dxa"/>
          <w:right w:w="108" w:type="dxa"/>
        </w:tblCellMar>
      </w:tblPr>
      <w:tblGrid>
        <w:gridCol w:w="9286"/>
      </w:tblGrid>
      <w:tr>
        <w:tblPrEx>
          <w:tblBorders>
            <w:top w:val="single" w:color="943634" w:sz="18" w:space="0"/>
            <w:left w:val="none" w:color="auto" w:sz="6" w:space="0"/>
            <w:bottom w:val="single" w:color="943634" w:sz="18" w:space="0"/>
            <w:right w:val="none" w:color="auto" w:sz="6"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000" w:type="pct"/>
            <w:tcBorders>
              <w:top w:val="single" w:color="auto" w:sz="12" w:space="0"/>
              <w:left w:val="nil"/>
              <w:bottom w:val="single" w:color="auto" w:sz="4" w:space="0"/>
              <w:right w:val="nil"/>
            </w:tcBorders>
            <w:shd w:val="clear" w:color="auto" w:fill="C00000"/>
          </w:tcPr>
          <w:p>
            <w:pPr>
              <w:adjustRightInd w:val="0"/>
              <w:snapToGrid w:val="0"/>
              <w:spacing w:line="340" w:lineRule="exact"/>
              <w:rPr>
                <w:rFonts w:ascii="黑体" w:hAnsi="宋体" w:eastAsia="黑体" w:cs="黑体"/>
                <w:b/>
                <w:iCs/>
                <w:color w:val="800000"/>
                <w:kern w:val="0"/>
                <w:sz w:val="18"/>
                <w:szCs w:val="18"/>
              </w:rPr>
            </w:pPr>
            <w:r>
              <w:rPr>
                <w:rFonts w:hint="eastAsia" w:ascii="黑体" w:hAnsi="宋体" w:eastAsia="黑体" w:cs="黑体"/>
                <w:b/>
                <w:iCs/>
                <w:color w:val="FFFFFF"/>
                <w:kern w:val="0"/>
                <w:sz w:val="18"/>
                <w:szCs w:val="18"/>
                <w:lang w:bidi="ar"/>
              </w:rPr>
              <w:t>图1  我国汽车产销量变动情况（单位：万辆、%）</w:t>
            </w:r>
          </w:p>
        </w:tc>
      </w:tr>
      <w:tr>
        <w:tblPrEx>
          <w:tblBorders>
            <w:top w:val="single" w:color="943634" w:sz="18" w:space="0"/>
            <w:left w:val="none" w:color="auto" w:sz="6" w:space="0"/>
            <w:bottom w:val="single" w:color="943634" w:sz="18" w:space="0"/>
            <w:right w:val="none" w:color="auto" w:sz="6"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5000" w:type="pct"/>
            <w:tcBorders>
              <w:top w:val="single" w:color="auto" w:sz="4" w:space="0"/>
              <w:left w:val="nil"/>
              <w:bottom w:val="single" w:color="auto" w:sz="4" w:space="0"/>
              <w:right w:val="nil"/>
            </w:tcBorders>
            <w:shd w:val="clear" w:color="auto" w:fill="auto"/>
          </w:tcPr>
          <w:p>
            <w:pPr>
              <w:adjustRightInd w:val="0"/>
              <w:snapToGrid w:val="0"/>
              <w:spacing w:before="62" w:beforeLines="20"/>
              <w:jc w:val="center"/>
              <w:rPr>
                <w:rFonts w:ascii="微软雅黑" w:hAnsi="微软雅黑" w:eastAsia="微软雅黑" w:cs="微软雅黑"/>
                <w:b/>
                <w:iCs/>
                <w:color w:val="FFFFFF"/>
                <w:kern w:val="0"/>
                <w:sz w:val="28"/>
                <w:szCs w:val="21"/>
              </w:rPr>
            </w:pPr>
            <w:r>
              <w:rPr>
                <w:szCs w:val="24"/>
              </w:rPr>
              <w:drawing>
                <wp:inline distT="0" distB="0" distL="114300" distR="114300">
                  <wp:extent cx="5273040" cy="2453640"/>
                  <wp:effectExtent l="0" t="0" r="0" b="0"/>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pic:cNvPicPr>
                            <a:picLocks noChangeAspect="1"/>
                          </pic:cNvPicPr>
                        </pic:nvPicPr>
                        <pic:blipFill>
                          <a:blip r:embed="rId8"/>
                          <a:stretch>
                            <a:fillRect/>
                          </a:stretch>
                        </pic:blipFill>
                        <pic:spPr>
                          <a:xfrm>
                            <a:off x="0" y="0"/>
                            <a:ext cx="5273040" cy="2453640"/>
                          </a:xfrm>
                          <a:prstGeom prst="rect">
                            <a:avLst/>
                          </a:prstGeom>
                          <a:noFill/>
                          <a:ln>
                            <a:noFill/>
                          </a:ln>
                        </pic:spPr>
                      </pic:pic>
                    </a:graphicData>
                  </a:graphic>
                </wp:inline>
              </w:drawing>
            </w:r>
          </w:p>
        </w:tc>
      </w:tr>
      <w:tr>
        <w:tblPrEx>
          <w:tblBorders>
            <w:top w:val="single" w:color="943634" w:sz="18" w:space="0"/>
            <w:left w:val="none" w:color="auto" w:sz="6" w:space="0"/>
            <w:bottom w:val="single" w:color="943634" w:sz="18" w:space="0"/>
            <w:right w:val="none" w:color="auto" w:sz="6"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5000" w:type="pct"/>
            <w:tcBorders>
              <w:top w:val="single" w:color="auto" w:sz="4" w:space="0"/>
              <w:left w:val="nil"/>
              <w:bottom w:val="single" w:color="auto" w:sz="12" w:space="0"/>
              <w:right w:val="nil"/>
            </w:tcBorders>
            <w:shd w:val="clear" w:color="auto" w:fill="auto"/>
          </w:tcPr>
          <w:p>
            <w:pPr>
              <w:widowControl/>
              <w:jc w:val="left"/>
              <w:rPr>
                <w:rFonts w:ascii="宋体" w:hAnsi="宋体" w:cs="宋体"/>
                <w:color w:val="000000"/>
                <w:kern w:val="0"/>
                <w:sz w:val="18"/>
                <w:szCs w:val="20"/>
              </w:rPr>
            </w:pPr>
            <w:r>
              <w:rPr>
                <w:rFonts w:hint="eastAsia" w:ascii="宋体" w:hAnsi="宋体" w:cs="宋体"/>
                <w:color w:val="000000"/>
                <w:kern w:val="0"/>
                <w:sz w:val="18"/>
                <w:szCs w:val="20"/>
                <w:lang w:bidi="ar"/>
              </w:rPr>
              <w:t>数据来源：W</w:t>
            </w:r>
            <w:r>
              <w:rPr>
                <w:rFonts w:ascii="宋体" w:hAnsi="宋体" w:cs="宋体"/>
                <w:color w:val="000000"/>
                <w:kern w:val="0"/>
                <w:sz w:val="18"/>
                <w:szCs w:val="20"/>
                <w:lang w:bidi="ar"/>
              </w:rPr>
              <w:t>IND</w:t>
            </w:r>
            <w:r>
              <w:rPr>
                <w:rFonts w:hint="eastAsia" w:ascii="宋体" w:hAnsi="宋体" w:cs="宋体"/>
                <w:bCs/>
                <w:color w:val="000000"/>
                <w:kern w:val="0"/>
                <w:sz w:val="18"/>
                <w:szCs w:val="18"/>
                <w:lang w:bidi="ar"/>
              </w:rPr>
              <w:t>，大公国际整理</w:t>
            </w:r>
          </w:p>
        </w:tc>
      </w:tr>
    </w:tbl>
    <w:p>
      <w:pPr>
        <w:spacing w:before="156" w:beforeLines="50" w:line="40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lang w:bidi="ar"/>
        </w:rPr>
        <w:t>分产品看，我国乘用车市场销售连续九年超过2,000万辆，增速自2021年扭正后逐步提升，2023年全年乘用车产销累计完成2,612万辆和2,606万辆，占汽车总销量的比重接近87%，同比分别增长9.6%和10.6%，增速达到2017年以来最高值；商用车销售在经历两年下滑后触底回弹，2023年，在宏观经济回升、消费市场需求回暖及各项利好政策支持等多因素作用下，全年商用车产销实现404万辆和403万辆，同比分别增长26.8%和22.1%。新能源汽车方面，近年来新能源汽车持续保持高速发展，在政策和市场的共同作用下，2023年新能源汽车产销累计完成959万辆和950万辆，同比分别增长35.8%和37.9%，市场占有率达到31.6%，同比提高5.9个百分点，新能源汽车销量近三年复合增长率为64.3%。根据中汽协数据，2023年，新能源乘用车产销分别细分产品的34.9%和34.7%，新能源商用车产销分别占细分产品的11.5%和11.1%；分动力类型看，全年纯电动车销售量669万辆，同比增长24.6%，插电式混合动力车销售量280万辆，同比增长84.7%。</w:t>
      </w:r>
    </w:p>
    <w:p>
      <w:pPr>
        <w:spacing w:after="156" w:afterLines="50" w:line="400" w:lineRule="exact"/>
        <w:ind w:firstLine="480" w:firstLineChars="200"/>
        <w:rPr>
          <w:rFonts w:ascii="仿宋" w:hAnsi="仿宋" w:eastAsia="仿宋" w:cs="仿宋"/>
          <w:color w:val="000000"/>
          <w:sz w:val="24"/>
          <w:szCs w:val="24"/>
          <w:lang w:bidi="ar"/>
        </w:rPr>
      </w:pPr>
      <w:r>
        <w:rPr>
          <w:rFonts w:hint="eastAsia" w:ascii="仿宋" w:hAnsi="仿宋" w:eastAsia="仿宋" w:cs="仿宋"/>
          <w:color w:val="000000"/>
          <w:sz w:val="24"/>
          <w:szCs w:val="24"/>
          <w:lang w:bidi="ar"/>
        </w:rPr>
        <w:t>分市场看，由于公共卫生事件导致海外供给不足、俄乌战争、中国车企出口竞争力提升及新能源汽车快速发展等多种因素，近年来我国汽车出口量快速增长，成为拉动汽车销售增长的重要动力。根据中汽协数据，2023年，我国全年汽车出口491万辆，同比增长57.9%，出口量再创新高，其中乘用车出口414万辆，商用车出口77万辆；传统燃料汽车出口371万辆，新能源汽车出口120万辆。此外，在汽车出口中，全年对俄罗斯出口约80万辆，同比增加超过60万辆，对出口增长贡献了重要力量，但需关注，此种特殊情况下的增长持续性不强。政策方面，在出口高速增长的同时，汽车行业也面临贸易壁垒提升可能，如欧盟2023年10月启动从中国进口新能源汽车反补贴调查；巴西自2024年起恢复征收针对新能源汽车的进口关税并将逐步提高税率，2026年7月对纯电动新能源车的税率将升至35%。</w:t>
      </w:r>
    </w:p>
    <w:tbl>
      <w:tblPr>
        <w:tblStyle w:val="15"/>
        <w:tblW w:w="5000" w:type="pct"/>
        <w:tblInd w:w="0" w:type="dxa"/>
        <w:tblBorders>
          <w:top w:val="single" w:color="943634" w:sz="18" w:space="0"/>
          <w:left w:val="none" w:color="auto" w:sz="6" w:space="0"/>
          <w:bottom w:val="single" w:color="943634" w:sz="18" w:space="0"/>
          <w:right w:val="none" w:color="auto" w:sz="6" w:space="0"/>
          <w:insideH w:val="single" w:color="000000" w:sz="4" w:space="0"/>
          <w:insideV w:val="single" w:color="000000" w:sz="4" w:space="0"/>
        </w:tblBorders>
        <w:tblLayout w:type="fixed"/>
        <w:tblCellMar>
          <w:top w:w="0" w:type="dxa"/>
          <w:left w:w="108" w:type="dxa"/>
          <w:bottom w:w="0" w:type="dxa"/>
          <w:right w:w="108" w:type="dxa"/>
        </w:tblCellMar>
      </w:tblPr>
      <w:tblGrid>
        <w:gridCol w:w="9286"/>
      </w:tblGrid>
      <w:tr>
        <w:tblPrEx>
          <w:tblBorders>
            <w:top w:val="single" w:color="943634" w:sz="18" w:space="0"/>
            <w:left w:val="none" w:color="auto" w:sz="6" w:space="0"/>
            <w:bottom w:val="single" w:color="943634" w:sz="18" w:space="0"/>
            <w:right w:val="none" w:color="auto"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5000" w:type="pct"/>
            <w:tcBorders>
              <w:top w:val="single" w:color="auto" w:sz="12" w:space="0"/>
              <w:left w:val="nil"/>
              <w:bottom w:val="single" w:color="auto" w:sz="4" w:space="0"/>
              <w:right w:val="nil"/>
            </w:tcBorders>
            <w:shd w:val="clear" w:color="auto" w:fill="C00000"/>
          </w:tcPr>
          <w:p>
            <w:pPr>
              <w:adjustRightInd w:val="0"/>
              <w:snapToGrid w:val="0"/>
              <w:spacing w:line="340" w:lineRule="exact"/>
              <w:jc w:val="left"/>
              <w:rPr>
                <w:rFonts w:ascii="黑体" w:hAnsi="宋体" w:eastAsia="黑体" w:cs="黑体"/>
                <w:b/>
                <w:iCs/>
                <w:color w:val="800000"/>
                <w:kern w:val="0"/>
                <w:szCs w:val="21"/>
              </w:rPr>
            </w:pPr>
            <w:r>
              <w:rPr>
                <w:rFonts w:hint="eastAsia" w:ascii="黑体" w:hAnsi="宋体" w:eastAsia="黑体" w:cs="黑体"/>
                <w:b/>
                <w:iCs/>
                <w:color w:val="FFFFFF"/>
                <w:kern w:val="0"/>
                <w:szCs w:val="21"/>
                <w:lang w:bidi="ar"/>
              </w:rPr>
              <w:t>图2  我国汽车产业景气指标变动情况（单位：点）</w:t>
            </w:r>
          </w:p>
        </w:tc>
      </w:tr>
      <w:tr>
        <w:tblPrEx>
          <w:tblBorders>
            <w:top w:val="single" w:color="943634" w:sz="18" w:space="0"/>
            <w:left w:val="none" w:color="auto" w:sz="6" w:space="0"/>
            <w:bottom w:val="single" w:color="943634" w:sz="18" w:space="0"/>
            <w:right w:val="none" w:color="auto" w:sz="6"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5000" w:type="pct"/>
            <w:tcBorders>
              <w:top w:val="single" w:color="auto" w:sz="4" w:space="0"/>
              <w:left w:val="nil"/>
              <w:bottom w:val="single" w:color="auto" w:sz="4" w:space="0"/>
              <w:right w:val="nil"/>
            </w:tcBorders>
            <w:shd w:val="clear" w:color="auto" w:fill="auto"/>
          </w:tcPr>
          <w:p>
            <w:pPr>
              <w:adjustRightInd w:val="0"/>
              <w:snapToGrid w:val="0"/>
              <w:spacing w:before="62" w:beforeLines="20"/>
              <w:jc w:val="center"/>
              <w:rPr>
                <w:rFonts w:ascii="微软雅黑" w:hAnsi="微软雅黑" w:eastAsia="微软雅黑" w:cs="微软雅黑"/>
                <w:b/>
                <w:iCs/>
                <w:color w:val="FFFFFF"/>
                <w:kern w:val="0"/>
                <w:sz w:val="28"/>
                <w:szCs w:val="21"/>
              </w:rPr>
            </w:pPr>
            <w:r>
              <w:rPr>
                <w:szCs w:val="24"/>
              </w:rPr>
              <w:drawing>
                <wp:inline distT="0" distB="0" distL="114300" distR="114300">
                  <wp:extent cx="4602480" cy="2194560"/>
                  <wp:effectExtent l="0" t="0" r="0" b="0"/>
                  <wp:docPr id="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9"/>
                          <pic:cNvPicPr>
                            <a:picLocks noChangeAspect="1"/>
                          </pic:cNvPicPr>
                        </pic:nvPicPr>
                        <pic:blipFill>
                          <a:blip r:embed="rId9"/>
                          <a:stretch>
                            <a:fillRect/>
                          </a:stretch>
                        </pic:blipFill>
                        <pic:spPr>
                          <a:xfrm>
                            <a:off x="0" y="0"/>
                            <a:ext cx="4602480" cy="2194560"/>
                          </a:xfrm>
                          <a:prstGeom prst="rect">
                            <a:avLst/>
                          </a:prstGeom>
                          <a:noFill/>
                          <a:ln>
                            <a:noFill/>
                          </a:ln>
                        </pic:spPr>
                      </pic:pic>
                    </a:graphicData>
                  </a:graphic>
                </wp:inline>
              </w:drawing>
            </w:r>
          </w:p>
        </w:tc>
      </w:tr>
      <w:tr>
        <w:tblPrEx>
          <w:tblBorders>
            <w:top w:val="single" w:color="943634" w:sz="18" w:space="0"/>
            <w:left w:val="none" w:color="auto" w:sz="6" w:space="0"/>
            <w:bottom w:val="single" w:color="943634" w:sz="18" w:space="0"/>
            <w:right w:val="none" w:color="auto" w:sz="6" w:space="0"/>
            <w:insideH w:val="single" w:color="000000" w:sz="4" w:space="0"/>
            <w:insideV w:val="single" w:color="000000" w:sz="4" w:space="0"/>
          </w:tblBorders>
          <w:tblCellMar>
            <w:top w:w="0" w:type="dxa"/>
            <w:left w:w="108" w:type="dxa"/>
            <w:bottom w:w="0" w:type="dxa"/>
            <w:right w:w="108" w:type="dxa"/>
          </w:tblCellMar>
        </w:tblPrEx>
        <w:trPr>
          <w:trHeight w:val="283" w:hRule="atLeast"/>
        </w:trPr>
        <w:tc>
          <w:tcPr>
            <w:tcW w:w="5000" w:type="pct"/>
            <w:tcBorders>
              <w:top w:val="single" w:color="auto" w:sz="4" w:space="0"/>
              <w:left w:val="nil"/>
              <w:bottom w:val="single" w:color="auto" w:sz="12" w:space="0"/>
              <w:right w:val="nil"/>
            </w:tcBorders>
            <w:shd w:val="clear" w:color="auto" w:fill="auto"/>
          </w:tcPr>
          <w:p>
            <w:pPr>
              <w:widowControl/>
              <w:jc w:val="left"/>
              <w:rPr>
                <w:rFonts w:ascii="宋体" w:hAnsi="宋体" w:cs="宋体"/>
                <w:color w:val="000000"/>
                <w:kern w:val="0"/>
                <w:sz w:val="18"/>
                <w:szCs w:val="20"/>
              </w:rPr>
            </w:pPr>
            <w:r>
              <w:rPr>
                <w:rFonts w:hint="eastAsia" w:ascii="宋体" w:hAnsi="宋体" w:cs="宋体"/>
                <w:color w:val="000000"/>
                <w:kern w:val="0"/>
                <w:sz w:val="18"/>
                <w:szCs w:val="20"/>
                <w:lang w:bidi="ar"/>
              </w:rPr>
              <w:t>数据来源：W</w:t>
            </w:r>
            <w:r>
              <w:rPr>
                <w:rFonts w:ascii="宋体" w:hAnsi="宋体" w:cs="宋体"/>
                <w:color w:val="000000"/>
                <w:kern w:val="0"/>
                <w:sz w:val="18"/>
                <w:szCs w:val="20"/>
                <w:lang w:bidi="ar"/>
              </w:rPr>
              <w:t>IND</w:t>
            </w:r>
            <w:r>
              <w:rPr>
                <w:rFonts w:hint="eastAsia" w:ascii="宋体" w:hAnsi="宋体" w:cs="宋体"/>
                <w:bCs/>
                <w:color w:val="000000"/>
                <w:kern w:val="0"/>
                <w:sz w:val="18"/>
                <w:szCs w:val="18"/>
                <w:lang w:bidi="ar"/>
              </w:rPr>
              <w:t>，大公国际整理</w:t>
            </w:r>
          </w:p>
        </w:tc>
      </w:tr>
    </w:tbl>
    <w:p>
      <w:pPr>
        <w:spacing w:before="156" w:beforeLines="50" w:line="40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lang w:bidi="ar"/>
        </w:rPr>
        <w:t>从市场景气度看，根据中汽协数据，2023年一季度，汽车产业景气指数ACI</w:t>
      </w:r>
      <w:r>
        <w:rPr>
          <w:rFonts w:hint="eastAsia" w:ascii="仿宋" w:hAnsi="仿宋" w:eastAsia="仿宋" w:cs="仿宋"/>
          <w:color w:val="000000"/>
          <w:sz w:val="24"/>
          <w:szCs w:val="24"/>
          <w:vertAlign w:val="superscript"/>
          <w:lang w:bidi="ar"/>
        </w:rPr>
        <w:footnoteReference w:id="0"/>
      </w:r>
      <w:r>
        <w:rPr>
          <w:rFonts w:hint="eastAsia" w:ascii="仿宋" w:hAnsi="仿宋" w:eastAsia="仿宋" w:cs="仿宋"/>
          <w:color w:val="000000"/>
          <w:sz w:val="24"/>
          <w:szCs w:val="24"/>
        </w:rPr>
        <w:t>为34，较2022年四季度大幅降低22个点，处于浅蓝灯区，趋冷区间运行，其中，一致合成指数为83.75，较上一季度降低8.87，处于低位运行；先行合成指数为89.56，较上一季度提高4.66点，产业运行向好趋势显著。二季度和三季度，汽车产业景气指数ACI均在60以上，位于绿灯区，汽车产业处于正常区间运行，其中，一致性指数均在89以上，处于正常区间运行；先行合成指数波动不大，在87左右，</w:t>
      </w:r>
      <w:r>
        <w:rPr>
          <w:rFonts w:hint="eastAsia" w:ascii="仿宋" w:hAnsi="仿宋" w:eastAsia="仿宋" w:cs="仿宋"/>
          <w:color w:val="000000"/>
          <w:sz w:val="24"/>
          <w:szCs w:val="24"/>
          <w:lang w:val="en-US" w:eastAsia="zh-CN"/>
        </w:rPr>
        <w:t>反映</w:t>
      </w:r>
      <w:bookmarkStart w:id="1" w:name="_GoBack"/>
      <w:bookmarkEnd w:id="1"/>
      <w:r>
        <w:rPr>
          <w:rFonts w:hint="eastAsia" w:ascii="仿宋" w:hAnsi="仿宋" w:eastAsia="仿宋" w:cs="仿宋"/>
          <w:color w:val="000000"/>
          <w:sz w:val="24"/>
          <w:szCs w:val="24"/>
        </w:rPr>
        <w:t>产业未来将保持向好态势。目前，汽车产业景气指数ACI四季度数据尚未发布，从一致合成指标和先行合成指标看较上一季度变动不大，整体产业仍处于正常区间运行，未来发展趋势向好。</w:t>
      </w:r>
    </w:p>
    <w:p>
      <w:pPr>
        <w:spacing w:line="400" w:lineRule="exact"/>
        <w:ind w:firstLine="482" w:firstLineChars="200"/>
        <w:rPr>
          <w:rFonts w:ascii="仿宋" w:hAnsi="仿宋" w:eastAsia="仿宋" w:cs="仿宋"/>
          <w:b/>
          <w:color w:val="000000"/>
          <w:sz w:val="24"/>
          <w:szCs w:val="24"/>
        </w:rPr>
      </w:pPr>
      <w:r>
        <w:rPr>
          <w:rFonts w:hint="eastAsia" w:ascii="仿宋" w:hAnsi="仿宋" w:eastAsia="仿宋" w:cs="仿宋"/>
          <w:b/>
          <w:color w:val="000000"/>
          <w:sz w:val="24"/>
          <w:szCs w:val="24"/>
          <w:lang w:bidi="ar"/>
        </w:rPr>
        <w:t>汽车产业是国民经济的重要支柱产业，产业链长、关联度高、带动性强，近年来国家持续出台扶持自主品牌、提振消费、促进新能源转型等政策，助力汽车产业发展；2024年政府工作报告对促进汽车消费、支持新能源汽车发展、加快汽车智联网科技创新等工作进行明确，奠定了汽车产业未来政策基调。</w:t>
      </w:r>
    </w:p>
    <w:p>
      <w:pPr>
        <w:spacing w:line="40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lang w:bidi="ar"/>
        </w:rPr>
        <w:t>汽车产业是国民经济的重要支柱产业，产业链长、关联度高、带动性强，促进汽车消费对稳定我国消费大盘、促进产业链高质量发展具有积极作用。同时，汽车行业新能源转型对节能减排，实现“碳达峰、碳中和”目标具有重要意义。因此，近年来国家从汽车行业的支柱地位和产业升级的战略出发持续出台扶持自主品牌、提振消费、促进新能源转型的政策。2023年，国务院及相关部委从供需两端出台一系列政策，助力汽车产业发展并取得显著效果，全年汽车产销两旺，政策内容大致可以分为三类，一是制定稳增长</w:t>
      </w:r>
      <w:r>
        <w:rPr>
          <w:rFonts w:hint="eastAsia" w:ascii="仿宋" w:hAnsi="仿宋" w:eastAsia="仿宋" w:cs="仿宋"/>
          <w:color w:val="000000"/>
          <w:sz w:val="24"/>
          <w:szCs w:val="24"/>
          <w:lang w:val="en-US" w:eastAsia="zh-CN" w:bidi="ar"/>
        </w:rPr>
        <w:t>措施</w:t>
      </w:r>
      <w:r>
        <w:rPr>
          <w:rFonts w:hint="eastAsia" w:ascii="仿宋" w:hAnsi="仿宋" w:eastAsia="仿宋" w:cs="仿宋"/>
          <w:color w:val="000000"/>
          <w:sz w:val="24"/>
          <w:szCs w:val="24"/>
          <w:lang w:bidi="ar"/>
        </w:rPr>
        <w:t>，应对环境冲击，提振市场需求；二是通过加快推进充电基础设施建设、鼓励新能源汽车下乡、延续车辆购置税减免政策等多种措施支持新能源汽车发展；三是出台智能网联汽车支持政策，推动技术创新及汽车智能化发展。</w:t>
      </w:r>
    </w:p>
    <w:p>
      <w:pPr>
        <w:spacing w:after="156" w:afterLines="50" w:line="40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lang w:bidi="ar"/>
        </w:rPr>
        <w:t>2024年政府工作报告对全年工作进行安排时，多处涉及汽车产业，提出要巩固扩大智能网联新能源汽车等产业领先优势，加快前沿新兴产业如氢能、新材料等的发展；要稳定和扩大传统消费，鼓励和推动消费品以旧换新，提振智能网联新能源汽车、电子产品等大宗消费；要加强农村地区的充电桩等基础设施建设。政府工作报告对汽车产业的安排部署，为产业下阶段发展指明了方向，也可推断出未来政策将延续2023年基调，着力于促进汽车消费、大力支持新能源汽车行业及强化科技创新等。</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1"/>
        <w:gridCol w:w="1106"/>
        <w:gridCol w:w="2668"/>
        <w:gridCol w:w="4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70" w:type="dxa"/>
            <w:gridSpan w:val="4"/>
            <w:tcBorders>
              <w:top w:val="single" w:color="auto" w:sz="12" w:space="0"/>
              <w:left w:val="nil"/>
              <w:bottom w:val="single" w:color="auto" w:sz="4" w:space="0"/>
              <w:right w:val="nil"/>
            </w:tcBorders>
            <w:shd w:val="clear" w:color="auto" w:fill="C00000"/>
          </w:tcPr>
          <w:p>
            <w:pPr>
              <w:adjustRightInd w:val="0"/>
              <w:snapToGrid w:val="0"/>
              <w:spacing w:line="340" w:lineRule="exact"/>
              <w:jc w:val="left"/>
              <w:rPr>
                <w:rFonts w:ascii="宋体" w:hAnsi="宋体" w:cs="宋体"/>
                <w:b/>
                <w:sz w:val="18"/>
                <w:szCs w:val="18"/>
              </w:rPr>
            </w:pPr>
            <w:r>
              <w:rPr>
                <w:rFonts w:hint="eastAsia" w:ascii="黑体" w:hAnsi="宋体" w:eastAsia="黑体" w:cs="黑体"/>
                <w:b/>
                <w:iCs/>
                <w:color w:val="FFFFFF"/>
                <w:kern w:val="0"/>
                <w:szCs w:val="21"/>
                <w:lang w:bidi="ar"/>
              </w:rPr>
              <w:t>表1  2023年汽车行业部分政策文件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Borders>
              <w:top w:val="single" w:color="auto" w:sz="4" w:space="0"/>
              <w:left w:val="nil"/>
              <w:bottom w:val="single" w:color="auto" w:sz="4" w:space="0"/>
              <w:right w:val="single" w:color="auto" w:sz="4" w:space="0"/>
            </w:tcBorders>
            <w:shd w:val="clear" w:color="auto" w:fill="D7D7D7"/>
          </w:tcPr>
          <w:p>
            <w:pPr>
              <w:jc w:val="center"/>
              <w:rPr>
                <w:rFonts w:ascii="宋体" w:hAnsi="宋体" w:cs="宋体"/>
                <w:b/>
                <w:sz w:val="18"/>
                <w:szCs w:val="18"/>
              </w:rPr>
            </w:pPr>
            <w:r>
              <w:rPr>
                <w:rFonts w:hint="eastAsia" w:ascii="宋体" w:hAnsi="宋体" w:cs="宋体"/>
                <w:b/>
                <w:sz w:val="18"/>
                <w:szCs w:val="18"/>
                <w:lang w:bidi="ar"/>
              </w:rPr>
              <w:t>分类</w:t>
            </w:r>
          </w:p>
        </w:tc>
        <w:tc>
          <w:tcPr>
            <w:tcW w:w="1080" w:type="dxa"/>
            <w:tcBorders>
              <w:top w:val="single" w:color="auto" w:sz="4" w:space="0"/>
              <w:left w:val="single" w:color="auto" w:sz="4" w:space="0"/>
              <w:bottom w:val="single" w:color="auto" w:sz="4" w:space="0"/>
              <w:right w:val="single" w:color="auto" w:sz="4" w:space="0"/>
            </w:tcBorders>
            <w:shd w:val="clear" w:color="auto" w:fill="D7D7D7"/>
          </w:tcPr>
          <w:p>
            <w:pPr>
              <w:ind w:left="-105" w:leftChars="-50" w:right="-105" w:rightChars="-50"/>
              <w:jc w:val="center"/>
              <w:rPr>
                <w:rFonts w:ascii="宋体" w:hAnsi="宋体" w:cs="宋体"/>
                <w:b/>
                <w:sz w:val="18"/>
                <w:szCs w:val="18"/>
              </w:rPr>
            </w:pPr>
            <w:r>
              <w:rPr>
                <w:rFonts w:hint="eastAsia" w:ascii="宋体" w:hAnsi="宋体" w:cs="宋体"/>
                <w:b/>
                <w:sz w:val="18"/>
                <w:szCs w:val="18"/>
                <w:lang w:bidi="ar"/>
              </w:rPr>
              <w:t>发布时间</w:t>
            </w:r>
          </w:p>
        </w:tc>
        <w:tc>
          <w:tcPr>
            <w:tcW w:w="2606" w:type="dxa"/>
            <w:tcBorders>
              <w:top w:val="single" w:color="auto" w:sz="4" w:space="0"/>
              <w:left w:val="single" w:color="auto" w:sz="4" w:space="0"/>
              <w:bottom w:val="single" w:color="auto" w:sz="4" w:space="0"/>
              <w:right w:val="single" w:color="auto" w:sz="4" w:space="0"/>
            </w:tcBorders>
            <w:shd w:val="clear" w:color="auto" w:fill="D7D7D7"/>
          </w:tcPr>
          <w:p>
            <w:pPr>
              <w:jc w:val="center"/>
              <w:rPr>
                <w:rFonts w:ascii="宋体" w:hAnsi="宋体" w:cs="宋体"/>
                <w:b/>
                <w:sz w:val="18"/>
                <w:szCs w:val="18"/>
              </w:rPr>
            </w:pPr>
            <w:r>
              <w:rPr>
                <w:rFonts w:hint="eastAsia" w:ascii="宋体" w:hAnsi="宋体" w:cs="宋体"/>
                <w:b/>
                <w:sz w:val="18"/>
                <w:szCs w:val="18"/>
                <w:lang w:bidi="ar"/>
              </w:rPr>
              <w:t>文件</w:t>
            </w:r>
          </w:p>
        </w:tc>
        <w:tc>
          <w:tcPr>
            <w:tcW w:w="4250" w:type="dxa"/>
            <w:tcBorders>
              <w:top w:val="single" w:color="auto" w:sz="4" w:space="0"/>
              <w:left w:val="single" w:color="auto" w:sz="4" w:space="0"/>
              <w:bottom w:val="single" w:color="auto" w:sz="4" w:space="0"/>
              <w:right w:val="nil"/>
            </w:tcBorders>
            <w:shd w:val="clear" w:color="auto" w:fill="D7D7D7"/>
          </w:tcPr>
          <w:p>
            <w:pPr>
              <w:jc w:val="center"/>
              <w:rPr>
                <w:rFonts w:ascii="宋体" w:hAnsi="宋体" w:cs="宋体"/>
                <w:b/>
                <w:sz w:val="18"/>
                <w:szCs w:val="18"/>
              </w:rPr>
            </w:pPr>
            <w:r>
              <w:rPr>
                <w:rFonts w:hint="eastAsia" w:ascii="宋体" w:hAnsi="宋体" w:cs="宋体"/>
                <w:b/>
                <w:sz w:val="18"/>
                <w:szCs w:val="18"/>
                <w:lang w:bidi="ar"/>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vMerge w:val="restart"/>
            <w:tcBorders>
              <w:top w:val="single" w:color="auto" w:sz="4" w:space="0"/>
              <w:left w:val="nil"/>
              <w:bottom w:val="single" w:color="auto" w:sz="4" w:space="0"/>
              <w:right w:val="single" w:color="auto" w:sz="4" w:space="0"/>
            </w:tcBorders>
            <w:shd w:val="clear" w:color="auto" w:fill="auto"/>
            <w:vAlign w:val="center"/>
          </w:tcPr>
          <w:p>
            <w:pPr>
              <w:spacing w:line="240" w:lineRule="exact"/>
              <w:jc w:val="center"/>
              <w:rPr>
                <w:rFonts w:ascii="宋体" w:hAnsi="宋体" w:cs="宋体"/>
                <w:bCs/>
                <w:spacing w:val="7"/>
                <w:sz w:val="18"/>
                <w:szCs w:val="18"/>
                <w:shd w:val="clear" w:color="auto" w:fill="FFFFFF"/>
              </w:rPr>
            </w:pPr>
            <w:r>
              <w:rPr>
                <w:rFonts w:hint="eastAsia" w:ascii="宋体" w:hAnsi="宋体" w:cs="宋体"/>
                <w:bCs/>
                <w:spacing w:val="7"/>
                <w:sz w:val="18"/>
                <w:szCs w:val="18"/>
                <w:shd w:val="clear" w:color="auto" w:fill="FFFFFF"/>
                <w:lang w:bidi="ar"/>
              </w:rPr>
              <w:t>提振市场需求</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center"/>
              <w:rPr>
                <w:rFonts w:ascii="宋体" w:hAnsi="宋体" w:cs="宋体"/>
                <w:bCs/>
                <w:spacing w:val="7"/>
                <w:sz w:val="18"/>
                <w:szCs w:val="18"/>
                <w:shd w:val="clear" w:color="auto" w:fill="FFFFFF"/>
              </w:rPr>
            </w:pPr>
            <w:r>
              <w:rPr>
                <w:rFonts w:hint="eastAsia" w:ascii="宋体" w:hAnsi="宋体" w:cs="宋体"/>
                <w:bCs/>
                <w:spacing w:val="7"/>
                <w:sz w:val="18"/>
                <w:szCs w:val="18"/>
                <w:shd w:val="clear" w:color="auto" w:fill="FFFFFF"/>
                <w:lang w:bidi="ar"/>
              </w:rPr>
              <w:t>2023.7</w:t>
            </w:r>
          </w:p>
        </w:tc>
        <w:tc>
          <w:tcPr>
            <w:tcW w:w="260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ind w:left="-63" w:leftChars="-30" w:right="-63" w:rightChars="-30"/>
              <w:rPr>
                <w:rFonts w:ascii="宋体" w:hAnsi="宋体" w:cs="宋体"/>
                <w:bCs/>
                <w:spacing w:val="7"/>
                <w:sz w:val="18"/>
                <w:szCs w:val="18"/>
                <w:shd w:val="clear" w:color="auto" w:fill="FFFFFF"/>
              </w:rPr>
            </w:pPr>
            <w:r>
              <w:rPr>
                <w:rFonts w:hint="eastAsia" w:ascii="宋体" w:hAnsi="宋体" w:cs="宋体"/>
                <w:bCs/>
                <w:spacing w:val="7"/>
                <w:sz w:val="18"/>
                <w:szCs w:val="18"/>
                <w:shd w:val="clear" w:color="auto" w:fill="FFFFFF"/>
                <w:lang w:bidi="ar"/>
              </w:rPr>
              <w:t>发改委等部委印发《关于促进汽车消费的若干措施》的通知</w:t>
            </w:r>
          </w:p>
        </w:tc>
        <w:tc>
          <w:tcPr>
            <w:tcW w:w="4250" w:type="dxa"/>
            <w:tcBorders>
              <w:top w:val="single" w:color="auto" w:sz="4" w:space="0"/>
              <w:left w:val="single" w:color="auto" w:sz="4" w:space="0"/>
              <w:bottom w:val="single" w:color="auto" w:sz="4" w:space="0"/>
              <w:right w:val="nil"/>
            </w:tcBorders>
            <w:shd w:val="clear" w:color="auto" w:fill="auto"/>
            <w:vAlign w:val="center"/>
          </w:tcPr>
          <w:p>
            <w:pPr>
              <w:spacing w:line="240" w:lineRule="exact"/>
              <w:ind w:left="-63" w:leftChars="-30" w:right="-63" w:rightChars="-30"/>
              <w:rPr>
                <w:rFonts w:ascii="宋体" w:hAnsi="宋体" w:cs="宋体"/>
                <w:bCs/>
                <w:spacing w:val="7"/>
                <w:sz w:val="18"/>
                <w:szCs w:val="18"/>
                <w:shd w:val="clear" w:color="auto" w:fill="FFFFFF"/>
              </w:rPr>
            </w:pPr>
            <w:r>
              <w:rPr>
                <w:rFonts w:hint="eastAsia" w:ascii="宋体" w:hAnsi="宋体" w:cs="宋体"/>
                <w:bCs/>
                <w:spacing w:val="7"/>
                <w:sz w:val="18"/>
                <w:szCs w:val="18"/>
                <w:shd w:val="clear" w:color="auto" w:fill="FFFFFF"/>
                <w:lang w:bidi="ar"/>
              </w:rPr>
              <w:t>提出优化汽车限购管理政策、支持老旧汽车更新消费、加快培育二手车市场、加强新能源汽车配套设施建设、着力提升农村电网承载能力、降低新能源汽车购置使用成本、推动公共领域增加新能源汽车采购数量、加强汽车消费金融服务、鼓励汽车企业开发经济实用车型、持续缓解停车难停车乱问题等十条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vMerge w:val="continue"/>
            <w:tcBorders>
              <w:top w:val="single" w:color="auto" w:sz="4" w:space="0"/>
              <w:left w:val="nil"/>
              <w:bottom w:val="single" w:color="auto" w:sz="4" w:space="0"/>
              <w:right w:val="single" w:color="auto" w:sz="4" w:space="0"/>
            </w:tcBorders>
            <w:shd w:val="clear" w:color="auto" w:fill="auto"/>
            <w:vAlign w:val="center"/>
          </w:tcPr>
          <w:p>
            <w:pPr>
              <w:rPr>
                <w:rFonts w:ascii="Times New Roman" w:hAnsi="Times New Roman"/>
                <w:sz w:val="20"/>
                <w:szCs w:val="20"/>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center"/>
              <w:rPr>
                <w:rFonts w:ascii="宋体" w:hAnsi="宋体" w:cs="宋体"/>
                <w:bCs/>
                <w:spacing w:val="7"/>
                <w:sz w:val="18"/>
                <w:szCs w:val="18"/>
                <w:shd w:val="clear" w:color="auto" w:fill="FFFFFF"/>
              </w:rPr>
            </w:pPr>
            <w:r>
              <w:rPr>
                <w:rFonts w:hint="eastAsia" w:ascii="宋体" w:hAnsi="宋体" w:cs="宋体"/>
                <w:bCs/>
                <w:spacing w:val="7"/>
                <w:sz w:val="18"/>
                <w:szCs w:val="18"/>
                <w:shd w:val="clear" w:color="auto" w:fill="FFFFFF"/>
                <w:lang w:bidi="ar"/>
              </w:rPr>
              <w:t>2023.8</w:t>
            </w:r>
          </w:p>
        </w:tc>
        <w:tc>
          <w:tcPr>
            <w:tcW w:w="260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ind w:left="-63" w:leftChars="-30" w:right="-63" w:rightChars="-30"/>
              <w:rPr>
                <w:rFonts w:ascii="宋体" w:hAnsi="宋体" w:cs="宋体"/>
                <w:bCs/>
                <w:spacing w:val="7"/>
                <w:sz w:val="18"/>
                <w:szCs w:val="18"/>
                <w:shd w:val="clear" w:color="auto" w:fill="FFFFFF"/>
              </w:rPr>
            </w:pPr>
            <w:r>
              <w:rPr>
                <w:rFonts w:hint="eastAsia" w:ascii="宋体" w:hAnsi="宋体" w:cs="宋体"/>
                <w:bCs/>
                <w:spacing w:val="7"/>
                <w:sz w:val="18"/>
                <w:szCs w:val="18"/>
                <w:shd w:val="clear" w:color="auto" w:fill="FFFFFF"/>
                <w:lang w:bidi="ar"/>
              </w:rPr>
              <w:t>工信部、财政部、交通运输部等七部门关于印发汽车行业稳增长工作方案（2023—2024年）的通知</w:t>
            </w:r>
          </w:p>
        </w:tc>
        <w:tc>
          <w:tcPr>
            <w:tcW w:w="4250" w:type="dxa"/>
            <w:tcBorders>
              <w:top w:val="single" w:color="auto" w:sz="4" w:space="0"/>
              <w:left w:val="single" w:color="auto" w:sz="4" w:space="0"/>
              <w:bottom w:val="single" w:color="auto" w:sz="4" w:space="0"/>
              <w:right w:val="nil"/>
            </w:tcBorders>
            <w:shd w:val="clear" w:color="auto" w:fill="auto"/>
            <w:vAlign w:val="center"/>
          </w:tcPr>
          <w:p>
            <w:pPr>
              <w:spacing w:line="240" w:lineRule="exact"/>
              <w:ind w:left="-63" w:leftChars="-30" w:right="-63" w:rightChars="-30"/>
              <w:rPr>
                <w:rFonts w:ascii="宋体" w:hAnsi="宋体" w:cs="宋体"/>
                <w:bCs/>
                <w:spacing w:val="7"/>
                <w:sz w:val="18"/>
                <w:szCs w:val="18"/>
                <w:shd w:val="clear" w:color="auto" w:fill="FFFFFF"/>
              </w:rPr>
            </w:pPr>
            <w:r>
              <w:rPr>
                <w:rFonts w:hint="eastAsia" w:ascii="宋体" w:hAnsi="宋体" w:cs="宋体"/>
                <w:bCs/>
                <w:spacing w:val="7"/>
                <w:sz w:val="18"/>
                <w:szCs w:val="18"/>
                <w:shd w:val="clear" w:color="auto" w:fill="FFFFFF"/>
                <w:lang w:bidi="ar"/>
              </w:rPr>
              <w:t>2023年力争实现汽车销量2,700万辆左右，同比增长约3%，其中新能源汽车销量900万辆左右，增长约30%；2024年汽车行业运行保持在合理区间。具体包括支持扩大新能源汽车消费、稳定燃油汽车消费、推动汽车出口提质增效、促进老旧汽车报废、更新和二手车消费、提升产品供给质量水平、保障产业链供应链稳定畅通、完善基础设施建设与运营等七条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vMerge w:val="restart"/>
            <w:tcBorders>
              <w:top w:val="single" w:color="auto" w:sz="4" w:space="0"/>
              <w:left w:val="nil"/>
              <w:bottom w:val="single" w:color="auto" w:sz="4" w:space="0"/>
              <w:right w:val="single" w:color="auto" w:sz="4" w:space="0"/>
            </w:tcBorders>
            <w:shd w:val="clear" w:color="auto" w:fill="auto"/>
            <w:vAlign w:val="center"/>
          </w:tcPr>
          <w:p>
            <w:pPr>
              <w:spacing w:line="240" w:lineRule="exact"/>
              <w:jc w:val="center"/>
              <w:rPr>
                <w:rFonts w:ascii="宋体" w:hAnsi="宋体" w:cs="宋体"/>
                <w:bCs/>
                <w:spacing w:val="7"/>
                <w:sz w:val="18"/>
                <w:szCs w:val="18"/>
                <w:shd w:val="clear" w:color="auto" w:fill="FFFFFF"/>
              </w:rPr>
            </w:pPr>
            <w:r>
              <w:rPr>
                <w:rFonts w:hint="eastAsia" w:ascii="宋体" w:hAnsi="宋体" w:cs="宋体"/>
                <w:bCs/>
                <w:spacing w:val="7"/>
                <w:sz w:val="18"/>
                <w:szCs w:val="18"/>
                <w:shd w:val="clear" w:color="auto" w:fill="FFFFFF"/>
                <w:lang w:bidi="ar"/>
              </w:rPr>
              <w:t>支持新能源汽车发展</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center"/>
              <w:rPr>
                <w:rFonts w:ascii="宋体" w:hAnsi="宋体" w:cs="宋体"/>
                <w:bCs/>
                <w:spacing w:val="7"/>
                <w:sz w:val="18"/>
                <w:szCs w:val="18"/>
                <w:shd w:val="clear" w:color="auto" w:fill="FFFFFF"/>
              </w:rPr>
            </w:pPr>
            <w:r>
              <w:rPr>
                <w:rFonts w:hint="eastAsia" w:ascii="宋体" w:hAnsi="宋体" w:cs="宋体"/>
                <w:bCs/>
                <w:spacing w:val="7"/>
                <w:sz w:val="18"/>
                <w:szCs w:val="18"/>
                <w:shd w:val="clear" w:color="auto" w:fill="FFFFFF"/>
                <w:lang w:bidi="ar"/>
              </w:rPr>
              <w:t>2023.5</w:t>
            </w:r>
          </w:p>
        </w:tc>
        <w:tc>
          <w:tcPr>
            <w:tcW w:w="260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ind w:left="-63" w:leftChars="-30" w:right="-63" w:rightChars="-30"/>
              <w:rPr>
                <w:rFonts w:ascii="宋体" w:hAnsi="宋体" w:cs="宋体"/>
                <w:bCs/>
                <w:spacing w:val="7"/>
                <w:sz w:val="18"/>
                <w:szCs w:val="18"/>
                <w:shd w:val="clear" w:color="auto" w:fill="FFFFFF"/>
              </w:rPr>
            </w:pPr>
            <w:r>
              <w:rPr>
                <w:rFonts w:hint="eastAsia" w:ascii="宋体" w:hAnsi="宋体" w:cs="宋体"/>
                <w:bCs/>
                <w:spacing w:val="7"/>
                <w:sz w:val="18"/>
                <w:szCs w:val="18"/>
                <w:shd w:val="clear" w:color="auto" w:fill="FFFFFF"/>
                <w:lang w:bidi="ar"/>
              </w:rPr>
              <w:t>发改委、国家能源局联合发布《关于加快推进充电基础设施建设更好支持新能源汽车下乡和乡村振兴的实施意见》</w:t>
            </w:r>
          </w:p>
        </w:tc>
        <w:tc>
          <w:tcPr>
            <w:tcW w:w="4250" w:type="dxa"/>
            <w:tcBorders>
              <w:top w:val="single" w:color="auto" w:sz="4" w:space="0"/>
              <w:left w:val="single" w:color="auto" w:sz="4" w:space="0"/>
              <w:bottom w:val="single" w:color="auto" w:sz="4" w:space="0"/>
              <w:right w:val="nil"/>
            </w:tcBorders>
            <w:shd w:val="clear" w:color="auto" w:fill="auto"/>
            <w:vAlign w:val="center"/>
          </w:tcPr>
          <w:p>
            <w:pPr>
              <w:spacing w:line="240" w:lineRule="exact"/>
              <w:ind w:left="-63" w:leftChars="-30" w:right="-63" w:rightChars="-30"/>
              <w:rPr>
                <w:rFonts w:ascii="宋体" w:hAnsi="宋体" w:cs="宋体"/>
                <w:bCs/>
                <w:spacing w:val="7"/>
                <w:sz w:val="18"/>
                <w:szCs w:val="18"/>
                <w:shd w:val="clear" w:color="auto" w:fill="FFFFFF"/>
              </w:rPr>
            </w:pPr>
            <w:r>
              <w:rPr>
                <w:rFonts w:hint="eastAsia" w:ascii="宋体" w:hAnsi="宋体" w:cs="宋体"/>
                <w:bCs/>
                <w:spacing w:val="7"/>
                <w:sz w:val="18"/>
                <w:szCs w:val="18"/>
                <w:shd w:val="clear" w:color="auto" w:fill="FFFFFF"/>
                <w:lang w:bidi="ar"/>
              </w:rPr>
              <w:t>指出农村地区存在公共充电基础设施建设不足、居住社区充电设施安装共享难等问题，制约了农村地区新能源汽车消费潜力的释放，要适度超前建设充电基础设施，优化新能源汽车购买使用环境，以推动新能源汽车下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vMerge w:val="continue"/>
            <w:tcBorders>
              <w:top w:val="single" w:color="auto" w:sz="4" w:space="0"/>
              <w:left w:val="nil"/>
              <w:bottom w:val="single" w:color="auto" w:sz="4" w:space="0"/>
              <w:right w:val="single" w:color="auto" w:sz="4" w:space="0"/>
            </w:tcBorders>
            <w:shd w:val="clear" w:color="auto" w:fill="auto"/>
            <w:vAlign w:val="center"/>
          </w:tcPr>
          <w:p>
            <w:pPr>
              <w:rPr>
                <w:rFonts w:ascii="Times New Roman" w:hAnsi="Times New Roman"/>
                <w:sz w:val="20"/>
                <w:szCs w:val="20"/>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center"/>
              <w:rPr>
                <w:rFonts w:ascii="宋体" w:hAnsi="宋体" w:cs="宋体"/>
                <w:bCs/>
                <w:spacing w:val="7"/>
                <w:sz w:val="18"/>
                <w:szCs w:val="18"/>
                <w:shd w:val="clear" w:color="auto" w:fill="FFFFFF"/>
              </w:rPr>
            </w:pPr>
            <w:r>
              <w:rPr>
                <w:rFonts w:hint="eastAsia" w:ascii="宋体" w:hAnsi="宋体" w:cs="宋体"/>
                <w:bCs/>
                <w:spacing w:val="7"/>
                <w:sz w:val="18"/>
                <w:szCs w:val="18"/>
                <w:shd w:val="clear" w:color="auto" w:fill="FFFFFF"/>
                <w:lang w:bidi="ar"/>
              </w:rPr>
              <w:t>2023.6</w:t>
            </w:r>
          </w:p>
        </w:tc>
        <w:tc>
          <w:tcPr>
            <w:tcW w:w="260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ind w:left="-63" w:leftChars="-30" w:right="-63" w:rightChars="-30"/>
              <w:rPr>
                <w:rFonts w:ascii="宋体" w:hAnsi="宋体" w:cs="宋体"/>
                <w:bCs/>
                <w:spacing w:val="7"/>
                <w:sz w:val="18"/>
                <w:szCs w:val="18"/>
                <w:shd w:val="clear" w:color="auto" w:fill="FFFFFF"/>
              </w:rPr>
            </w:pPr>
            <w:r>
              <w:rPr>
                <w:rFonts w:hint="eastAsia" w:ascii="宋体" w:hAnsi="宋体" w:cs="宋体"/>
                <w:bCs/>
                <w:spacing w:val="7"/>
                <w:sz w:val="18"/>
                <w:szCs w:val="18"/>
                <w:shd w:val="clear" w:color="auto" w:fill="FFFFFF"/>
                <w:lang w:bidi="ar"/>
              </w:rPr>
              <w:t>国务院发布《关于进一步构建高质量充电基础设施体系的指导意见》</w:t>
            </w:r>
          </w:p>
        </w:tc>
        <w:tc>
          <w:tcPr>
            <w:tcW w:w="4250" w:type="dxa"/>
            <w:tcBorders>
              <w:top w:val="single" w:color="auto" w:sz="4" w:space="0"/>
              <w:left w:val="single" w:color="auto" w:sz="4" w:space="0"/>
              <w:bottom w:val="single" w:color="auto" w:sz="4" w:space="0"/>
              <w:right w:val="nil"/>
            </w:tcBorders>
            <w:shd w:val="clear" w:color="auto" w:fill="auto"/>
            <w:vAlign w:val="center"/>
          </w:tcPr>
          <w:p>
            <w:pPr>
              <w:spacing w:line="240" w:lineRule="exact"/>
              <w:ind w:left="-63" w:leftChars="-30" w:right="-63" w:rightChars="-30"/>
              <w:rPr>
                <w:rFonts w:ascii="宋体" w:hAnsi="宋体" w:cs="宋体"/>
                <w:bCs/>
                <w:spacing w:val="7"/>
                <w:sz w:val="18"/>
                <w:szCs w:val="18"/>
                <w:shd w:val="clear" w:color="auto" w:fill="FFFFFF"/>
              </w:rPr>
            </w:pPr>
            <w:r>
              <w:rPr>
                <w:rFonts w:hint="eastAsia" w:ascii="宋体" w:hAnsi="宋体" w:cs="宋体"/>
                <w:bCs/>
                <w:spacing w:val="7"/>
                <w:sz w:val="18"/>
                <w:szCs w:val="18"/>
                <w:shd w:val="clear" w:color="auto" w:fill="FFFFFF"/>
                <w:lang w:bidi="ar"/>
              </w:rPr>
              <w:t>提出要进一步构建高质量充电基础设施体系，以更好支撑新能源汽车产业发展，主要包括优化完善网络布局（建设便捷高效的城际充电网络、建设互联互通的城市群都市圈充电网络、建设结构完善的城市充电网络、建设有效覆盖的农村地区充电网络）、加快重点区域建设（积极推进居住区充电基础设施建设、大力推动公共区域充电基础设施建设）、提升运营服务水平、加强科技创新引领等内容。设定了2030年基本建成覆盖广泛、规模适度、结构合理、功能完善的高质量充电基础设施体系，有力支撑新能源汽车产业发展；建设形成城市面状、公路线状、乡村点状布局的充电网络，农村地区充电服务覆盖率稳步提升等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vMerge w:val="continue"/>
            <w:tcBorders>
              <w:top w:val="single" w:color="auto" w:sz="4" w:space="0"/>
              <w:left w:val="nil"/>
              <w:bottom w:val="single" w:color="auto" w:sz="4" w:space="0"/>
              <w:right w:val="single" w:color="auto" w:sz="4" w:space="0"/>
            </w:tcBorders>
            <w:shd w:val="clear" w:color="auto" w:fill="auto"/>
            <w:vAlign w:val="center"/>
          </w:tcPr>
          <w:p>
            <w:pPr>
              <w:rPr>
                <w:rFonts w:ascii="Times New Roman" w:hAnsi="Times New Roman"/>
                <w:sz w:val="20"/>
                <w:szCs w:val="20"/>
              </w:rPr>
            </w:pPr>
          </w:p>
        </w:tc>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center"/>
              <w:rPr>
                <w:rFonts w:ascii="宋体" w:hAnsi="宋体" w:cs="宋体"/>
                <w:bCs/>
                <w:spacing w:val="7"/>
                <w:sz w:val="18"/>
                <w:szCs w:val="18"/>
                <w:shd w:val="clear" w:color="auto" w:fill="FFFFFF"/>
              </w:rPr>
            </w:pPr>
            <w:r>
              <w:rPr>
                <w:rFonts w:hint="eastAsia" w:ascii="宋体" w:hAnsi="宋体" w:cs="宋体"/>
                <w:bCs/>
                <w:spacing w:val="7"/>
                <w:sz w:val="18"/>
                <w:szCs w:val="18"/>
                <w:shd w:val="clear" w:color="auto" w:fill="FFFFFF"/>
                <w:lang w:bidi="ar"/>
              </w:rPr>
              <w:t>2023.6</w:t>
            </w:r>
          </w:p>
        </w:tc>
        <w:tc>
          <w:tcPr>
            <w:tcW w:w="260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ind w:left="-63" w:leftChars="-30" w:right="-63" w:rightChars="-30"/>
              <w:rPr>
                <w:rFonts w:ascii="宋体" w:hAnsi="宋体" w:cs="宋体"/>
                <w:bCs/>
                <w:spacing w:val="7"/>
                <w:sz w:val="18"/>
                <w:szCs w:val="18"/>
                <w:shd w:val="clear" w:color="auto" w:fill="FFFFFF"/>
              </w:rPr>
            </w:pPr>
            <w:r>
              <w:rPr>
                <w:rFonts w:hint="eastAsia" w:ascii="宋体" w:hAnsi="宋体" w:cs="宋体"/>
                <w:bCs/>
                <w:spacing w:val="7"/>
                <w:sz w:val="18"/>
                <w:szCs w:val="18"/>
                <w:shd w:val="clear" w:color="auto" w:fill="FFFFFF"/>
                <w:lang w:bidi="ar"/>
              </w:rPr>
              <w:t>工信部等五部门联合发布《关于开展2023年新能源汽车下乡活动的通知》</w:t>
            </w:r>
          </w:p>
        </w:tc>
        <w:tc>
          <w:tcPr>
            <w:tcW w:w="4250" w:type="dxa"/>
            <w:tcBorders>
              <w:top w:val="single" w:color="auto" w:sz="4" w:space="0"/>
              <w:left w:val="single" w:color="auto" w:sz="4" w:space="0"/>
              <w:bottom w:val="single" w:color="auto" w:sz="4" w:space="0"/>
              <w:right w:val="nil"/>
            </w:tcBorders>
            <w:shd w:val="clear" w:color="auto" w:fill="auto"/>
            <w:vAlign w:val="center"/>
          </w:tcPr>
          <w:p>
            <w:pPr>
              <w:spacing w:line="240" w:lineRule="exact"/>
              <w:ind w:left="-63" w:leftChars="-30" w:right="-63" w:rightChars="-30"/>
              <w:rPr>
                <w:rFonts w:ascii="宋体" w:hAnsi="宋体" w:cs="宋体"/>
                <w:bCs/>
                <w:spacing w:val="7"/>
                <w:sz w:val="18"/>
                <w:szCs w:val="18"/>
                <w:shd w:val="clear" w:color="auto" w:fill="FFFFFF"/>
              </w:rPr>
            </w:pPr>
            <w:r>
              <w:rPr>
                <w:rFonts w:hint="eastAsia" w:ascii="宋体" w:hAnsi="宋体" w:cs="宋体"/>
                <w:bCs/>
                <w:spacing w:val="7"/>
                <w:sz w:val="18"/>
                <w:szCs w:val="18"/>
                <w:shd w:val="clear" w:color="auto" w:fill="FFFFFF"/>
                <w:lang w:bidi="ar"/>
              </w:rPr>
              <w:t>组织开展2023年新能源汽车下乡活动，促进农村地区新能源汽车推广应用。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vMerge w:val="continue"/>
            <w:tcBorders>
              <w:top w:val="single" w:color="auto" w:sz="4" w:space="0"/>
              <w:left w:val="nil"/>
              <w:bottom w:val="single" w:color="auto" w:sz="4" w:space="0"/>
              <w:right w:val="single" w:color="auto" w:sz="4" w:space="0"/>
            </w:tcBorders>
            <w:shd w:val="clear" w:color="auto" w:fill="auto"/>
            <w:vAlign w:val="center"/>
          </w:tcPr>
          <w:p>
            <w:pPr>
              <w:rPr>
                <w:rFonts w:ascii="Times New Roman" w:hAnsi="Times New Roman"/>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Times New Roman" w:hAnsi="Times New Roman"/>
                <w:sz w:val="20"/>
                <w:szCs w:val="20"/>
              </w:rPr>
            </w:pPr>
          </w:p>
        </w:tc>
        <w:tc>
          <w:tcPr>
            <w:tcW w:w="260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ind w:left="-63" w:leftChars="-30" w:right="-63" w:rightChars="-30"/>
              <w:rPr>
                <w:rFonts w:ascii="宋体" w:hAnsi="宋体" w:cs="宋体"/>
                <w:bCs/>
                <w:spacing w:val="7"/>
                <w:sz w:val="18"/>
                <w:szCs w:val="18"/>
                <w:shd w:val="clear" w:color="auto" w:fill="FFFFFF"/>
              </w:rPr>
            </w:pPr>
            <w:r>
              <w:rPr>
                <w:rFonts w:hint="eastAsia" w:ascii="宋体" w:hAnsi="宋体" w:cs="宋体"/>
                <w:bCs/>
                <w:spacing w:val="7"/>
                <w:sz w:val="18"/>
                <w:szCs w:val="18"/>
                <w:shd w:val="clear" w:color="auto" w:fill="FFFFFF"/>
                <w:lang w:bidi="ar"/>
              </w:rPr>
              <w:t>财政部、税务总局、工信部联合发布《关于延续和优化新能源汽车车辆购置税减免政策的公告》</w:t>
            </w:r>
          </w:p>
        </w:tc>
        <w:tc>
          <w:tcPr>
            <w:tcW w:w="4250" w:type="dxa"/>
            <w:tcBorders>
              <w:top w:val="single" w:color="auto" w:sz="4" w:space="0"/>
              <w:left w:val="single" w:color="auto" w:sz="4" w:space="0"/>
              <w:bottom w:val="single" w:color="auto" w:sz="4" w:space="0"/>
              <w:right w:val="nil"/>
            </w:tcBorders>
            <w:shd w:val="clear" w:color="auto" w:fill="auto"/>
            <w:vAlign w:val="center"/>
          </w:tcPr>
          <w:p>
            <w:pPr>
              <w:spacing w:line="240" w:lineRule="exact"/>
              <w:ind w:left="-63" w:leftChars="-30" w:right="-63" w:rightChars="-30"/>
              <w:rPr>
                <w:rFonts w:ascii="宋体" w:hAnsi="宋体" w:cs="宋体"/>
                <w:bCs/>
                <w:spacing w:val="7"/>
                <w:sz w:val="18"/>
                <w:szCs w:val="18"/>
                <w:shd w:val="clear" w:color="auto" w:fill="FFFFFF"/>
              </w:rPr>
            </w:pPr>
            <w:r>
              <w:rPr>
                <w:rFonts w:hint="eastAsia" w:ascii="宋体" w:hAnsi="宋体" w:cs="宋体"/>
                <w:bCs/>
                <w:spacing w:val="7"/>
                <w:sz w:val="18"/>
                <w:szCs w:val="18"/>
                <w:shd w:val="clear" w:color="auto" w:fill="FFFFFF"/>
                <w:lang w:bidi="ar"/>
              </w:rPr>
              <w:t>提出对购置日期在2024年1月1日至2025年12月31日期间的新能源汽车免征车辆购置税，对购置日期在2026年1月1日至2027年12月31日期间的新能源汽车减半征收车辆购置税</w:t>
            </w:r>
            <w:r>
              <w:rPr>
                <w:rFonts w:hint="eastAsia" w:ascii="宋体" w:hAnsi="宋体" w:cs="宋体"/>
                <w:bCs/>
                <w:spacing w:val="7"/>
                <w:sz w:val="18"/>
                <w:szCs w:val="18"/>
                <w:shd w:val="clear" w:color="auto" w:fill="FFFFFF"/>
                <w:vertAlign w:val="superscript"/>
                <w:lang w:bidi="ar"/>
              </w:rPr>
              <w:footnoteReference w:id="1"/>
            </w:r>
            <w:r>
              <w:rPr>
                <w:rFonts w:hint="eastAsia" w:ascii="宋体" w:hAnsi="宋体" w:cs="宋体"/>
                <w:bCs/>
                <w:spacing w:val="7"/>
                <w:sz w:val="18"/>
                <w:szCs w:val="18"/>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vMerge w:val="continue"/>
            <w:tcBorders>
              <w:top w:val="single" w:color="auto" w:sz="4" w:space="0"/>
              <w:left w:val="nil"/>
              <w:bottom w:val="single" w:color="auto" w:sz="4" w:space="0"/>
              <w:right w:val="single" w:color="auto" w:sz="4" w:space="0"/>
            </w:tcBorders>
            <w:shd w:val="clear" w:color="auto" w:fill="auto"/>
            <w:vAlign w:val="center"/>
          </w:tcPr>
          <w:p>
            <w:pPr>
              <w:rPr>
                <w:rFonts w:ascii="Times New Roman" w:hAnsi="Times New Roman"/>
                <w:sz w:val="20"/>
                <w:szCs w:val="20"/>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center"/>
              <w:rPr>
                <w:rFonts w:ascii="宋体" w:hAnsi="宋体" w:cs="宋体"/>
                <w:bCs/>
                <w:spacing w:val="7"/>
                <w:sz w:val="18"/>
                <w:szCs w:val="18"/>
                <w:shd w:val="clear" w:color="auto" w:fill="FFFFFF"/>
              </w:rPr>
            </w:pPr>
            <w:r>
              <w:rPr>
                <w:rFonts w:hint="eastAsia" w:ascii="宋体" w:hAnsi="宋体" w:cs="宋体"/>
                <w:bCs/>
                <w:spacing w:val="7"/>
                <w:sz w:val="18"/>
                <w:szCs w:val="18"/>
                <w:shd w:val="clear" w:color="auto" w:fill="FFFFFF"/>
                <w:lang w:bidi="ar"/>
              </w:rPr>
              <w:t>2023.7</w:t>
            </w:r>
          </w:p>
        </w:tc>
        <w:tc>
          <w:tcPr>
            <w:tcW w:w="260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ind w:left="-63" w:leftChars="-30" w:right="-63" w:rightChars="-30"/>
              <w:rPr>
                <w:rFonts w:ascii="宋体" w:hAnsi="宋体" w:cs="宋体"/>
                <w:bCs/>
                <w:spacing w:val="7"/>
                <w:sz w:val="18"/>
                <w:szCs w:val="18"/>
                <w:shd w:val="clear" w:color="auto" w:fill="FFFFFF"/>
              </w:rPr>
            </w:pPr>
            <w:r>
              <w:rPr>
                <w:rFonts w:hint="eastAsia" w:ascii="宋体" w:hAnsi="宋体" w:cs="宋体"/>
                <w:bCs/>
                <w:spacing w:val="7"/>
                <w:sz w:val="18"/>
                <w:szCs w:val="18"/>
                <w:shd w:val="clear" w:color="auto" w:fill="FFFFFF"/>
                <w:lang w:bidi="ar"/>
              </w:rPr>
              <w:t>发改委、国家能源局等联合发布《关于实施农村电网巩固提升工程的指导意见》</w:t>
            </w:r>
          </w:p>
        </w:tc>
        <w:tc>
          <w:tcPr>
            <w:tcW w:w="4250" w:type="dxa"/>
            <w:tcBorders>
              <w:top w:val="single" w:color="auto" w:sz="4" w:space="0"/>
              <w:left w:val="single" w:color="auto" w:sz="4" w:space="0"/>
              <w:bottom w:val="single" w:color="auto" w:sz="4" w:space="0"/>
              <w:right w:val="nil"/>
            </w:tcBorders>
            <w:shd w:val="clear" w:color="auto" w:fill="auto"/>
            <w:vAlign w:val="center"/>
          </w:tcPr>
          <w:p>
            <w:pPr>
              <w:spacing w:line="240" w:lineRule="exact"/>
              <w:ind w:left="-63" w:leftChars="-30" w:right="-63" w:rightChars="-30"/>
              <w:rPr>
                <w:rFonts w:ascii="宋体" w:hAnsi="宋体" w:cs="宋体"/>
                <w:bCs/>
                <w:spacing w:val="7"/>
                <w:sz w:val="18"/>
                <w:szCs w:val="18"/>
                <w:shd w:val="clear" w:color="auto" w:fill="FFFFFF"/>
              </w:rPr>
            </w:pPr>
            <w:r>
              <w:rPr>
                <w:rFonts w:hint="eastAsia" w:ascii="宋体" w:hAnsi="宋体" w:cs="宋体"/>
                <w:bCs/>
                <w:spacing w:val="7"/>
                <w:sz w:val="18"/>
                <w:szCs w:val="18"/>
                <w:shd w:val="clear" w:color="auto" w:fill="FFFFFF"/>
                <w:lang w:bidi="ar"/>
              </w:rPr>
              <w:t>提出要统筹考虑乡村级充电网络建设和输配电网发展，加强充电基础设施配套电网建设改造和运营维护，在东部地区配合开展充电基础设施示范县和示范乡镇创建，构建高质量充电基础设施体系，服务新能源汽车下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vMerge w:val="restart"/>
            <w:tcBorders>
              <w:top w:val="single" w:color="auto" w:sz="4" w:space="0"/>
              <w:left w:val="nil"/>
              <w:bottom w:val="single" w:color="auto" w:sz="4" w:space="0"/>
              <w:right w:val="single" w:color="auto" w:sz="4" w:space="0"/>
            </w:tcBorders>
            <w:shd w:val="clear" w:color="auto" w:fill="auto"/>
            <w:vAlign w:val="center"/>
          </w:tcPr>
          <w:p>
            <w:pPr>
              <w:spacing w:line="240" w:lineRule="exact"/>
              <w:jc w:val="center"/>
              <w:rPr>
                <w:rFonts w:ascii="宋体" w:hAnsi="宋体" w:cs="宋体"/>
                <w:bCs/>
                <w:spacing w:val="7"/>
                <w:sz w:val="18"/>
                <w:szCs w:val="18"/>
                <w:shd w:val="clear" w:color="auto" w:fill="FFFFFF"/>
              </w:rPr>
            </w:pPr>
            <w:r>
              <w:rPr>
                <w:rFonts w:hint="eastAsia" w:ascii="宋体" w:hAnsi="宋体" w:cs="宋体"/>
                <w:bCs/>
                <w:spacing w:val="7"/>
                <w:sz w:val="18"/>
                <w:szCs w:val="18"/>
                <w:shd w:val="clear" w:color="auto" w:fill="FFFFFF"/>
                <w:lang w:bidi="ar"/>
              </w:rPr>
              <w:t>支持汽车智能化发展</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center"/>
              <w:rPr>
                <w:rFonts w:ascii="宋体" w:hAnsi="宋体" w:cs="宋体"/>
                <w:bCs/>
                <w:spacing w:val="7"/>
                <w:sz w:val="18"/>
                <w:szCs w:val="18"/>
                <w:shd w:val="clear" w:color="auto" w:fill="FFFFFF"/>
              </w:rPr>
            </w:pPr>
            <w:r>
              <w:rPr>
                <w:rFonts w:hint="eastAsia" w:ascii="宋体" w:hAnsi="宋体" w:cs="宋体"/>
                <w:bCs/>
                <w:spacing w:val="7"/>
                <w:sz w:val="18"/>
                <w:szCs w:val="18"/>
                <w:shd w:val="clear" w:color="auto" w:fill="FFFFFF"/>
                <w:lang w:bidi="ar"/>
              </w:rPr>
              <w:t>2023.7</w:t>
            </w:r>
          </w:p>
        </w:tc>
        <w:tc>
          <w:tcPr>
            <w:tcW w:w="260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ind w:left="-63" w:leftChars="-30" w:right="-63" w:rightChars="-30"/>
              <w:rPr>
                <w:rFonts w:ascii="宋体" w:hAnsi="宋体" w:cs="宋体"/>
                <w:bCs/>
                <w:spacing w:val="7"/>
                <w:sz w:val="18"/>
                <w:szCs w:val="18"/>
                <w:shd w:val="clear" w:color="auto" w:fill="FFFFFF"/>
              </w:rPr>
            </w:pPr>
            <w:r>
              <w:rPr>
                <w:rFonts w:hint="eastAsia" w:ascii="宋体" w:hAnsi="宋体" w:cs="宋体"/>
                <w:bCs/>
                <w:spacing w:val="7"/>
                <w:sz w:val="18"/>
                <w:szCs w:val="18"/>
                <w:shd w:val="clear" w:color="auto" w:fill="FFFFFF"/>
                <w:lang w:bidi="ar"/>
              </w:rPr>
              <w:t>工信部、国家标准化管理委员会联合发布关于印发《国家车联网产业标准体系建设指南（智能网联汽车）（2023版）》的通知</w:t>
            </w:r>
          </w:p>
        </w:tc>
        <w:tc>
          <w:tcPr>
            <w:tcW w:w="4250" w:type="dxa"/>
            <w:tcBorders>
              <w:top w:val="single" w:color="auto" w:sz="4" w:space="0"/>
              <w:left w:val="single" w:color="auto" w:sz="4" w:space="0"/>
              <w:bottom w:val="single" w:color="auto" w:sz="4" w:space="0"/>
              <w:right w:val="nil"/>
            </w:tcBorders>
            <w:shd w:val="clear" w:color="auto" w:fill="auto"/>
            <w:vAlign w:val="center"/>
          </w:tcPr>
          <w:p>
            <w:pPr>
              <w:spacing w:line="240" w:lineRule="exact"/>
              <w:ind w:left="-63" w:leftChars="-30" w:right="-63" w:rightChars="-30"/>
              <w:rPr>
                <w:rFonts w:ascii="宋体" w:hAnsi="宋体" w:cs="宋体"/>
                <w:bCs/>
                <w:spacing w:val="7"/>
                <w:sz w:val="18"/>
                <w:szCs w:val="18"/>
                <w:shd w:val="clear" w:color="auto" w:fill="FFFFFF"/>
              </w:rPr>
            </w:pPr>
            <w:r>
              <w:rPr>
                <w:rFonts w:hint="eastAsia" w:ascii="宋体" w:hAnsi="宋体" w:cs="宋体"/>
                <w:bCs/>
                <w:spacing w:val="7"/>
                <w:sz w:val="18"/>
                <w:szCs w:val="18"/>
                <w:shd w:val="clear" w:color="auto" w:fill="FFFFFF"/>
                <w:lang w:bidi="ar"/>
              </w:rPr>
              <w:t>新版标准体系建设指南主要针对智能网联汽车通用规范、核心技术与关键产品应用，构建包括智能网联汽车基础、技术、产品、试验标准等在内的智能网联汽车标准体系，指导车联网产业智能网联汽车领域的相关标准制修订。到2025年，系统形成能够支撑组合驾驶辅助和自动驾驶通用功能的智能网联汽车标准体系；到2030年，全面形成能够支撑实现单车智能和网联赋能协同发展的智能网联汽车标准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vMerge w:val="continue"/>
            <w:tcBorders>
              <w:top w:val="single" w:color="auto" w:sz="4" w:space="0"/>
              <w:left w:val="nil"/>
              <w:bottom w:val="single" w:color="auto" w:sz="4" w:space="0"/>
              <w:right w:val="single" w:color="auto" w:sz="4" w:space="0"/>
            </w:tcBorders>
            <w:shd w:val="clear" w:color="auto" w:fill="auto"/>
            <w:vAlign w:val="center"/>
          </w:tcPr>
          <w:p>
            <w:pPr>
              <w:rPr>
                <w:rFonts w:ascii="Times New Roman" w:hAnsi="Times New Roman"/>
                <w:sz w:val="20"/>
                <w:szCs w:val="20"/>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center"/>
              <w:rPr>
                <w:rFonts w:ascii="宋体" w:hAnsi="宋体" w:cs="宋体"/>
                <w:bCs/>
                <w:spacing w:val="7"/>
                <w:sz w:val="18"/>
                <w:szCs w:val="18"/>
                <w:shd w:val="clear" w:color="auto" w:fill="FFFFFF"/>
              </w:rPr>
            </w:pPr>
            <w:r>
              <w:rPr>
                <w:rFonts w:hint="eastAsia" w:ascii="宋体" w:hAnsi="宋体" w:cs="宋体"/>
                <w:bCs/>
                <w:spacing w:val="7"/>
                <w:sz w:val="18"/>
                <w:szCs w:val="18"/>
                <w:shd w:val="clear" w:color="auto" w:fill="FFFFFF"/>
                <w:lang w:bidi="ar"/>
              </w:rPr>
              <w:t>2023.11</w:t>
            </w:r>
          </w:p>
        </w:tc>
        <w:tc>
          <w:tcPr>
            <w:tcW w:w="260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ind w:left="-63" w:leftChars="-30" w:right="-63" w:rightChars="-30"/>
              <w:rPr>
                <w:rFonts w:ascii="宋体" w:hAnsi="宋体" w:cs="宋体"/>
                <w:bCs/>
                <w:spacing w:val="7"/>
                <w:sz w:val="18"/>
                <w:szCs w:val="18"/>
                <w:shd w:val="clear" w:color="auto" w:fill="FFFFFF"/>
              </w:rPr>
            </w:pPr>
            <w:r>
              <w:rPr>
                <w:rFonts w:hint="eastAsia" w:ascii="宋体" w:hAnsi="宋体" w:cs="宋体"/>
                <w:bCs/>
                <w:spacing w:val="7"/>
                <w:sz w:val="18"/>
                <w:szCs w:val="18"/>
                <w:shd w:val="clear" w:color="auto" w:fill="FFFFFF"/>
                <w:lang w:bidi="ar"/>
              </w:rPr>
              <w:t>工信部、公安部等四部门联合发布《关于开展智能网联汽车准入和上路通行试点工作的通知》</w:t>
            </w:r>
          </w:p>
        </w:tc>
        <w:tc>
          <w:tcPr>
            <w:tcW w:w="4250" w:type="dxa"/>
            <w:tcBorders>
              <w:top w:val="single" w:color="auto" w:sz="4" w:space="0"/>
              <w:left w:val="single" w:color="auto" w:sz="4" w:space="0"/>
              <w:bottom w:val="single" w:color="auto" w:sz="4" w:space="0"/>
              <w:right w:val="nil"/>
            </w:tcBorders>
            <w:shd w:val="clear" w:color="auto" w:fill="auto"/>
            <w:vAlign w:val="center"/>
          </w:tcPr>
          <w:p>
            <w:pPr>
              <w:spacing w:line="240" w:lineRule="exact"/>
              <w:ind w:left="-63" w:leftChars="-30" w:right="-63" w:rightChars="-30"/>
              <w:rPr>
                <w:rFonts w:ascii="宋体" w:hAnsi="宋体" w:cs="宋体"/>
                <w:bCs/>
                <w:spacing w:val="7"/>
                <w:sz w:val="18"/>
                <w:szCs w:val="18"/>
                <w:shd w:val="clear" w:color="auto" w:fill="FFFFFF"/>
              </w:rPr>
            </w:pPr>
            <w:r>
              <w:rPr>
                <w:rFonts w:hint="eastAsia" w:ascii="宋体" w:hAnsi="宋体" w:cs="宋体"/>
                <w:bCs/>
                <w:spacing w:val="7"/>
                <w:sz w:val="18"/>
                <w:szCs w:val="18"/>
                <w:shd w:val="clear" w:color="auto" w:fill="FFFFFF"/>
                <w:lang w:bidi="ar"/>
              </w:rPr>
              <w:t>提出在智能网联汽车道路测试与示范应用工作基础上，遴选具备量产条件的搭载自动驾驶功能的智能网联汽车产品，开展准入试点；对取得准入的智能网联汽车产品，在限定区域内开展上路通行试点。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70" w:type="dxa"/>
            <w:gridSpan w:val="4"/>
            <w:tcBorders>
              <w:top w:val="single" w:color="auto" w:sz="4" w:space="0"/>
              <w:left w:val="nil"/>
              <w:bottom w:val="single" w:color="auto" w:sz="12" w:space="0"/>
              <w:right w:val="nil"/>
            </w:tcBorders>
            <w:shd w:val="clear" w:color="auto" w:fill="auto"/>
          </w:tcPr>
          <w:p>
            <w:pPr>
              <w:rPr>
                <w:rFonts w:ascii="宋体" w:hAnsi="宋体" w:cs="宋体"/>
                <w:sz w:val="18"/>
                <w:szCs w:val="18"/>
              </w:rPr>
            </w:pPr>
            <w:r>
              <w:rPr>
                <w:rFonts w:hint="eastAsia" w:ascii="宋体" w:hAnsi="宋体" w:cs="宋体"/>
                <w:sz w:val="18"/>
                <w:szCs w:val="18"/>
                <w:lang w:bidi="ar"/>
              </w:rPr>
              <w:t>资料来源：公开资料，由大公国际整理</w:t>
            </w:r>
          </w:p>
        </w:tc>
      </w:tr>
    </w:tbl>
    <w:p>
      <w:pPr>
        <w:spacing w:before="156" w:beforeLines="50" w:after="156" w:afterLines="50" w:line="400" w:lineRule="exact"/>
        <w:outlineLvl w:val="0"/>
        <w:rPr>
          <w:rFonts w:ascii="黑体" w:hAnsi="宋体" w:eastAsia="黑体" w:cs="黑体"/>
          <w:b/>
          <w:color w:val="C00000"/>
          <w:sz w:val="28"/>
          <w:szCs w:val="28"/>
        </w:rPr>
      </w:pPr>
      <w:r>
        <w:rPr>
          <w:rFonts w:hint="eastAsia" w:ascii="黑体" w:hAnsi="宋体" w:eastAsia="黑体" w:cs="黑体"/>
          <w:b/>
          <w:color w:val="C00000"/>
          <w:sz w:val="28"/>
          <w:szCs w:val="28"/>
          <w:lang w:bidi="ar"/>
        </w:rPr>
        <w:t>二、市场供需情况及竞争格局</w:t>
      </w:r>
    </w:p>
    <w:p>
      <w:pPr>
        <w:spacing w:line="400" w:lineRule="exact"/>
        <w:ind w:firstLine="482" w:firstLineChars="200"/>
        <w:rPr>
          <w:rFonts w:ascii="仿宋" w:hAnsi="仿宋" w:eastAsia="仿宋" w:cs="仿宋"/>
          <w:b/>
          <w:bCs/>
          <w:color w:val="000000"/>
          <w:sz w:val="24"/>
          <w:szCs w:val="24"/>
          <w:lang w:bidi="ar"/>
        </w:rPr>
      </w:pPr>
      <w:r>
        <w:rPr>
          <w:rFonts w:hint="eastAsia" w:ascii="仿宋" w:hAnsi="仿宋" w:eastAsia="仿宋" w:cs="仿宋"/>
          <w:b/>
          <w:bCs/>
          <w:color w:val="000000"/>
          <w:sz w:val="24"/>
          <w:szCs w:val="24"/>
          <w:lang w:bidi="ar"/>
        </w:rPr>
        <w:t>我国汽车行业已由“增量时代”进入到“增量和存量并重时代”，市场更新换代需求和潜力很大，但由于我国汽车存量规模大且普及率持续提升，未来销售增速或将承压。</w:t>
      </w:r>
    </w:p>
    <w:p>
      <w:pPr>
        <w:spacing w:line="400" w:lineRule="exact"/>
        <w:ind w:firstLine="480" w:firstLineChars="200"/>
        <w:rPr>
          <w:rFonts w:ascii="仿宋" w:hAnsi="仿宋" w:eastAsia="仿宋" w:cs="仿宋"/>
          <w:color w:val="000000"/>
          <w:sz w:val="24"/>
          <w:szCs w:val="24"/>
          <w:lang w:bidi="ar"/>
        </w:rPr>
      </w:pPr>
      <w:r>
        <w:rPr>
          <w:rFonts w:hint="eastAsia" w:ascii="仿宋" w:hAnsi="仿宋" w:eastAsia="仿宋" w:cs="仿宋"/>
          <w:color w:val="000000"/>
          <w:sz w:val="24"/>
          <w:szCs w:val="24"/>
          <w:lang w:bidi="ar"/>
        </w:rPr>
        <w:t>近年来我国汽车保有量持续增长，根据公安部统计，截至2023年末，全国机动车汽车保有量3.36亿辆，其中新能源汽车保有量0.20亿辆。此外，随着国民经济增长、人民可支配收入提升，我国居民对汽车的平均拥有量亦持续增长，根据国家统计局数据，截至2022年末，我国城镇家庭平均每百户拥有家用汽车51.4辆，农村居民平均每百户拥有家用汽车32.45辆。总体来看，我国汽车存量规模大且普及率持续提升，未来销售增速或将承压，但国内人均汽车保有量与发达国家相比还有差距，存在增量空间，同时，基于汽车庞大的存量规模，未来更新换代需求和潜力很大，行业已由“增量时代”进入到“增量和存量并重时代”。</w:t>
      </w:r>
    </w:p>
    <w:p>
      <w:pPr>
        <w:spacing w:line="40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lang w:bidi="ar"/>
        </w:rPr>
        <w:t>具体来看，一是随着国民经济发展、居民可支配收入提升及生活方式的改变，该部分增量及更新需求会持续对汽车市场形成支撑；二是随着汽车技术革新，互联网、电池、人工智能等技术的快速突破将推动传统汽车向智能汽车、新能源汽车等迭代升级，消费升级将会激活存量更新的巨大需求；三是新能源汽车技术升级及推广也将会对汽车市场需求形成巨大支撑，目前新能源汽车渗透率虽然已经提高至30%以上，但从现在市场结构看新能源汽车保有量主要集中在大中型城市，小型城市及农村地区新能源普及率较低，随着此类区域基础设施的完善及相关消费政策的支持，该类市场具有较大的挖潜空间。</w:t>
      </w:r>
    </w:p>
    <w:p>
      <w:pPr>
        <w:spacing w:line="40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lang w:bidi="ar"/>
        </w:rPr>
        <w:t>此外，我国汽车供应链较为完备，产品综合水平逐年提升，可为海外消费者提供有竞争力的产品，尤其是新能源汽车领域，研制技术全球领先，可满足海外经济体为履行减碳目标而对新能源汽车的需求，汽车出口有望成为行业增长的动力之一。</w:t>
      </w:r>
    </w:p>
    <w:p>
      <w:pPr>
        <w:keepNext/>
        <w:keepLines/>
        <w:spacing w:line="400" w:lineRule="exact"/>
        <w:ind w:firstLine="482" w:firstLineChars="200"/>
        <w:rPr>
          <w:rFonts w:ascii="仿宋" w:hAnsi="仿宋" w:eastAsia="仿宋" w:cs="仿宋"/>
          <w:b/>
          <w:bCs/>
          <w:color w:val="000000"/>
          <w:sz w:val="24"/>
          <w:szCs w:val="24"/>
        </w:rPr>
      </w:pPr>
      <w:r>
        <w:rPr>
          <w:rFonts w:hint="eastAsia" w:ascii="仿宋" w:hAnsi="仿宋" w:eastAsia="仿宋" w:cs="仿宋"/>
          <w:b/>
          <w:bCs/>
          <w:color w:val="000000"/>
          <w:sz w:val="24"/>
          <w:szCs w:val="24"/>
          <w:lang w:bidi="ar"/>
        </w:rPr>
        <w:t>我国汽车行业集中度高，但较多企业集团内部自主品牌与合资品牌共存，存在内部竞争；2023年自主品牌竞争力大幅提升，市场份额明显上升；新能源汽车销售快速增长且市场空间大，市场参与主体不断增多，未来竞争将日益激烈。</w:t>
      </w:r>
    </w:p>
    <w:p>
      <w:pPr>
        <w:spacing w:line="40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lang w:bidi="ar"/>
        </w:rPr>
        <w:t>根据中汽协数据，2023年，我国汽车销售量排名前五位和前十位企业集团销售合计分别为1,636万辆和2,572万辆，同比分别增长8.7%和增长9.9%，市场份额分别为54.4%和85.4%，占比很高。前十企业分别为上汽集团、中国一汽、比亚迪股份、长安汽车、广汽集团、东风汽车、吉利控股、奇瑞控股、北汽集团、长城汽车</w:t>
      </w:r>
      <w:r>
        <w:rPr>
          <w:rFonts w:hint="eastAsia" w:ascii="仿宋" w:hAnsi="仿宋" w:eastAsia="仿宋" w:cs="仿宋"/>
          <w:color w:val="000000"/>
          <w:sz w:val="24"/>
          <w:szCs w:val="24"/>
          <w:vertAlign w:val="superscript"/>
          <w:lang w:bidi="ar"/>
        </w:rPr>
        <w:footnoteReference w:id="2"/>
      </w:r>
      <w:r>
        <w:rPr>
          <w:rFonts w:hint="eastAsia" w:ascii="仿宋" w:hAnsi="仿宋" w:eastAsia="仿宋" w:cs="仿宋"/>
          <w:color w:val="000000"/>
          <w:sz w:val="24"/>
          <w:szCs w:val="24"/>
        </w:rPr>
        <w:t>，其中，上汽集团和中国一汽排名稳居前两位；比亚迪股份跻身前三，名次同比提升三位；东风汽车受累于合资品牌销量下滑，排名由第三下滑至第六位，北汽集团增速较慢，排名由第七下滑至第九位。整体来看，我国汽车行业集中度高，但较多企业集团自主品牌与合资品牌共存，存在内部竞争。此外，在发展过程中，自主品牌竞争力大幅提升，根据中汽协数据，2023年中国品牌乘用车累计销售1</w:t>
      </w:r>
      <w:r>
        <w:rPr>
          <w:rFonts w:ascii="仿宋" w:hAnsi="仿宋" w:eastAsia="仿宋" w:cs="仿宋"/>
          <w:color w:val="000000"/>
          <w:sz w:val="24"/>
          <w:szCs w:val="24"/>
        </w:rPr>
        <w:t>,</w:t>
      </w:r>
      <w:r>
        <w:rPr>
          <w:rFonts w:hint="eastAsia" w:ascii="仿宋" w:hAnsi="仿宋" w:eastAsia="仿宋" w:cs="仿宋"/>
          <w:color w:val="000000"/>
          <w:sz w:val="24"/>
          <w:szCs w:val="24"/>
        </w:rPr>
        <w:t>460万辆，同比增长24.1%，市场份额达到56%，上升6.1个百分点；企业集团内部出现了自主品牌和合资品牌的分化，开始出现“自主更强”的发展格局，甚至部分企业因合资品牌销量下滑导致整体排名下降，如东风汽车。</w:t>
      </w:r>
    </w:p>
    <w:p>
      <w:pPr>
        <w:spacing w:line="40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lang w:bidi="ar"/>
        </w:rPr>
        <w:t>新能源汽车方面，根据中汽协数据，2023年，新能源汽车销量排名前五位的集团企业销售量合计635万辆，同比增长46.0%，市场份额占比67.0%。目前国内新能源汽车厂商可以大致分为三类，传统汽车企业（如比亚迪股份、长城汽车），造车新势力（蔚来、理想汽车、小鹏汽车、领跑等），国际新能源车企（如特斯拉）。新能源汽车未来发展空间广阔，除传统车企、现有造车新势力、国际车企外，部分具有自动驾驶、智联网等方面技术优势的企业已加入新能源汽车布局，如小米、华为，未来新能源汽车竞争将日益激烈。</w:t>
      </w:r>
    </w:p>
    <w:p>
      <w:pPr>
        <w:spacing w:before="156" w:beforeLines="50" w:after="156" w:afterLines="50" w:line="400" w:lineRule="exact"/>
        <w:outlineLvl w:val="0"/>
        <w:rPr>
          <w:rFonts w:ascii="黑体" w:hAnsi="宋体" w:eastAsia="黑体" w:cs="黑体"/>
          <w:b/>
          <w:color w:val="C00000"/>
          <w:sz w:val="28"/>
          <w:szCs w:val="28"/>
        </w:rPr>
      </w:pPr>
      <w:r>
        <w:rPr>
          <w:rFonts w:hint="eastAsia" w:ascii="黑体" w:hAnsi="宋体" w:eastAsia="黑体" w:cs="黑体"/>
          <w:b/>
          <w:color w:val="C00000"/>
          <w:sz w:val="28"/>
          <w:szCs w:val="28"/>
          <w:lang w:bidi="ar"/>
        </w:rPr>
        <w:t>三、债市及样本企业指标情况</w:t>
      </w:r>
    </w:p>
    <w:p>
      <w:pPr>
        <w:spacing w:line="400" w:lineRule="exact"/>
        <w:ind w:firstLine="482" w:firstLineChars="200"/>
        <w:rPr>
          <w:rFonts w:ascii="仿宋" w:hAnsi="仿宋" w:eastAsia="仿宋" w:cs="仿宋"/>
          <w:b/>
          <w:color w:val="000000"/>
          <w:sz w:val="24"/>
          <w:szCs w:val="24"/>
        </w:rPr>
      </w:pPr>
      <w:r>
        <w:rPr>
          <w:rFonts w:hint="eastAsia" w:ascii="仿宋" w:hAnsi="仿宋" w:eastAsia="仿宋" w:cs="仿宋"/>
          <w:b/>
          <w:color w:val="000000"/>
          <w:sz w:val="24"/>
          <w:szCs w:val="24"/>
          <w:lang w:bidi="ar"/>
        </w:rPr>
        <w:t>2023年，汽车行业新发债规模有所增长，发行主体级别集中在AAA；汽车行业存续债主体（不含华晨汽车）共9个，涉及央企、国企及民营企业，主体信用评级集中于AAA，存续债集中于未来三年内到期，整体规模不大，偿付压力一般。</w:t>
      </w:r>
    </w:p>
    <w:p>
      <w:pPr>
        <w:spacing w:line="400" w:lineRule="exact"/>
        <w:ind w:firstLine="480" w:firstLineChars="200"/>
        <w:rPr>
          <w:rFonts w:ascii="仿宋" w:hAnsi="仿宋" w:eastAsia="仿宋" w:cs="宋体"/>
          <w:color w:val="000000"/>
          <w:kern w:val="0"/>
          <w:sz w:val="24"/>
          <w:szCs w:val="28"/>
          <w:shd w:val="clear" w:color="auto" w:fill="FFFFFF"/>
        </w:rPr>
      </w:pPr>
      <w:r>
        <w:rPr>
          <w:rFonts w:hint="eastAsia" w:ascii="仿宋" w:hAnsi="仿宋" w:eastAsia="仿宋" w:cs="宋体"/>
          <w:color w:val="000000"/>
          <w:kern w:val="0"/>
          <w:sz w:val="24"/>
          <w:szCs w:val="28"/>
          <w:shd w:val="clear" w:color="auto" w:fill="FFFFFF"/>
          <w:lang w:bidi="ar"/>
        </w:rPr>
        <w:t>2023年，汽车行业共有4家主体发行15只债券合计232亿元，发行规模同比增长13.17%，发行主体涉及北汽集团、吉利控股、吉利汽车和理想汽车。2024年以来共发行3只债券，其中，吉利控股发行2只合计50亿元，科创票据和超短融的票面利率分别为2.82%和2.07%，北汽集团发行</w:t>
      </w:r>
      <w:r>
        <w:rPr>
          <w:rFonts w:ascii="仿宋" w:hAnsi="仿宋" w:eastAsia="仿宋" w:cs="宋体"/>
          <w:color w:val="000000"/>
          <w:kern w:val="0"/>
          <w:sz w:val="24"/>
          <w:szCs w:val="28"/>
          <w:shd w:val="clear" w:color="auto" w:fill="FFFFFF"/>
          <w:lang w:bidi="ar"/>
        </w:rPr>
        <w:t>2</w:t>
      </w:r>
      <w:r>
        <w:rPr>
          <w:rFonts w:hint="eastAsia" w:ascii="仿宋" w:hAnsi="仿宋" w:eastAsia="仿宋" w:cs="宋体"/>
          <w:color w:val="000000"/>
          <w:kern w:val="0"/>
          <w:sz w:val="24"/>
          <w:szCs w:val="28"/>
          <w:shd w:val="clear" w:color="auto" w:fill="FFFFFF"/>
          <w:lang w:bidi="ar"/>
        </w:rPr>
        <w:t>只中期票据</w:t>
      </w:r>
      <w:r>
        <w:rPr>
          <w:rFonts w:ascii="仿宋" w:hAnsi="仿宋" w:eastAsia="仿宋" w:cs="宋体"/>
          <w:color w:val="000000"/>
          <w:kern w:val="0"/>
          <w:sz w:val="24"/>
          <w:szCs w:val="28"/>
          <w:shd w:val="clear" w:color="auto" w:fill="FFFFFF"/>
          <w:lang w:bidi="ar"/>
        </w:rPr>
        <w:t>20</w:t>
      </w:r>
      <w:r>
        <w:rPr>
          <w:rFonts w:hint="eastAsia" w:ascii="仿宋" w:hAnsi="仿宋" w:eastAsia="仿宋" w:cs="宋体"/>
          <w:color w:val="000000"/>
          <w:kern w:val="0"/>
          <w:sz w:val="24"/>
          <w:szCs w:val="28"/>
          <w:shd w:val="clear" w:color="auto" w:fill="FFFFFF"/>
          <w:lang w:bidi="ar"/>
        </w:rPr>
        <w:t>亿元，票面利率2.</w:t>
      </w:r>
      <w:r>
        <w:rPr>
          <w:rFonts w:ascii="仿宋" w:hAnsi="仿宋" w:eastAsia="仿宋" w:cs="宋体"/>
          <w:color w:val="000000"/>
          <w:kern w:val="0"/>
          <w:sz w:val="24"/>
          <w:szCs w:val="28"/>
          <w:shd w:val="clear" w:color="auto" w:fill="FFFFFF"/>
          <w:lang w:bidi="ar"/>
        </w:rPr>
        <w:t>57%</w:t>
      </w:r>
      <w:r>
        <w:rPr>
          <w:rFonts w:hint="eastAsia" w:ascii="仿宋" w:hAnsi="仿宋" w:eastAsia="仿宋" w:cs="宋体"/>
          <w:color w:val="000000"/>
          <w:kern w:val="0"/>
          <w:sz w:val="24"/>
          <w:szCs w:val="28"/>
          <w:shd w:val="clear" w:color="auto" w:fill="FFFFFF"/>
          <w:lang w:bidi="ar"/>
        </w:rPr>
        <w:t>和2</w:t>
      </w:r>
      <w:r>
        <w:rPr>
          <w:rFonts w:ascii="仿宋" w:hAnsi="仿宋" w:eastAsia="仿宋" w:cs="宋体"/>
          <w:color w:val="000000"/>
          <w:kern w:val="0"/>
          <w:sz w:val="24"/>
          <w:szCs w:val="28"/>
          <w:shd w:val="clear" w:color="auto" w:fill="FFFFFF"/>
          <w:lang w:bidi="ar"/>
        </w:rPr>
        <w:t>.7</w:t>
      </w:r>
      <w:r>
        <w:rPr>
          <w:rFonts w:hint="eastAsia" w:ascii="仿宋" w:hAnsi="仿宋" w:eastAsia="仿宋" w:cs="宋体"/>
          <w:color w:val="000000"/>
          <w:kern w:val="0"/>
          <w:sz w:val="24"/>
          <w:szCs w:val="28"/>
          <w:shd w:val="clear" w:color="auto" w:fill="FFFFFF"/>
          <w:lang w:bidi="ar"/>
        </w:rPr>
        <w:t>%。</w:t>
      </w:r>
    </w:p>
    <w:p>
      <w:pPr>
        <w:spacing w:line="400" w:lineRule="exact"/>
        <w:ind w:firstLine="480" w:firstLineChars="200"/>
        <w:rPr>
          <w:rFonts w:ascii="仿宋" w:hAnsi="仿宋" w:eastAsia="仿宋" w:cs="宋体"/>
          <w:color w:val="000000"/>
          <w:kern w:val="0"/>
          <w:sz w:val="24"/>
          <w:szCs w:val="28"/>
          <w:shd w:val="clear" w:color="auto" w:fill="FFFFFF"/>
        </w:rPr>
      </w:pPr>
      <w:r>
        <w:rPr>
          <w:rFonts w:hint="eastAsia" w:ascii="仿宋" w:hAnsi="仿宋" w:eastAsia="仿宋" w:cs="宋体"/>
          <w:color w:val="000000"/>
          <w:kern w:val="0"/>
          <w:sz w:val="24"/>
          <w:szCs w:val="28"/>
          <w:shd w:val="clear" w:color="auto" w:fill="FFFFFF"/>
          <w:lang w:bidi="ar"/>
        </w:rPr>
        <w:t>存续债方面，截至2024年3月17日，汽车行业共有55只存续债券，债券余额796.95亿元。按存续债券类型分，公司债占比32.25%，企业债占比24.09%，中期票据占比19.07%、私募债和超短期融资债券占比均为10%，可转债占比4.39%。按发行主体分，央国企存续债余额440亿元，占比55.21%，涉及主体5个分别为华晨汽车集团控股有限公司（已违约，以下简称“华晨汽车”）、北汽集团、长安汽车、北京汽车股份有限公司（以下简称“北汽股份”）和东风汽车；民企存续债余额356.95亿元，占比44.79%，涉及主体长城汽车、吉利控股、吉利汽车。从存续债主体最新信用级别看，除华晨汽车主体级别为C，理想汽车主体级别为AA+外，其他主体级别均为AAA，其中，AAA主体存续债占比74.90%，理想汽车存续债占比0.88%，华晨汽车存续债占比24.22%。从存续期限看，除华晨汽车存续债外，2024年内到期债券余额199.00亿元，占比32.95%，2025-2026年内到期债券余额315.00亿元，占比52.16%。</w:t>
      </w:r>
    </w:p>
    <w:p>
      <w:pPr>
        <w:spacing w:line="400" w:lineRule="exact"/>
        <w:ind w:firstLine="482" w:firstLineChars="200"/>
        <w:rPr>
          <w:rFonts w:ascii="仿宋" w:hAnsi="仿宋" w:eastAsia="仿宋" w:cs="宋体"/>
          <w:b/>
          <w:bCs/>
          <w:kern w:val="0"/>
          <w:sz w:val="24"/>
          <w:szCs w:val="28"/>
        </w:rPr>
      </w:pPr>
      <w:r>
        <w:rPr>
          <w:rFonts w:hint="eastAsia" w:ascii="仿宋" w:hAnsi="仿宋" w:eastAsia="仿宋" w:cs="宋体"/>
          <w:b/>
          <w:bCs/>
          <w:kern w:val="0"/>
          <w:sz w:val="24"/>
          <w:szCs w:val="28"/>
          <w:lang w:bidi="ar"/>
        </w:rPr>
        <w:t>汽车行业部分存续债主体资产负债率偏高，但货币资金对短期带息债务的覆盖倍数均较高，样本企业近年来收入规模较为稳定，毛利率有所波动，东风汽车受合资品牌产销下滑及价格促销影响，业绩有下滑趋势。</w:t>
      </w:r>
    </w:p>
    <w:p>
      <w:pPr>
        <w:spacing w:after="156" w:afterLines="50" w:line="400" w:lineRule="exact"/>
        <w:ind w:firstLine="480" w:firstLineChars="200"/>
        <w:rPr>
          <w:rFonts w:ascii="仿宋" w:hAnsi="仿宋" w:eastAsia="仿宋" w:cs="宋体"/>
          <w:kern w:val="0"/>
          <w:sz w:val="24"/>
          <w:szCs w:val="28"/>
        </w:rPr>
      </w:pPr>
      <w:r>
        <w:rPr>
          <w:rFonts w:hint="eastAsia" w:ascii="仿宋" w:hAnsi="仿宋" w:eastAsia="仿宋" w:cs="宋体"/>
          <w:kern w:val="0"/>
          <w:sz w:val="24"/>
          <w:szCs w:val="28"/>
          <w:lang w:bidi="ar"/>
        </w:rPr>
        <w:t>从数据看，截至2023年6月末，部分存续债主体资产负债率高于行业平均水平（根据国资委发布数据，2022年整车制造企业平均资产负债率58.6%），吉利控股、北汽集团、长城汽车负债率偏高，但货币资金对短期带息债务的覆盖倍数均较高，且各企业存续债余额规模不大，整体偿债压力一般。</w:t>
      </w:r>
    </w:p>
    <w:tbl>
      <w:tblPr>
        <w:tblStyle w:val="15"/>
        <w:tblW w:w="5000" w:type="pct"/>
        <w:tblInd w:w="96"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936"/>
        <w:gridCol w:w="2004"/>
        <w:gridCol w:w="2005"/>
        <w:gridCol w:w="2004"/>
        <w:gridCol w:w="2005"/>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6" w:hRule="atLeast"/>
        </w:trPr>
        <w:tc>
          <w:tcPr>
            <w:tcW w:w="9956" w:type="dxa"/>
            <w:gridSpan w:val="5"/>
            <w:tcBorders>
              <w:tl2br w:val="nil"/>
              <w:tr2bl w:val="nil"/>
            </w:tcBorders>
            <w:shd w:val="clear" w:color="auto" w:fill="C00000"/>
            <w:noWrap/>
            <w:vAlign w:val="bottom"/>
          </w:tcPr>
          <w:p>
            <w:pPr>
              <w:adjustRightInd w:val="0"/>
              <w:snapToGrid w:val="0"/>
              <w:spacing w:line="340" w:lineRule="exact"/>
              <w:jc w:val="left"/>
              <w:rPr>
                <w:rFonts w:ascii="宋体" w:hAnsi="宋体" w:cs="宋体"/>
                <w:b/>
                <w:sz w:val="18"/>
                <w:szCs w:val="18"/>
              </w:rPr>
            </w:pPr>
            <w:r>
              <w:rPr>
                <w:rFonts w:hint="eastAsia" w:ascii="黑体" w:hAnsi="宋体" w:eastAsia="黑体" w:cs="黑体"/>
                <w:b/>
                <w:iCs/>
                <w:color w:val="FFFFFF"/>
                <w:kern w:val="0"/>
                <w:sz w:val="18"/>
                <w:szCs w:val="18"/>
                <w:lang w:bidi="ar"/>
              </w:rPr>
              <w:t>表2  部分存续债主体主要财务指标（截至2023年6月末）</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6" w:hRule="atLeast"/>
        </w:trPr>
        <w:tc>
          <w:tcPr>
            <w:tcW w:w="1934" w:type="dxa"/>
            <w:tcBorders>
              <w:tl2br w:val="nil"/>
              <w:tr2bl w:val="nil"/>
            </w:tcBorders>
            <w:shd w:val="clear" w:color="auto" w:fill="auto"/>
            <w:noWrap/>
            <w:vAlign w:val="center"/>
          </w:tcPr>
          <w:p>
            <w:pPr>
              <w:jc w:val="center"/>
              <w:rPr>
                <w:rFonts w:ascii="宋体" w:hAnsi="宋体" w:cs="宋体"/>
                <w:b/>
                <w:bCs/>
                <w:sz w:val="18"/>
                <w:szCs w:val="18"/>
              </w:rPr>
            </w:pPr>
            <w:r>
              <w:rPr>
                <w:rFonts w:hint="eastAsia" w:ascii="宋体" w:hAnsi="宋体" w:cs="宋体"/>
                <w:b/>
                <w:bCs/>
                <w:sz w:val="18"/>
                <w:szCs w:val="18"/>
                <w:lang w:bidi="ar"/>
              </w:rPr>
              <w:t>企业名称</w:t>
            </w:r>
          </w:p>
        </w:tc>
        <w:tc>
          <w:tcPr>
            <w:tcW w:w="2005" w:type="dxa"/>
            <w:tcBorders>
              <w:tl2br w:val="nil"/>
              <w:tr2bl w:val="nil"/>
            </w:tcBorders>
            <w:shd w:val="clear" w:color="auto" w:fill="auto"/>
            <w:noWrap/>
            <w:vAlign w:val="center"/>
          </w:tcPr>
          <w:p>
            <w:pPr>
              <w:widowControl/>
              <w:jc w:val="center"/>
              <w:textAlignment w:val="bottom"/>
              <w:rPr>
                <w:rFonts w:ascii="宋体" w:hAnsi="宋体" w:cs="宋体"/>
                <w:b/>
                <w:bCs/>
                <w:sz w:val="18"/>
                <w:szCs w:val="18"/>
              </w:rPr>
            </w:pPr>
            <w:r>
              <w:rPr>
                <w:rFonts w:hint="eastAsia" w:ascii="宋体" w:hAnsi="宋体" w:cs="宋体"/>
                <w:b/>
                <w:bCs/>
                <w:kern w:val="0"/>
                <w:sz w:val="18"/>
                <w:szCs w:val="18"/>
                <w:lang w:bidi="ar"/>
              </w:rPr>
              <w:t>资产规模（亿元）</w:t>
            </w:r>
          </w:p>
        </w:tc>
        <w:tc>
          <w:tcPr>
            <w:tcW w:w="2006" w:type="dxa"/>
            <w:tcBorders>
              <w:tl2br w:val="nil"/>
              <w:tr2bl w:val="nil"/>
            </w:tcBorders>
            <w:shd w:val="clear" w:color="auto" w:fill="auto"/>
            <w:noWrap/>
            <w:vAlign w:val="center"/>
          </w:tcPr>
          <w:p>
            <w:pPr>
              <w:widowControl/>
              <w:jc w:val="center"/>
              <w:textAlignment w:val="bottom"/>
              <w:rPr>
                <w:rFonts w:ascii="宋体" w:hAnsi="宋体" w:cs="宋体"/>
                <w:b/>
                <w:bCs/>
                <w:sz w:val="18"/>
                <w:szCs w:val="18"/>
              </w:rPr>
            </w:pPr>
            <w:r>
              <w:rPr>
                <w:rFonts w:hint="eastAsia" w:ascii="宋体" w:hAnsi="宋体" w:cs="宋体"/>
                <w:b/>
                <w:bCs/>
                <w:kern w:val="0"/>
                <w:sz w:val="18"/>
                <w:szCs w:val="18"/>
                <w:lang w:bidi="ar"/>
              </w:rPr>
              <w:t>资产负债率（%）</w:t>
            </w:r>
          </w:p>
        </w:tc>
        <w:tc>
          <w:tcPr>
            <w:tcW w:w="2005" w:type="dxa"/>
            <w:tcBorders>
              <w:tl2br w:val="nil"/>
              <w:tr2bl w:val="nil"/>
            </w:tcBorders>
            <w:shd w:val="clear" w:color="auto" w:fill="auto"/>
            <w:noWrap/>
            <w:vAlign w:val="center"/>
          </w:tcPr>
          <w:p>
            <w:pPr>
              <w:widowControl/>
              <w:jc w:val="center"/>
              <w:textAlignment w:val="bottom"/>
              <w:rPr>
                <w:rFonts w:ascii="宋体" w:hAnsi="宋体" w:cs="宋体"/>
                <w:b/>
                <w:bCs/>
                <w:sz w:val="18"/>
                <w:szCs w:val="18"/>
              </w:rPr>
            </w:pPr>
            <w:r>
              <w:rPr>
                <w:rStyle w:val="52"/>
                <w:rFonts w:hint="default"/>
                <w:b/>
                <w:bCs/>
                <w:sz w:val="18"/>
                <w:szCs w:val="18"/>
                <w:lang w:bidi="ar"/>
              </w:rPr>
              <w:t>货币资金</w:t>
            </w:r>
            <w:r>
              <w:rPr>
                <w:rStyle w:val="53"/>
                <w:rFonts w:hint="eastAsia" w:ascii="宋体" w:hAnsi="宋体" w:cs="宋体"/>
                <w:b/>
                <w:bCs/>
                <w:sz w:val="18"/>
                <w:szCs w:val="18"/>
                <w:lang w:bidi="ar"/>
              </w:rPr>
              <w:t>/</w:t>
            </w:r>
            <w:r>
              <w:rPr>
                <w:rStyle w:val="52"/>
                <w:rFonts w:hint="default"/>
                <w:b/>
                <w:bCs/>
                <w:sz w:val="18"/>
                <w:szCs w:val="18"/>
                <w:lang w:bidi="ar"/>
              </w:rPr>
              <w:t>短期</w:t>
            </w:r>
            <w:r>
              <w:rPr>
                <w:rStyle w:val="52"/>
                <w:b/>
                <w:bCs/>
                <w:sz w:val="18"/>
                <w:szCs w:val="18"/>
                <w:lang w:bidi="ar"/>
              </w:rPr>
              <w:t>带息</w:t>
            </w:r>
            <w:r>
              <w:rPr>
                <w:rStyle w:val="52"/>
                <w:rFonts w:hint="default"/>
                <w:b/>
                <w:bCs/>
                <w:sz w:val="18"/>
                <w:szCs w:val="18"/>
                <w:lang w:bidi="ar"/>
              </w:rPr>
              <w:t>债务（倍）</w:t>
            </w:r>
          </w:p>
        </w:tc>
        <w:tc>
          <w:tcPr>
            <w:tcW w:w="2006" w:type="dxa"/>
            <w:tcBorders>
              <w:tl2br w:val="nil"/>
              <w:tr2bl w:val="nil"/>
            </w:tcBorders>
            <w:shd w:val="clear" w:color="auto" w:fill="auto"/>
            <w:vAlign w:val="center"/>
          </w:tcPr>
          <w:p>
            <w:pPr>
              <w:widowControl/>
              <w:jc w:val="center"/>
              <w:textAlignment w:val="bottom"/>
              <w:rPr>
                <w:b/>
                <w:bCs/>
                <w:sz w:val="18"/>
                <w:szCs w:val="18"/>
                <w:lang w:bidi="ar"/>
              </w:rPr>
            </w:pPr>
            <w:r>
              <w:rPr>
                <w:rStyle w:val="52"/>
                <w:rFonts w:hint="default"/>
                <w:b/>
                <w:bCs/>
                <w:sz w:val="18"/>
                <w:szCs w:val="18"/>
                <w:lang w:bidi="ar"/>
              </w:rPr>
              <w:t>2026年前到期债务余额（亿元）</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6" w:hRule="atLeast"/>
        </w:trPr>
        <w:tc>
          <w:tcPr>
            <w:tcW w:w="1934" w:type="dxa"/>
            <w:tcBorders>
              <w:tl2br w:val="nil"/>
              <w:tr2bl w:val="nil"/>
            </w:tcBorders>
            <w:shd w:val="clear" w:color="auto" w:fill="auto"/>
            <w:noWrap/>
            <w:vAlign w:val="center"/>
          </w:tcPr>
          <w:p>
            <w:pPr>
              <w:widowControl/>
              <w:jc w:val="center"/>
              <w:textAlignment w:val="bottom"/>
              <w:rPr>
                <w:rFonts w:ascii="宋体" w:hAnsi="宋体" w:cs="宋体"/>
                <w:color w:val="000000"/>
                <w:sz w:val="18"/>
                <w:szCs w:val="18"/>
              </w:rPr>
            </w:pPr>
            <w:r>
              <w:rPr>
                <w:rFonts w:hint="eastAsia" w:ascii="宋体" w:hAnsi="宋体" w:cs="宋体"/>
                <w:color w:val="000000"/>
                <w:kern w:val="0"/>
                <w:sz w:val="18"/>
                <w:szCs w:val="18"/>
                <w:lang w:bidi="ar"/>
              </w:rPr>
              <w:t>吉利控股</w:t>
            </w:r>
          </w:p>
        </w:tc>
        <w:tc>
          <w:tcPr>
            <w:tcW w:w="2005" w:type="dxa"/>
            <w:tcBorders>
              <w:tl2br w:val="nil"/>
              <w:tr2bl w:val="nil"/>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6,138</w:t>
            </w:r>
          </w:p>
        </w:tc>
        <w:tc>
          <w:tcPr>
            <w:tcW w:w="2006" w:type="dxa"/>
            <w:tcBorders>
              <w:tl2br w:val="nil"/>
              <w:tr2bl w:val="nil"/>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67.69</w:t>
            </w:r>
          </w:p>
        </w:tc>
        <w:tc>
          <w:tcPr>
            <w:tcW w:w="2005" w:type="dxa"/>
            <w:tcBorders>
              <w:tl2br w:val="nil"/>
              <w:tr2bl w:val="nil"/>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1.21</w:t>
            </w:r>
          </w:p>
        </w:tc>
        <w:tc>
          <w:tcPr>
            <w:tcW w:w="2006" w:type="dxa"/>
            <w:tcBorders>
              <w:tl2br w:val="nil"/>
              <w:tr2bl w:val="nil"/>
            </w:tcBorders>
            <w:shd w:val="clear" w:color="auto" w:fill="auto"/>
          </w:tcPr>
          <w:p>
            <w:pPr>
              <w:widowControl/>
              <w:jc w:val="right"/>
              <w:textAlignment w:val="bottom"/>
              <w:rPr>
                <w:rFonts w:ascii="宋体" w:hAnsi="宋体" w:cs="宋体"/>
                <w:color w:val="000000"/>
                <w:kern w:val="0"/>
                <w:sz w:val="18"/>
                <w:szCs w:val="18"/>
                <w:lang w:bidi="ar"/>
              </w:rPr>
            </w:pPr>
            <w:r>
              <w:rPr>
                <w:rFonts w:hint="eastAsia" w:ascii="宋体" w:hAnsi="宋体" w:cs="宋体"/>
                <w:color w:val="000000"/>
                <w:kern w:val="0"/>
                <w:sz w:val="18"/>
                <w:szCs w:val="18"/>
                <w:lang w:bidi="ar"/>
              </w:rPr>
              <w:t>280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6" w:hRule="atLeast"/>
        </w:trPr>
        <w:tc>
          <w:tcPr>
            <w:tcW w:w="1934" w:type="dxa"/>
            <w:tcBorders>
              <w:tl2br w:val="nil"/>
              <w:tr2bl w:val="nil"/>
            </w:tcBorders>
            <w:shd w:val="clear" w:color="auto" w:fill="auto"/>
            <w:noWrap/>
            <w:vAlign w:val="center"/>
          </w:tcPr>
          <w:p>
            <w:pPr>
              <w:widowControl/>
              <w:jc w:val="center"/>
              <w:textAlignment w:val="bottom"/>
              <w:rPr>
                <w:rFonts w:ascii="宋体" w:hAnsi="宋体" w:cs="宋体"/>
                <w:color w:val="000000"/>
                <w:sz w:val="18"/>
                <w:szCs w:val="18"/>
              </w:rPr>
            </w:pPr>
            <w:r>
              <w:rPr>
                <w:rFonts w:hint="eastAsia" w:ascii="宋体" w:hAnsi="宋体" w:cs="宋体"/>
                <w:color w:val="000000"/>
                <w:kern w:val="0"/>
                <w:sz w:val="18"/>
                <w:szCs w:val="18"/>
                <w:lang w:bidi="ar"/>
              </w:rPr>
              <w:t>北汽集团</w:t>
            </w:r>
          </w:p>
        </w:tc>
        <w:tc>
          <w:tcPr>
            <w:tcW w:w="2005" w:type="dxa"/>
            <w:tcBorders>
              <w:tl2br w:val="nil"/>
              <w:tr2bl w:val="nil"/>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4,309</w:t>
            </w:r>
          </w:p>
        </w:tc>
        <w:tc>
          <w:tcPr>
            <w:tcW w:w="2006" w:type="dxa"/>
            <w:tcBorders>
              <w:tl2br w:val="nil"/>
              <w:tr2bl w:val="nil"/>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64.66</w:t>
            </w:r>
          </w:p>
        </w:tc>
        <w:tc>
          <w:tcPr>
            <w:tcW w:w="2005" w:type="dxa"/>
            <w:tcBorders>
              <w:tl2br w:val="nil"/>
              <w:tr2bl w:val="nil"/>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0.94</w:t>
            </w:r>
          </w:p>
        </w:tc>
        <w:tc>
          <w:tcPr>
            <w:tcW w:w="2006" w:type="dxa"/>
            <w:tcBorders>
              <w:tl2br w:val="nil"/>
              <w:tr2bl w:val="nil"/>
            </w:tcBorders>
            <w:shd w:val="clear" w:color="auto" w:fill="auto"/>
          </w:tcPr>
          <w:p>
            <w:pPr>
              <w:widowControl/>
              <w:jc w:val="right"/>
              <w:textAlignment w:val="bottom"/>
              <w:rPr>
                <w:rFonts w:ascii="宋体" w:hAnsi="宋体" w:cs="宋体"/>
                <w:color w:val="000000"/>
                <w:kern w:val="0"/>
                <w:sz w:val="18"/>
                <w:szCs w:val="18"/>
                <w:lang w:bidi="ar"/>
              </w:rPr>
            </w:pPr>
            <w:r>
              <w:rPr>
                <w:rFonts w:hint="eastAsia" w:ascii="宋体" w:hAnsi="宋体" w:cs="宋体"/>
                <w:color w:val="000000"/>
                <w:kern w:val="0"/>
                <w:sz w:val="18"/>
                <w:szCs w:val="18"/>
                <w:lang w:bidi="ar"/>
              </w:rPr>
              <w:t>157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6" w:hRule="atLeast"/>
        </w:trPr>
        <w:tc>
          <w:tcPr>
            <w:tcW w:w="1934" w:type="dxa"/>
            <w:tcBorders>
              <w:tl2br w:val="nil"/>
              <w:tr2bl w:val="nil"/>
            </w:tcBorders>
            <w:shd w:val="clear" w:color="auto" w:fill="auto"/>
            <w:noWrap/>
            <w:vAlign w:val="center"/>
          </w:tcPr>
          <w:p>
            <w:pPr>
              <w:widowControl/>
              <w:jc w:val="center"/>
              <w:textAlignment w:val="bottom"/>
              <w:rPr>
                <w:rFonts w:ascii="宋体" w:hAnsi="宋体" w:cs="宋体"/>
                <w:color w:val="000000"/>
                <w:sz w:val="18"/>
                <w:szCs w:val="18"/>
              </w:rPr>
            </w:pPr>
            <w:r>
              <w:rPr>
                <w:rFonts w:hint="eastAsia" w:ascii="宋体" w:hAnsi="宋体" w:cs="宋体"/>
                <w:color w:val="000000"/>
                <w:kern w:val="0"/>
                <w:sz w:val="18"/>
                <w:szCs w:val="18"/>
                <w:lang w:bidi="ar"/>
              </w:rPr>
              <w:t>东风汽车</w:t>
            </w:r>
          </w:p>
        </w:tc>
        <w:tc>
          <w:tcPr>
            <w:tcW w:w="2005" w:type="dxa"/>
            <w:tcBorders>
              <w:tl2br w:val="nil"/>
              <w:tr2bl w:val="nil"/>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3,168</w:t>
            </w:r>
          </w:p>
        </w:tc>
        <w:tc>
          <w:tcPr>
            <w:tcW w:w="2006" w:type="dxa"/>
            <w:tcBorders>
              <w:tl2br w:val="nil"/>
              <w:tr2bl w:val="nil"/>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47.80</w:t>
            </w:r>
          </w:p>
        </w:tc>
        <w:tc>
          <w:tcPr>
            <w:tcW w:w="2005" w:type="dxa"/>
            <w:tcBorders>
              <w:tl2br w:val="nil"/>
              <w:tr2bl w:val="nil"/>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1.93</w:t>
            </w:r>
          </w:p>
        </w:tc>
        <w:tc>
          <w:tcPr>
            <w:tcW w:w="2006" w:type="dxa"/>
            <w:tcBorders>
              <w:tl2br w:val="nil"/>
              <w:tr2bl w:val="nil"/>
            </w:tcBorders>
            <w:shd w:val="clear" w:color="auto" w:fill="auto"/>
          </w:tcPr>
          <w:p>
            <w:pPr>
              <w:widowControl/>
              <w:jc w:val="right"/>
              <w:textAlignment w:val="bottom"/>
              <w:rPr>
                <w:rFonts w:ascii="宋体" w:hAnsi="宋体" w:cs="宋体"/>
                <w:color w:val="000000"/>
                <w:kern w:val="0"/>
                <w:sz w:val="18"/>
                <w:szCs w:val="18"/>
                <w:lang w:bidi="ar"/>
              </w:rPr>
            </w:pPr>
            <w:r>
              <w:rPr>
                <w:rFonts w:hint="eastAsia" w:ascii="宋体" w:hAnsi="宋体" w:cs="宋体"/>
                <w:color w:val="000000"/>
                <w:kern w:val="0"/>
                <w:sz w:val="18"/>
                <w:szCs w:val="18"/>
                <w:lang w:bidi="ar"/>
              </w:rPr>
              <w:t>20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6" w:hRule="atLeast"/>
        </w:trPr>
        <w:tc>
          <w:tcPr>
            <w:tcW w:w="1934" w:type="dxa"/>
            <w:tcBorders>
              <w:tl2br w:val="nil"/>
              <w:tr2bl w:val="nil"/>
            </w:tcBorders>
            <w:shd w:val="clear" w:color="auto" w:fill="auto"/>
            <w:noWrap/>
            <w:vAlign w:val="center"/>
          </w:tcPr>
          <w:p>
            <w:pPr>
              <w:widowControl/>
              <w:jc w:val="center"/>
              <w:textAlignment w:val="bottom"/>
              <w:rPr>
                <w:rFonts w:ascii="宋体" w:hAnsi="宋体" w:cs="宋体"/>
                <w:color w:val="000000"/>
                <w:sz w:val="18"/>
                <w:szCs w:val="18"/>
              </w:rPr>
            </w:pPr>
            <w:r>
              <w:rPr>
                <w:rFonts w:hint="eastAsia" w:ascii="宋体" w:hAnsi="宋体" w:cs="宋体"/>
                <w:color w:val="000000"/>
                <w:kern w:val="0"/>
                <w:sz w:val="18"/>
                <w:szCs w:val="18"/>
                <w:lang w:bidi="ar"/>
              </w:rPr>
              <w:t>长城汽车</w:t>
            </w:r>
          </w:p>
        </w:tc>
        <w:tc>
          <w:tcPr>
            <w:tcW w:w="2005" w:type="dxa"/>
            <w:tcBorders>
              <w:tl2br w:val="nil"/>
              <w:tr2bl w:val="nil"/>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1,842</w:t>
            </w:r>
          </w:p>
        </w:tc>
        <w:tc>
          <w:tcPr>
            <w:tcW w:w="2006" w:type="dxa"/>
            <w:tcBorders>
              <w:tl2br w:val="nil"/>
              <w:tr2bl w:val="nil"/>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66.15</w:t>
            </w:r>
          </w:p>
        </w:tc>
        <w:tc>
          <w:tcPr>
            <w:tcW w:w="2005" w:type="dxa"/>
            <w:tcBorders>
              <w:tl2br w:val="nil"/>
              <w:tr2bl w:val="nil"/>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0.76</w:t>
            </w:r>
          </w:p>
        </w:tc>
        <w:tc>
          <w:tcPr>
            <w:tcW w:w="2006" w:type="dxa"/>
            <w:tcBorders>
              <w:tl2br w:val="nil"/>
              <w:tr2bl w:val="nil"/>
            </w:tcBorders>
            <w:shd w:val="clear" w:color="auto" w:fill="auto"/>
          </w:tcPr>
          <w:p>
            <w:pPr>
              <w:widowControl/>
              <w:jc w:val="right"/>
              <w:textAlignment w:val="bottom"/>
              <w:rPr>
                <w:rFonts w:ascii="宋体" w:hAnsi="宋体" w:cs="宋体"/>
                <w:color w:val="000000"/>
                <w:kern w:val="0"/>
                <w:sz w:val="18"/>
                <w:szCs w:val="18"/>
                <w:lang w:bidi="ar"/>
              </w:rPr>
            </w:pPr>
            <w:r>
              <w:rPr>
                <w:rFonts w:hint="eastAsia" w:ascii="宋体" w:hAnsi="宋体" w:cs="宋体"/>
                <w:color w:val="000000"/>
                <w:kern w:val="0"/>
                <w:sz w:val="18"/>
                <w:szCs w:val="18"/>
                <w:lang w:bidi="ar"/>
              </w:rPr>
              <w:t>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6" w:hRule="atLeast"/>
        </w:trPr>
        <w:tc>
          <w:tcPr>
            <w:tcW w:w="1934" w:type="dxa"/>
            <w:tcBorders>
              <w:tl2br w:val="nil"/>
              <w:tr2bl w:val="nil"/>
            </w:tcBorders>
            <w:shd w:val="clear" w:color="auto" w:fill="auto"/>
            <w:noWrap/>
            <w:vAlign w:val="center"/>
          </w:tcPr>
          <w:p>
            <w:pPr>
              <w:widowControl/>
              <w:jc w:val="center"/>
              <w:textAlignment w:val="bottom"/>
              <w:rPr>
                <w:rFonts w:ascii="宋体" w:hAnsi="宋体" w:cs="宋体"/>
                <w:color w:val="000000"/>
                <w:sz w:val="18"/>
                <w:szCs w:val="18"/>
              </w:rPr>
            </w:pPr>
            <w:r>
              <w:rPr>
                <w:rFonts w:hint="eastAsia" w:ascii="宋体" w:hAnsi="宋体" w:cs="宋体"/>
                <w:color w:val="000000"/>
                <w:kern w:val="0"/>
                <w:sz w:val="18"/>
                <w:szCs w:val="18"/>
                <w:lang w:bidi="ar"/>
              </w:rPr>
              <w:t>北汽股份</w:t>
            </w:r>
          </w:p>
        </w:tc>
        <w:tc>
          <w:tcPr>
            <w:tcW w:w="2005" w:type="dxa"/>
            <w:tcBorders>
              <w:tl2br w:val="nil"/>
              <w:tr2bl w:val="nil"/>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1,751</w:t>
            </w:r>
          </w:p>
        </w:tc>
        <w:tc>
          <w:tcPr>
            <w:tcW w:w="2006" w:type="dxa"/>
            <w:tcBorders>
              <w:tl2br w:val="nil"/>
              <w:tr2bl w:val="nil"/>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54.54</w:t>
            </w:r>
          </w:p>
        </w:tc>
        <w:tc>
          <w:tcPr>
            <w:tcW w:w="2005" w:type="dxa"/>
            <w:tcBorders>
              <w:tl2br w:val="nil"/>
              <w:tr2bl w:val="nil"/>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2.20</w:t>
            </w:r>
          </w:p>
        </w:tc>
        <w:tc>
          <w:tcPr>
            <w:tcW w:w="2006" w:type="dxa"/>
            <w:tcBorders>
              <w:tl2br w:val="nil"/>
              <w:tr2bl w:val="nil"/>
            </w:tcBorders>
            <w:shd w:val="clear" w:color="auto" w:fill="auto"/>
          </w:tcPr>
          <w:p>
            <w:pPr>
              <w:widowControl/>
              <w:jc w:val="right"/>
              <w:textAlignment w:val="bottom"/>
              <w:rPr>
                <w:rFonts w:ascii="宋体" w:hAnsi="宋体" w:cs="宋体"/>
                <w:color w:val="000000"/>
                <w:kern w:val="0"/>
                <w:sz w:val="18"/>
                <w:szCs w:val="18"/>
                <w:lang w:bidi="ar"/>
              </w:rPr>
            </w:pPr>
            <w:r>
              <w:rPr>
                <w:rFonts w:hint="eastAsia" w:ascii="宋体" w:hAnsi="宋体" w:cs="宋体"/>
                <w:color w:val="000000"/>
                <w:kern w:val="0"/>
                <w:sz w:val="18"/>
                <w:szCs w:val="18"/>
                <w:lang w:bidi="ar"/>
              </w:rPr>
              <w:t>35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6" w:hRule="atLeast"/>
        </w:trPr>
        <w:tc>
          <w:tcPr>
            <w:tcW w:w="1934" w:type="dxa"/>
            <w:tcBorders>
              <w:tl2br w:val="nil"/>
              <w:tr2bl w:val="nil"/>
            </w:tcBorders>
            <w:shd w:val="clear" w:color="auto" w:fill="auto"/>
            <w:noWrap/>
            <w:vAlign w:val="center"/>
          </w:tcPr>
          <w:p>
            <w:pPr>
              <w:widowControl/>
              <w:jc w:val="center"/>
              <w:textAlignment w:val="bottom"/>
              <w:rPr>
                <w:rFonts w:ascii="宋体" w:hAnsi="宋体" w:cs="宋体"/>
                <w:color w:val="000000"/>
                <w:sz w:val="18"/>
                <w:szCs w:val="18"/>
              </w:rPr>
            </w:pPr>
            <w:r>
              <w:rPr>
                <w:rFonts w:hint="eastAsia" w:ascii="宋体" w:hAnsi="宋体" w:cs="宋体"/>
                <w:color w:val="000000"/>
                <w:kern w:val="0"/>
                <w:sz w:val="18"/>
                <w:szCs w:val="18"/>
                <w:lang w:bidi="ar"/>
              </w:rPr>
              <w:t>长安汽车</w:t>
            </w:r>
          </w:p>
        </w:tc>
        <w:tc>
          <w:tcPr>
            <w:tcW w:w="2005" w:type="dxa"/>
            <w:tcBorders>
              <w:tl2br w:val="nil"/>
              <w:tr2bl w:val="nil"/>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1,750</w:t>
            </w:r>
          </w:p>
        </w:tc>
        <w:tc>
          <w:tcPr>
            <w:tcW w:w="2006" w:type="dxa"/>
            <w:tcBorders>
              <w:tl2br w:val="nil"/>
              <w:tr2bl w:val="nil"/>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58.90</w:t>
            </w:r>
          </w:p>
        </w:tc>
        <w:tc>
          <w:tcPr>
            <w:tcW w:w="2005" w:type="dxa"/>
            <w:tcBorders>
              <w:tl2br w:val="nil"/>
              <w:tr2bl w:val="nil"/>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1.95</w:t>
            </w:r>
          </w:p>
        </w:tc>
        <w:tc>
          <w:tcPr>
            <w:tcW w:w="2006" w:type="dxa"/>
            <w:tcBorders>
              <w:tl2br w:val="nil"/>
              <w:tr2bl w:val="nil"/>
            </w:tcBorders>
            <w:shd w:val="clear" w:color="auto" w:fill="auto"/>
          </w:tcPr>
          <w:p>
            <w:pPr>
              <w:widowControl/>
              <w:jc w:val="right"/>
              <w:textAlignment w:val="bottom"/>
              <w:rPr>
                <w:rFonts w:ascii="宋体" w:hAnsi="宋体" w:cs="宋体"/>
                <w:color w:val="000000"/>
                <w:kern w:val="0"/>
                <w:sz w:val="18"/>
                <w:szCs w:val="18"/>
                <w:lang w:bidi="ar"/>
              </w:rPr>
            </w:pPr>
            <w:r>
              <w:rPr>
                <w:rFonts w:hint="eastAsia" w:ascii="宋体" w:hAnsi="宋体" w:cs="宋体"/>
                <w:color w:val="000000"/>
                <w:kern w:val="0"/>
                <w:sz w:val="18"/>
                <w:szCs w:val="18"/>
                <w:lang w:bidi="ar"/>
              </w:rPr>
              <w:t>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6" w:hRule="atLeast"/>
        </w:trPr>
        <w:tc>
          <w:tcPr>
            <w:tcW w:w="1934" w:type="dxa"/>
            <w:tcBorders>
              <w:tl2br w:val="nil"/>
              <w:tr2bl w:val="nil"/>
            </w:tcBorders>
            <w:shd w:val="clear" w:color="auto" w:fill="auto"/>
            <w:noWrap/>
            <w:vAlign w:val="center"/>
          </w:tcPr>
          <w:p>
            <w:pPr>
              <w:widowControl/>
              <w:jc w:val="center"/>
              <w:textAlignment w:val="bottom"/>
              <w:rPr>
                <w:rFonts w:ascii="宋体" w:hAnsi="宋体" w:cs="宋体"/>
                <w:color w:val="000000"/>
                <w:sz w:val="18"/>
                <w:szCs w:val="18"/>
              </w:rPr>
            </w:pPr>
            <w:r>
              <w:rPr>
                <w:rFonts w:hint="eastAsia" w:ascii="宋体" w:hAnsi="宋体" w:cs="宋体"/>
                <w:color w:val="000000"/>
                <w:kern w:val="0"/>
                <w:sz w:val="18"/>
                <w:szCs w:val="18"/>
                <w:lang w:bidi="ar"/>
              </w:rPr>
              <w:t>吉利汽车</w:t>
            </w:r>
          </w:p>
        </w:tc>
        <w:tc>
          <w:tcPr>
            <w:tcW w:w="2005" w:type="dxa"/>
            <w:tcBorders>
              <w:tl2br w:val="nil"/>
              <w:tr2bl w:val="nil"/>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1,643</w:t>
            </w:r>
          </w:p>
        </w:tc>
        <w:tc>
          <w:tcPr>
            <w:tcW w:w="2006" w:type="dxa"/>
            <w:tcBorders>
              <w:tl2br w:val="nil"/>
              <w:tr2bl w:val="nil"/>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50.57</w:t>
            </w:r>
          </w:p>
        </w:tc>
        <w:tc>
          <w:tcPr>
            <w:tcW w:w="2005" w:type="dxa"/>
            <w:tcBorders>
              <w:tl2br w:val="nil"/>
              <w:tr2bl w:val="nil"/>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w:t>
            </w:r>
          </w:p>
        </w:tc>
        <w:tc>
          <w:tcPr>
            <w:tcW w:w="2006" w:type="dxa"/>
            <w:tcBorders>
              <w:tl2br w:val="nil"/>
              <w:tr2bl w:val="nil"/>
            </w:tcBorders>
            <w:shd w:val="clear" w:color="auto" w:fill="auto"/>
          </w:tcPr>
          <w:p>
            <w:pPr>
              <w:widowControl/>
              <w:jc w:val="right"/>
              <w:textAlignment w:val="bottom"/>
              <w:rPr>
                <w:rFonts w:ascii="宋体" w:hAnsi="宋体" w:cs="宋体"/>
                <w:color w:val="000000"/>
                <w:kern w:val="0"/>
                <w:sz w:val="18"/>
                <w:szCs w:val="18"/>
                <w:lang w:bidi="ar"/>
              </w:rPr>
            </w:pPr>
            <w:r>
              <w:rPr>
                <w:rFonts w:hint="eastAsia" w:ascii="宋体" w:hAnsi="宋体" w:cs="宋体"/>
                <w:color w:val="000000"/>
                <w:kern w:val="0"/>
                <w:sz w:val="18"/>
                <w:szCs w:val="18"/>
                <w:lang w:bidi="ar"/>
              </w:rPr>
              <w:t>15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6" w:hRule="atLeast"/>
        </w:trPr>
        <w:tc>
          <w:tcPr>
            <w:tcW w:w="9956" w:type="dxa"/>
            <w:gridSpan w:val="5"/>
            <w:tcBorders>
              <w:tl2br w:val="nil"/>
              <w:tr2bl w:val="nil"/>
            </w:tcBorders>
            <w:shd w:val="clear" w:color="auto" w:fill="auto"/>
            <w:noWrap/>
            <w:vAlign w:val="center"/>
          </w:tcPr>
          <w:p>
            <w:pPr>
              <w:widowControl/>
              <w:jc w:val="left"/>
              <w:textAlignment w:val="bottom"/>
              <w:rPr>
                <w:rFonts w:ascii="宋体" w:hAnsi="宋体" w:cs="宋体"/>
                <w:kern w:val="0"/>
                <w:sz w:val="18"/>
                <w:szCs w:val="18"/>
                <w:lang w:bidi="ar"/>
              </w:rPr>
            </w:pPr>
            <w:r>
              <w:rPr>
                <w:rFonts w:hint="eastAsia" w:ascii="宋体" w:hAnsi="宋体" w:cs="宋体"/>
                <w:kern w:val="0"/>
                <w:sz w:val="18"/>
                <w:szCs w:val="18"/>
                <w:lang w:bidi="ar"/>
              </w:rPr>
              <w:t>数据来源：WIND</w:t>
            </w:r>
          </w:p>
        </w:tc>
      </w:tr>
    </w:tbl>
    <w:p>
      <w:pPr>
        <w:spacing w:before="156" w:beforeLines="50" w:after="156" w:afterLines="50" w:line="400" w:lineRule="exact"/>
        <w:ind w:firstLine="480" w:firstLineChars="200"/>
        <w:rPr>
          <w:rFonts w:ascii="仿宋" w:hAnsi="仿宋" w:eastAsia="仿宋" w:cs="宋体"/>
          <w:kern w:val="0"/>
          <w:sz w:val="24"/>
          <w:szCs w:val="28"/>
        </w:rPr>
      </w:pPr>
      <w:r>
        <w:rPr>
          <w:rFonts w:hint="eastAsia" w:ascii="仿宋" w:hAnsi="仿宋" w:eastAsia="仿宋" w:cs="宋体"/>
          <w:kern w:val="0"/>
          <w:sz w:val="24"/>
          <w:szCs w:val="28"/>
          <w:lang w:bidi="ar"/>
        </w:rPr>
        <w:t>从收入指标看，存续债主体收入规模较为稳定；各主体毛利率纵向对比有所波动，横向对比东风汽车毛利率整体偏低，主要是合资品牌产销下滑及价格竞争下乘用车及商用车毛利率均大幅下滑所致，与此同时，北汽股份毛利率整体偏高。</w:t>
      </w:r>
    </w:p>
    <w:tbl>
      <w:tblPr>
        <w:tblStyle w:val="15"/>
        <w:tblW w:w="5000" w:type="pct"/>
        <w:tblInd w:w="0" w:type="dxa"/>
        <w:tblBorders>
          <w:top w:val="single" w:color="auto" w:sz="12" w:space="0"/>
          <w:left w:val="none" w:color="auto" w:sz="6" w:space="0"/>
          <w:bottom w:val="single" w:color="auto" w:sz="12" w:space="0"/>
          <w:right w:val="none" w:color="auto" w:sz="6" w:space="0"/>
          <w:insideH w:val="single" w:color="auto" w:sz="4" w:space="0"/>
          <w:insideV w:val="single" w:color="auto" w:sz="12" w:space="0"/>
        </w:tblBorders>
        <w:tblLayout w:type="fixed"/>
        <w:tblCellMar>
          <w:top w:w="0" w:type="dxa"/>
          <w:left w:w="108" w:type="dxa"/>
          <w:bottom w:w="0" w:type="dxa"/>
          <w:right w:w="108" w:type="dxa"/>
        </w:tblCellMar>
      </w:tblPr>
      <w:tblGrid>
        <w:gridCol w:w="1662"/>
        <w:gridCol w:w="1382"/>
        <w:gridCol w:w="1382"/>
        <w:gridCol w:w="1383"/>
        <w:gridCol w:w="1382"/>
        <w:gridCol w:w="1382"/>
        <w:gridCol w:w="1383"/>
      </w:tblGrid>
      <w:tr>
        <w:tblPrEx>
          <w:tblBorders>
            <w:top w:val="single" w:color="auto" w:sz="12" w:space="0"/>
            <w:left w:val="none" w:color="auto" w:sz="6" w:space="0"/>
            <w:bottom w:val="single" w:color="auto" w:sz="12" w:space="0"/>
            <w:right w:val="none" w:color="auto" w:sz="6" w:space="0"/>
            <w:insideH w:val="single" w:color="auto" w:sz="4" w:space="0"/>
            <w:insideV w:val="single" w:color="auto" w:sz="12" w:space="0"/>
          </w:tblBorders>
          <w:tblCellMar>
            <w:top w:w="0" w:type="dxa"/>
            <w:left w:w="108" w:type="dxa"/>
            <w:bottom w:w="0" w:type="dxa"/>
            <w:right w:w="108" w:type="dxa"/>
          </w:tblCellMar>
        </w:tblPrEx>
        <w:trPr>
          <w:trHeight w:val="264" w:hRule="atLeast"/>
        </w:trPr>
        <w:tc>
          <w:tcPr>
            <w:tcW w:w="9956" w:type="dxa"/>
            <w:gridSpan w:val="7"/>
            <w:tcBorders>
              <w:top w:val="single" w:color="auto" w:sz="12" w:space="0"/>
              <w:left w:val="nil"/>
              <w:bottom w:val="single" w:color="auto" w:sz="4" w:space="0"/>
              <w:right w:val="nil"/>
            </w:tcBorders>
            <w:shd w:val="clear" w:color="auto" w:fill="C00000"/>
            <w:noWrap/>
            <w:vAlign w:val="bottom"/>
          </w:tcPr>
          <w:p>
            <w:pPr>
              <w:adjustRightInd w:val="0"/>
              <w:snapToGrid w:val="0"/>
              <w:spacing w:line="340" w:lineRule="exact"/>
              <w:jc w:val="left"/>
              <w:rPr>
                <w:rFonts w:ascii="宋体" w:hAnsi="宋体" w:cs="宋体"/>
                <w:b/>
                <w:sz w:val="18"/>
                <w:szCs w:val="18"/>
              </w:rPr>
            </w:pPr>
            <w:r>
              <w:rPr>
                <w:rFonts w:hint="eastAsia" w:ascii="黑体" w:hAnsi="宋体" w:eastAsia="黑体" w:cs="黑体"/>
                <w:b/>
                <w:iCs/>
                <w:color w:val="FFFFFF"/>
                <w:kern w:val="0"/>
                <w:sz w:val="18"/>
                <w:szCs w:val="18"/>
                <w:lang w:bidi="ar"/>
              </w:rPr>
              <w:t>表3  部分存续债主体主要财务指标（单位：亿元、%）</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12" w:space="0"/>
          </w:tblBorders>
          <w:tblCellMar>
            <w:top w:w="0" w:type="dxa"/>
            <w:left w:w="108" w:type="dxa"/>
            <w:bottom w:w="0" w:type="dxa"/>
            <w:right w:w="108" w:type="dxa"/>
          </w:tblCellMar>
        </w:tblPrEx>
        <w:trPr>
          <w:trHeight w:val="264" w:hRule="atLeast"/>
        </w:trPr>
        <w:tc>
          <w:tcPr>
            <w:tcW w:w="1668" w:type="dxa"/>
            <w:vMerge w:val="restart"/>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b/>
                <w:bCs/>
                <w:color w:val="000000"/>
                <w:kern w:val="0"/>
                <w:sz w:val="18"/>
                <w:szCs w:val="18"/>
              </w:rPr>
            </w:pPr>
            <w:r>
              <w:rPr>
                <w:rFonts w:hint="eastAsia" w:ascii="宋体" w:hAnsi="宋体" w:cs="宋体"/>
                <w:b/>
                <w:bCs/>
                <w:color w:val="000000"/>
                <w:kern w:val="0"/>
                <w:sz w:val="18"/>
                <w:szCs w:val="18"/>
                <w:lang w:bidi="ar"/>
              </w:rPr>
              <w:t>企业名称</w:t>
            </w:r>
          </w:p>
        </w:tc>
        <w:tc>
          <w:tcPr>
            <w:tcW w:w="414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b/>
                <w:bCs/>
                <w:color w:val="000000"/>
                <w:kern w:val="0"/>
                <w:sz w:val="18"/>
                <w:szCs w:val="18"/>
              </w:rPr>
            </w:pPr>
            <w:r>
              <w:rPr>
                <w:rFonts w:hint="eastAsia" w:ascii="宋体" w:hAnsi="宋体" w:cs="宋体"/>
                <w:b/>
                <w:bCs/>
                <w:color w:val="000000"/>
                <w:kern w:val="0"/>
                <w:sz w:val="18"/>
                <w:szCs w:val="18"/>
                <w:lang w:bidi="ar"/>
              </w:rPr>
              <w:t>营业收入</w:t>
            </w:r>
          </w:p>
        </w:tc>
        <w:tc>
          <w:tcPr>
            <w:tcW w:w="414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b/>
                <w:bCs/>
                <w:color w:val="000000"/>
                <w:kern w:val="0"/>
                <w:sz w:val="18"/>
                <w:szCs w:val="18"/>
              </w:rPr>
            </w:pPr>
            <w:r>
              <w:rPr>
                <w:rFonts w:hint="eastAsia" w:ascii="宋体" w:hAnsi="宋体" w:cs="宋体"/>
                <w:b/>
                <w:bCs/>
                <w:color w:val="000000"/>
                <w:kern w:val="0"/>
                <w:sz w:val="18"/>
                <w:szCs w:val="18"/>
                <w:lang w:bidi="ar"/>
              </w:rPr>
              <w:t>毛利率</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12" w:space="0"/>
          </w:tblBorders>
          <w:tblCellMar>
            <w:top w:w="0" w:type="dxa"/>
            <w:left w:w="108" w:type="dxa"/>
            <w:bottom w:w="0" w:type="dxa"/>
            <w:right w:w="108" w:type="dxa"/>
          </w:tblCellMar>
        </w:tblPrEx>
        <w:trPr>
          <w:trHeight w:val="264" w:hRule="atLeast"/>
        </w:trPr>
        <w:tc>
          <w:tcPr>
            <w:tcW w:w="1668" w:type="dxa"/>
            <w:vMerge w:val="continue"/>
            <w:tcBorders>
              <w:top w:val="single" w:color="auto" w:sz="4" w:space="0"/>
              <w:left w:val="nil"/>
              <w:bottom w:val="single" w:color="auto" w:sz="4" w:space="0"/>
              <w:right w:val="single" w:color="auto" w:sz="4" w:space="0"/>
            </w:tcBorders>
            <w:shd w:val="clear" w:color="auto" w:fill="auto"/>
            <w:noWrap/>
            <w:vAlign w:val="center"/>
          </w:tcPr>
          <w:p>
            <w:pPr>
              <w:rPr>
                <w:rFonts w:ascii="宋体"/>
                <w:sz w:val="24"/>
                <w:szCs w:val="24"/>
              </w:rPr>
            </w:pP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center"/>
          </w:tcPr>
          <w:p>
            <w:pPr>
              <w:ind w:left="-105" w:leftChars="-50" w:right="-105" w:rightChars="-50"/>
              <w:jc w:val="center"/>
              <w:rPr>
                <w:rFonts w:ascii="宋体" w:hAnsi="宋体" w:cs="宋体"/>
                <w:b/>
                <w:bCs/>
                <w:color w:val="000000"/>
                <w:kern w:val="0"/>
                <w:sz w:val="18"/>
                <w:szCs w:val="18"/>
              </w:rPr>
            </w:pPr>
            <w:r>
              <w:rPr>
                <w:rFonts w:hint="eastAsia" w:ascii="宋体" w:hAnsi="宋体" w:cs="宋体"/>
                <w:b/>
                <w:bCs/>
                <w:color w:val="000000"/>
                <w:kern w:val="0"/>
                <w:sz w:val="18"/>
                <w:szCs w:val="18"/>
                <w:lang w:bidi="ar"/>
              </w:rPr>
              <w:t>2021年</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center"/>
          </w:tcPr>
          <w:p>
            <w:pPr>
              <w:ind w:left="-105" w:leftChars="-50" w:right="-105" w:rightChars="-50"/>
              <w:jc w:val="center"/>
              <w:rPr>
                <w:rFonts w:ascii="宋体" w:hAnsi="宋体" w:cs="宋体"/>
                <w:b/>
                <w:bCs/>
                <w:color w:val="000000"/>
                <w:kern w:val="0"/>
                <w:sz w:val="18"/>
                <w:szCs w:val="18"/>
              </w:rPr>
            </w:pPr>
            <w:r>
              <w:rPr>
                <w:rFonts w:hint="eastAsia" w:ascii="宋体" w:hAnsi="宋体" w:cs="宋体"/>
                <w:b/>
                <w:bCs/>
                <w:color w:val="000000"/>
                <w:kern w:val="0"/>
                <w:sz w:val="18"/>
                <w:szCs w:val="18"/>
                <w:lang w:bidi="ar"/>
              </w:rPr>
              <w:t>2022年</w:t>
            </w:r>
          </w:p>
        </w:tc>
        <w:tc>
          <w:tcPr>
            <w:tcW w:w="1382" w:type="dxa"/>
            <w:tcBorders>
              <w:top w:val="single" w:color="auto" w:sz="4" w:space="0"/>
              <w:left w:val="single" w:color="auto" w:sz="4" w:space="0"/>
              <w:bottom w:val="single" w:color="auto" w:sz="4" w:space="0"/>
              <w:right w:val="single" w:color="auto" w:sz="4" w:space="0"/>
            </w:tcBorders>
            <w:shd w:val="clear" w:color="auto" w:fill="auto"/>
            <w:noWrap/>
            <w:vAlign w:val="center"/>
          </w:tcPr>
          <w:p>
            <w:pPr>
              <w:ind w:left="-105" w:leftChars="-50" w:right="-105" w:rightChars="-50"/>
              <w:jc w:val="center"/>
              <w:rPr>
                <w:rFonts w:ascii="宋体" w:hAnsi="宋体" w:cs="宋体"/>
                <w:b/>
                <w:bCs/>
                <w:color w:val="000000"/>
                <w:kern w:val="0"/>
                <w:sz w:val="18"/>
                <w:szCs w:val="18"/>
              </w:rPr>
            </w:pPr>
            <w:r>
              <w:rPr>
                <w:rFonts w:hint="eastAsia" w:ascii="宋体" w:hAnsi="宋体" w:cs="宋体"/>
                <w:b/>
                <w:bCs/>
                <w:color w:val="000000"/>
                <w:kern w:val="0"/>
                <w:sz w:val="18"/>
                <w:szCs w:val="18"/>
                <w:lang w:bidi="ar"/>
              </w:rPr>
              <w:t>2023年上半年</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center"/>
          </w:tcPr>
          <w:p>
            <w:pPr>
              <w:ind w:left="-105" w:leftChars="-50" w:right="-105" w:rightChars="-50"/>
              <w:jc w:val="center"/>
              <w:rPr>
                <w:rFonts w:ascii="宋体" w:hAnsi="宋体" w:cs="宋体"/>
                <w:b/>
                <w:bCs/>
                <w:color w:val="000000"/>
                <w:kern w:val="0"/>
                <w:sz w:val="18"/>
                <w:szCs w:val="18"/>
              </w:rPr>
            </w:pPr>
            <w:r>
              <w:rPr>
                <w:rFonts w:hint="eastAsia" w:ascii="宋体" w:hAnsi="宋体" w:cs="宋体"/>
                <w:b/>
                <w:bCs/>
                <w:color w:val="000000"/>
                <w:kern w:val="0"/>
                <w:sz w:val="18"/>
                <w:szCs w:val="18"/>
                <w:lang w:bidi="ar"/>
              </w:rPr>
              <w:t>2021年</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center"/>
          </w:tcPr>
          <w:p>
            <w:pPr>
              <w:ind w:left="-105" w:leftChars="-50" w:right="-105" w:rightChars="-50"/>
              <w:jc w:val="center"/>
              <w:rPr>
                <w:rFonts w:ascii="宋体" w:hAnsi="宋体" w:cs="宋体"/>
                <w:b/>
                <w:bCs/>
                <w:color w:val="000000"/>
                <w:kern w:val="0"/>
                <w:sz w:val="18"/>
                <w:szCs w:val="18"/>
              </w:rPr>
            </w:pPr>
            <w:r>
              <w:rPr>
                <w:rFonts w:hint="eastAsia" w:ascii="宋体" w:hAnsi="宋体" w:cs="宋体"/>
                <w:b/>
                <w:bCs/>
                <w:color w:val="000000"/>
                <w:kern w:val="0"/>
                <w:sz w:val="18"/>
                <w:szCs w:val="18"/>
                <w:lang w:bidi="ar"/>
              </w:rPr>
              <w:t>2022年</w:t>
            </w:r>
          </w:p>
        </w:tc>
        <w:tc>
          <w:tcPr>
            <w:tcW w:w="1382" w:type="dxa"/>
            <w:tcBorders>
              <w:top w:val="single" w:color="auto" w:sz="4" w:space="0"/>
              <w:left w:val="single" w:color="auto" w:sz="4" w:space="0"/>
              <w:bottom w:val="single" w:color="auto" w:sz="4" w:space="0"/>
              <w:right w:val="nil"/>
            </w:tcBorders>
            <w:shd w:val="clear" w:color="auto" w:fill="auto"/>
            <w:noWrap/>
            <w:vAlign w:val="center"/>
          </w:tcPr>
          <w:p>
            <w:pPr>
              <w:ind w:left="-105" w:leftChars="-50" w:right="-105" w:rightChars="-50"/>
              <w:jc w:val="center"/>
              <w:rPr>
                <w:rFonts w:ascii="宋体" w:hAnsi="宋体" w:cs="宋体"/>
                <w:b/>
                <w:bCs/>
                <w:color w:val="000000"/>
                <w:kern w:val="0"/>
                <w:sz w:val="18"/>
                <w:szCs w:val="18"/>
              </w:rPr>
            </w:pPr>
            <w:r>
              <w:rPr>
                <w:rFonts w:hint="eastAsia" w:ascii="宋体" w:hAnsi="宋体" w:cs="宋体"/>
                <w:b/>
                <w:bCs/>
                <w:color w:val="000000"/>
                <w:kern w:val="0"/>
                <w:sz w:val="18"/>
                <w:szCs w:val="18"/>
                <w:lang w:bidi="ar"/>
              </w:rPr>
              <w:t>2023年上半年</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12" w:space="0"/>
          </w:tblBorders>
          <w:tblCellMar>
            <w:top w:w="0" w:type="dxa"/>
            <w:left w:w="108" w:type="dxa"/>
            <w:bottom w:w="0" w:type="dxa"/>
            <w:right w:w="108" w:type="dxa"/>
          </w:tblCellMar>
        </w:tblPrEx>
        <w:trPr>
          <w:trHeight w:val="264" w:hRule="atLeast"/>
        </w:trPr>
        <w:tc>
          <w:tcPr>
            <w:tcW w:w="1668" w:type="dxa"/>
            <w:tcBorders>
              <w:top w:val="single" w:color="auto" w:sz="4" w:space="0"/>
              <w:left w:val="nil"/>
              <w:bottom w:val="single" w:color="auto" w:sz="4" w:space="0"/>
              <w:right w:val="single" w:color="auto" w:sz="4" w:space="0"/>
            </w:tcBorders>
            <w:shd w:val="clear" w:color="auto" w:fill="auto"/>
            <w:noWrap/>
            <w:vAlign w:val="bottom"/>
          </w:tcPr>
          <w:p>
            <w:pPr>
              <w:widowControl/>
              <w:jc w:val="center"/>
              <w:textAlignment w:val="bottom"/>
              <w:rPr>
                <w:rFonts w:ascii="宋体" w:hAnsi="宋体" w:cs="宋体"/>
                <w:color w:val="000000"/>
                <w:sz w:val="18"/>
                <w:szCs w:val="18"/>
              </w:rPr>
            </w:pPr>
            <w:r>
              <w:rPr>
                <w:rFonts w:hint="eastAsia" w:ascii="宋体" w:hAnsi="宋体" w:cs="宋体"/>
                <w:color w:val="000000"/>
                <w:kern w:val="0"/>
                <w:sz w:val="18"/>
                <w:szCs w:val="18"/>
                <w:lang w:bidi="ar"/>
              </w:rPr>
              <w:t>吉利控股</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3,603</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4,063</w:t>
            </w:r>
          </w:p>
        </w:tc>
        <w:tc>
          <w:tcPr>
            <w:tcW w:w="138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2,281</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21.66</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19.17</w:t>
            </w:r>
          </w:p>
        </w:tc>
        <w:tc>
          <w:tcPr>
            <w:tcW w:w="1382" w:type="dxa"/>
            <w:tcBorders>
              <w:top w:val="single" w:color="auto" w:sz="4" w:space="0"/>
              <w:left w:val="single" w:color="auto" w:sz="4" w:space="0"/>
              <w:bottom w:val="single" w:color="auto" w:sz="4" w:space="0"/>
              <w:right w:val="nil"/>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19.01</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12" w:space="0"/>
          </w:tblBorders>
          <w:tblCellMar>
            <w:top w:w="0" w:type="dxa"/>
            <w:left w:w="108" w:type="dxa"/>
            <w:bottom w:w="0" w:type="dxa"/>
            <w:right w:w="108" w:type="dxa"/>
          </w:tblCellMar>
        </w:tblPrEx>
        <w:trPr>
          <w:trHeight w:val="264" w:hRule="atLeast"/>
        </w:trPr>
        <w:tc>
          <w:tcPr>
            <w:tcW w:w="1668" w:type="dxa"/>
            <w:tcBorders>
              <w:top w:val="single" w:color="auto" w:sz="4" w:space="0"/>
              <w:left w:val="nil"/>
              <w:bottom w:val="single" w:color="auto" w:sz="4" w:space="0"/>
              <w:right w:val="single" w:color="auto" w:sz="4" w:space="0"/>
            </w:tcBorders>
            <w:shd w:val="clear" w:color="auto" w:fill="auto"/>
            <w:noWrap/>
            <w:vAlign w:val="bottom"/>
          </w:tcPr>
          <w:p>
            <w:pPr>
              <w:widowControl/>
              <w:jc w:val="center"/>
              <w:textAlignment w:val="bottom"/>
              <w:rPr>
                <w:rFonts w:ascii="宋体" w:hAnsi="宋体" w:cs="宋体"/>
                <w:color w:val="000000"/>
                <w:sz w:val="18"/>
                <w:szCs w:val="18"/>
              </w:rPr>
            </w:pPr>
            <w:r>
              <w:rPr>
                <w:rFonts w:hint="eastAsia" w:ascii="宋体" w:hAnsi="宋体" w:cs="宋体"/>
                <w:color w:val="000000"/>
                <w:kern w:val="0"/>
                <w:sz w:val="18"/>
                <w:szCs w:val="18"/>
                <w:lang w:bidi="ar"/>
              </w:rPr>
              <w:t>北汽集团</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2,889</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2,736</w:t>
            </w:r>
          </w:p>
        </w:tc>
        <w:tc>
          <w:tcPr>
            <w:tcW w:w="138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1,469</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20.54</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22.71</w:t>
            </w:r>
          </w:p>
        </w:tc>
        <w:tc>
          <w:tcPr>
            <w:tcW w:w="1382" w:type="dxa"/>
            <w:tcBorders>
              <w:top w:val="single" w:color="auto" w:sz="4" w:space="0"/>
              <w:left w:val="single" w:color="auto" w:sz="4" w:space="0"/>
              <w:bottom w:val="single" w:color="auto" w:sz="4" w:space="0"/>
              <w:right w:val="nil"/>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21.62</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12" w:space="0"/>
          </w:tblBorders>
          <w:tblCellMar>
            <w:top w:w="0" w:type="dxa"/>
            <w:left w:w="108" w:type="dxa"/>
            <w:bottom w:w="0" w:type="dxa"/>
            <w:right w:w="108" w:type="dxa"/>
          </w:tblCellMar>
        </w:tblPrEx>
        <w:trPr>
          <w:trHeight w:val="264" w:hRule="atLeast"/>
        </w:trPr>
        <w:tc>
          <w:tcPr>
            <w:tcW w:w="1668" w:type="dxa"/>
            <w:tcBorders>
              <w:top w:val="single" w:color="auto" w:sz="4" w:space="0"/>
              <w:left w:val="nil"/>
              <w:bottom w:val="single" w:color="auto" w:sz="4" w:space="0"/>
              <w:right w:val="single" w:color="auto" w:sz="4" w:space="0"/>
            </w:tcBorders>
            <w:shd w:val="clear" w:color="auto" w:fill="auto"/>
            <w:noWrap/>
            <w:vAlign w:val="bottom"/>
          </w:tcPr>
          <w:p>
            <w:pPr>
              <w:widowControl/>
              <w:jc w:val="center"/>
              <w:textAlignment w:val="bottom"/>
              <w:rPr>
                <w:rFonts w:ascii="宋体" w:hAnsi="宋体" w:cs="宋体"/>
                <w:color w:val="000000"/>
                <w:sz w:val="18"/>
                <w:szCs w:val="18"/>
              </w:rPr>
            </w:pPr>
            <w:r>
              <w:rPr>
                <w:rFonts w:hint="eastAsia" w:ascii="宋体" w:hAnsi="宋体" w:cs="宋体"/>
                <w:color w:val="000000"/>
                <w:kern w:val="0"/>
                <w:sz w:val="18"/>
                <w:szCs w:val="18"/>
                <w:lang w:bidi="ar"/>
              </w:rPr>
              <w:t>东风汽车</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1,096</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900</w:t>
            </w:r>
          </w:p>
        </w:tc>
        <w:tc>
          <w:tcPr>
            <w:tcW w:w="138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435</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9.05</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6.02</w:t>
            </w:r>
          </w:p>
        </w:tc>
        <w:tc>
          <w:tcPr>
            <w:tcW w:w="1382" w:type="dxa"/>
            <w:tcBorders>
              <w:top w:val="single" w:color="auto" w:sz="4" w:space="0"/>
              <w:left w:val="single" w:color="auto" w:sz="4" w:space="0"/>
              <w:bottom w:val="single" w:color="auto" w:sz="4" w:space="0"/>
              <w:right w:val="nil"/>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7.13</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12" w:space="0"/>
          </w:tblBorders>
          <w:tblCellMar>
            <w:top w:w="0" w:type="dxa"/>
            <w:left w:w="108" w:type="dxa"/>
            <w:bottom w:w="0" w:type="dxa"/>
            <w:right w:w="108" w:type="dxa"/>
          </w:tblCellMar>
        </w:tblPrEx>
        <w:trPr>
          <w:trHeight w:val="264" w:hRule="atLeast"/>
        </w:trPr>
        <w:tc>
          <w:tcPr>
            <w:tcW w:w="1668" w:type="dxa"/>
            <w:tcBorders>
              <w:top w:val="single" w:color="auto" w:sz="4" w:space="0"/>
              <w:left w:val="nil"/>
              <w:bottom w:val="single" w:color="auto" w:sz="4" w:space="0"/>
              <w:right w:val="single" w:color="auto" w:sz="4" w:space="0"/>
            </w:tcBorders>
            <w:shd w:val="clear" w:color="auto" w:fill="auto"/>
            <w:noWrap/>
            <w:vAlign w:val="bottom"/>
          </w:tcPr>
          <w:p>
            <w:pPr>
              <w:widowControl/>
              <w:jc w:val="center"/>
              <w:textAlignment w:val="bottom"/>
              <w:rPr>
                <w:rFonts w:ascii="宋体" w:hAnsi="宋体" w:cs="宋体"/>
                <w:color w:val="000000"/>
                <w:sz w:val="18"/>
                <w:szCs w:val="18"/>
              </w:rPr>
            </w:pPr>
            <w:r>
              <w:rPr>
                <w:rFonts w:hint="eastAsia" w:ascii="宋体" w:hAnsi="宋体" w:cs="宋体"/>
                <w:color w:val="000000"/>
                <w:kern w:val="0"/>
                <w:sz w:val="18"/>
                <w:szCs w:val="18"/>
                <w:lang w:bidi="ar"/>
              </w:rPr>
              <w:t>长城汽车</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1,364</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1,373</w:t>
            </w:r>
          </w:p>
        </w:tc>
        <w:tc>
          <w:tcPr>
            <w:tcW w:w="138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700</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16.16</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19.37</w:t>
            </w:r>
          </w:p>
        </w:tc>
        <w:tc>
          <w:tcPr>
            <w:tcW w:w="1382" w:type="dxa"/>
            <w:tcBorders>
              <w:top w:val="single" w:color="auto" w:sz="4" w:space="0"/>
              <w:left w:val="single" w:color="auto" w:sz="4" w:space="0"/>
              <w:bottom w:val="single" w:color="auto" w:sz="4" w:space="0"/>
              <w:right w:val="nil"/>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16.85</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12" w:space="0"/>
          </w:tblBorders>
          <w:tblCellMar>
            <w:top w:w="0" w:type="dxa"/>
            <w:left w:w="108" w:type="dxa"/>
            <w:bottom w:w="0" w:type="dxa"/>
            <w:right w:w="108" w:type="dxa"/>
          </w:tblCellMar>
        </w:tblPrEx>
        <w:trPr>
          <w:trHeight w:val="264" w:hRule="atLeast"/>
        </w:trPr>
        <w:tc>
          <w:tcPr>
            <w:tcW w:w="1668" w:type="dxa"/>
            <w:tcBorders>
              <w:top w:val="single" w:color="auto" w:sz="4" w:space="0"/>
              <w:left w:val="nil"/>
              <w:bottom w:val="single" w:color="auto" w:sz="4" w:space="0"/>
              <w:right w:val="single" w:color="auto" w:sz="4" w:space="0"/>
            </w:tcBorders>
            <w:shd w:val="clear" w:color="auto" w:fill="auto"/>
            <w:noWrap/>
            <w:vAlign w:val="bottom"/>
          </w:tcPr>
          <w:p>
            <w:pPr>
              <w:widowControl/>
              <w:jc w:val="center"/>
              <w:textAlignment w:val="bottom"/>
              <w:rPr>
                <w:rFonts w:ascii="宋体" w:hAnsi="宋体" w:cs="宋体"/>
                <w:color w:val="000000"/>
                <w:sz w:val="18"/>
                <w:szCs w:val="18"/>
              </w:rPr>
            </w:pPr>
            <w:r>
              <w:rPr>
                <w:rFonts w:hint="eastAsia" w:ascii="宋体" w:hAnsi="宋体" w:cs="宋体"/>
                <w:color w:val="000000"/>
                <w:kern w:val="0"/>
                <w:sz w:val="18"/>
                <w:szCs w:val="18"/>
                <w:lang w:bidi="ar"/>
              </w:rPr>
              <w:t>北汽股份</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1,759</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1,905</w:t>
            </w:r>
          </w:p>
        </w:tc>
        <w:tc>
          <w:tcPr>
            <w:tcW w:w="138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990</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25.78</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26.98</w:t>
            </w:r>
          </w:p>
        </w:tc>
        <w:tc>
          <w:tcPr>
            <w:tcW w:w="1382" w:type="dxa"/>
            <w:tcBorders>
              <w:top w:val="single" w:color="auto" w:sz="4" w:space="0"/>
              <w:left w:val="single" w:color="auto" w:sz="4" w:space="0"/>
              <w:bottom w:val="single" w:color="auto" w:sz="4" w:space="0"/>
              <w:right w:val="nil"/>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24.84</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12" w:space="0"/>
          </w:tblBorders>
          <w:tblCellMar>
            <w:top w:w="0" w:type="dxa"/>
            <w:left w:w="108" w:type="dxa"/>
            <w:bottom w:w="0" w:type="dxa"/>
            <w:right w:w="108" w:type="dxa"/>
          </w:tblCellMar>
        </w:tblPrEx>
        <w:trPr>
          <w:trHeight w:val="264" w:hRule="atLeast"/>
        </w:trPr>
        <w:tc>
          <w:tcPr>
            <w:tcW w:w="1668" w:type="dxa"/>
            <w:tcBorders>
              <w:top w:val="single" w:color="auto" w:sz="4" w:space="0"/>
              <w:left w:val="nil"/>
              <w:bottom w:val="single" w:color="auto" w:sz="4" w:space="0"/>
              <w:right w:val="single" w:color="auto" w:sz="4" w:space="0"/>
            </w:tcBorders>
            <w:shd w:val="clear" w:color="auto" w:fill="auto"/>
            <w:noWrap/>
            <w:vAlign w:val="bottom"/>
          </w:tcPr>
          <w:p>
            <w:pPr>
              <w:widowControl/>
              <w:jc w:val="center"/>
              <w:textAlignment w:val="bottom"/>
              <w:rPr>
                <w:rFonts w:ascii="宋体" w:hAnsi="宋体" w:cs="宋体"/>
                <w:color w:val="000000"/>
                <w:sz w:val="18"/>
                <w:szCs w:val="18"/>
              </w:rPr>
            </w:pPr>
            <w:r>
              <w:rPr>
                <w:rFonts w:hint="eastAsia" w:ascii="宋体" w:hAnsi="宋体" w:cs="宋体"/>
                <w:color w:val="000000"/>
                <w:kern w:val="0"/>
                <w:sz w:val="18"/>
                <w:szCs w:val="18"/>
                <w:lang w:bidi="ar"/>
              </w:rPr>
              <w:t>长安汽车</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1,051</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1,213</w:t>
            </w:r>
          </w:p>
        </w:tc>
        <w:tc>
          <w:tcPr>
            <w:tcW w:w="138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655</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16.64</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20.49</w:t>
            </w:r>
          </w:p>
        </w:tc>
        <w:tc>
          <w:tcPr>
            <w:tcW w:w="1382" w:type="dxa"/>
            <w:tcBorders>
              <w:top w:val="single" w:color="auto" w:sz="4" w:space="0"/>
              <w:left w:val="single" w:color="auto" w:sz="4" w:space="0"/>
              <w:bottom w:val="single" w:color="auto" w:sz="4" w:space="0"/>
              <w:right w:val="nil"/>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17.54</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12" w:space="0"/>
          </w:tblBorders>
          <w:tblCellMar>
            <w:top w:w="0" w:type="dxa"/>
            <w:left w:w="108" w:type="dxa"/>
            <w:bottom w:w="0" w:type="dxa"/>
            <w:right w:w="108" w:type="dxa"/>
          </w:tblCellMar>
        </w:tblPrEx>
        <w:trPr>
          <w:trHeight w:val="264" w:hRule="atLeast"/>
        </w:trPr>
        <w:tc>
          <w:tcPr>
            <w:tcW w:w="1668" w:type="dxa"/>
            <w:tcBorders>
              <w:top w:val="single" w:color="auto" w:sz="4" w:space="0"/>
              <w:left w:val="nil"/>
              <w:bottom w:val="single" w:color="auto" w:sz="4" w:space="0"/>
              <w:right w:val="single" w:color="auto" w:sz="4" w:space="0"/>
            </w:tcBorders>
            <w:shd w:val="clear" w:color="auto" w:fill="auto"/>
            <w:noWrap/>
            <w:vAlign w:val="bottom"/>
          </w:tcPr>
          <w:p>
            <w:pPr>
              <w:widowControl/>
              <w:jc w:val="center"/>
              <w:textAlignment w:val="bottom"/>
              <w:rPr>
                <w:rFonts w:ascii="宋体" w:hAnsi="宋体" w:cs="宋体"/>
                <w:color w:val="000000"/>
                <w:sz w:val="18"/>
                <w:szCs w:val="18"/>
              </w:rPr>
            </w:pPr>
            <w:r>
              <w:rPr>
                <w:rFonts w:hint="eastAsia" w:ascii="宋体" w:hAnsi="宋体" w:cs="宋体"/>
                <w:color w:val="000000"/>
                <w:kern w:val="0"/>
                <w:sz w:val="18"/>
                <w:szCs w:val="18"/>
                <w:lang w:bidi="ar"/>
              </w:rPr>
              <w:t>吉利汽车</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1,020</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1,486</w:t>
            </w:r>
          </w:p>
        </w:tc>
        <w:tc>
          <w:tcPr>
            <w:tcW w:w="138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737</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lang w:bidi="ar"/>
              </w:rPr>
              <w:t>17.14</w:t>
            </w:r>
          </w:p>
        </w:tc>
        <w:tc>
          <w:tcPr>
            <w:tcW w:w="138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lang w:bidi="ar"/>
              </w:rPr>
              <w:t>14.12</w:t>
            </w:r>
          </w:p>
        </w:tc>
        <w:tc>
          <w:tcPr>
            <w:tcW w:w="13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lang w:bidi="ar"/>
              </w:rPr>
              <w:t>14.4</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12" w:space="0"/>
          </w:tblBorders>
          <w:tblCellMar>
            <w:top w:w="0" w:type="dxa"/>
            <w:left w:w="108" w:type="dxa"/>
            <w:bottom w:w="0" w:type="dxa"/>
            <w:right w:w="108" w:type="dxa"/>
          </w:tblCellMar>
        </w:tblPrEx>
        <w:trPr>
          <w:trHeight w:val="264" w:hRule="atLeast"/>
        </w:trPr>
        <w:tc>
          <w:tcPr>
            <w:tcW w:w="9956" w:type="dxa"/>
            <w:gridSpan w:val="7"/>
            <w:tcBorders>
              <w:top w:val="single" w:color="auto" w:sz="4" w:space="0"/>
              <w:left w:val="nil"/>
              <w:bottom w:val="single" w:color="auto" w:sz="12" w:space="0"/>
              <w:right w:val="single" w:color="auto" w:sz="4" w:space="0"/>
            </w:tcBorders>
            <w:shd w:val="clear" w:color="auto" w:fill="auto"/>
            <w:noWrap/>
            <w:vAlign w:val="bottom"/>
          </w:tcPr>
          <w:p>
            <w:pPr>
              <w:widowControl/>
              <w:jc w:val="left"/>
              <w:textAlignment w:val="center"/>
              <w:rPr>
                <w:rFonts w:ascii="宋体" w:hAnsi="宋体" w:cs="宋体"/>
                <w:color w:val="333333"/>
                <w:kern w:val="0"/>
                <w:sz w:val="18"/>
                <w:szCs w:val="18"/>
                <w:lang w:bidi="ar"/>
              </w:rPr>
            </w:pPr>
            <w:r>
              <w:rPr>
                <w:rFonts w:hint="eastAsia" w:ascii="宋体" w:hAnsi="宋体" w:cs="宋体"/>
                <w:kern w:val="0"/>
                <w:sz w:val="18"/>
                <w:szCs w:val="18"/>
                <w:lang w:bidi="ar"/>
              </w:rPr>
              <w:t>数据来源：WIND</w:t>
            </w:r>
          </w:p>
        </w:tc>
      </w:tr>
    </w:tbl>
    <w:p>
      <w:pPr>
        <w:spacing w:before="156" w:beforeLines="50" w:after="156" w:afterLines="50" w:line="400" w:lineRule="exact"/>
        <w:outlineLvl w:val="0"/>
        <w:rPr>
          <w:rFonts w:ascii="黑体" w:hAnsi="宋体" w:eastAsia="黑体" w:cs="黑体"/>
          <w:b/>
          <w:color w:val="C00000"/>
          <w:sz w:val="28"/>
          <w:szCs w:val="28"/>
        </w:rPr>
      </w:pPr>
      <w:r>
        <w:rPr>
          <w:rFonts w:hint="eastAsia" w:ascii="黑体" w:hAnsi="宋体" w:eastAsia="黑体" w:cs="黑体"/>
          <w:b/>
          <w:color w:val="C00000"/>
          <w:sz w:val="28"/>
          <w:szCs w:val="28"/>
          <w:lang w:bidi="ar"/>
        </w:rPr>
        <w:t>四、信用质量</w:t>
      </w:r>
    </w:p>
    <w:p>
      <w:pPr>
        <w:spacing w:line="400" w:lineRule="exact"/>
        <w:ind w:firstLine="482" w:firstLineChars="200"/>
        <w:rPr>
          <w:rFonts w:ascii="仿宋" w:hAnsi="仿宋" w:eastAsia="仿宋" w:cs="仿宋"/>
          <w:b/>
          <w:color w:val="000000"/>
          <w:sz w:val="24"/>
          <w:szCs w:val="24"/>
        </w:rPr>
      </w:pPr>
      <w:r>
        <w:rPr>
          <w:rFonts w:hint="eastAsia" w:ascii="仿宋" w:hAnsi="仿宋" w:eastAsia="仿宋" w:cs="仿宋"/>
          <w:b/>
          <w:color w:val="000000"/>
          <w:sz w:val="24"/>
          <w:szCs w:val="24"/>
          <w:lang w:bidi="ar"/>
        </w:rPr>
        <w:t>2023年以来，汽车企业信用级别维持高水平，无主体信用级别或展望调整情况，预计2024年汽车行业债券市场风险较小，信用水平依然保持稳定，但需关注经济波动及市场竞争加剧对汽车企业经营业绩的影响。</w:t>
      </w:r>
    </w:p>
    <w:p>
      <w:pPr>
        <w:spacing w:line="400" w:lineRule="exact"/>
        <w:ind w:firstLine="480" w:firstLineChars="200"/>
        <w:rPr>
          <w:rFonts w:ascii="仿宋" w:hAnsi="仿宋" w:eastAsia="仿宋" w:cs="宋体"/>
          <w:kern w:val="0"/>
          <w:sz w:val="24"/>
          <w:szCs w:val="28"/>
          <w:lang w:bidi="ar"/>
        </w:rPr>
      </w:pPr>
      <w:r>
        <w:rPr>
          <w:rFonts w:hint="eastAsia" w:ascii="仿宋" w:hAnsi="仿宋" w:eastAsia="仿宋" w:cs="宋体"/>
          <w:kern w:val="0"/>
          <w:sz w:val="24"/>
          <w:szCs w:val="28"/>
          <w:lang w:bidi="ar"/>
        </w:rPr>
        <w:t>截至2024年3月17日，汽车行业违约情况包括华晨汽车1</w:t>
      </w:r>
      <w:r>
        <w:rPr>
          <w:rFonts w:ascii="仿宋" w:hAnsi="仿宋" w:eastAsia="仿宋" w:cs="宋体"/>
          <w:kern w:val="0"/>
          <w:sz w:val="24"/>
          <w:szCs w:val="28"/>
          <w:lang w:bidi="ar"/>
        </w:rPr>
        <w:t>6</w:t>
      </w:r>
      <w:r>
        <w:rPr>
          <w:rFonts w:hint="eastAsia" w:ascii="仿宋" w:hAnsi="仿宋" w:eastAsia="仿宋" w:cs="宋体"/>
          <w:kern w:val="0"/>
          <w:sz w:val="24"/>
          <w:szCs w:val="28"/>
          <w:lang w:bidi="ar"/>
        </w:rPr>
        <w:t>只债券实质违约，违约债券余额合计1</w:t>
      </w:r>
      <w:r>
        <w:rPr>
          <w:rFonts w:ascii="仿宋" w:hAnsi="仿宋" w:eastAsia="仿宋" w:cs="宋体"/>
          <w:kern w:val="0"/>
          <w:sz w:val="24"/>
          <w:szCs w:val="28"/>
          <w:lang w:bidi="ar"/>
        </w:rPr>
        <w:t>9</w:t>
      </w:r>
      <w:r>
        <w:rPr>
          <w:rFonts w:hint="eastAsia" w:ascii="仿宋" w:hAnsi="仿宋" w:eastAsia="仿宋" w:cs="宋体"/>
          <w:kern w:val="0"/>
          <w:sz w:val="24"/>
          <w:szCs w:val="28"/>
          <w:lang w:bidi="ar"/>
        </w:rPr>
        <w:t>3.00亿元，铁牛集团有限公司3只债券实质违约，违约债券余额合计26.30亿元，力帆科技(集团)股份有限公司1只债券实质违约，违约债券余额合计5.30亿元。以上首次债券违约均发生于2020年，而后汽车行业未发生过主体违约。</w:t>
      </w:r>
    </w:p>
    <w:p>
      <w:pPr>
        <w:spacing w:line="400" w:lineRule="exact"/>
        <w:ind w:firstLine="480" w:firstLineChars="200"/>
        <w:rPr>
          <w:rFonts w:ascii="仿宋" w:hAnsi="仿宋" w:eastAsia="仿宋" w:cs="宋体"/>
          <w:kern w:val="0"/>
          <w:sz w:val="24"/>
          <w:szCs w:val="28"/>
          <w:lang w:bidi="ar"/>
        </w:rPr>
      </w:pPr>
      <w:r>
        <w:rPr>
          <w:rFonts w:hint="eastAsia" w:ascii="仿宋" w:hAnsi="仿宋" w:eastAsia="仿宋" w:cs="宋体"/>
          <w:kern w:val="0"/>
          <w:sz w:val="24"/>
          <w:szCs w:val="28"/>
          <w:lang w:bidi="ar"/>
        </w:rPr>
        <w:t>信用评级体调整方面，2023年以来，汽车行业无主体信用级别或展望发生调整情况。</w:t>
      </w:r>
    </w:p>
    <w:p>
      <w:pPr>
        <w:spacing w:line="400" w:lineRule="exact"/>
        <w:ind w:firstLine="480" w:firstLineChars="200"/>
        <w:rPr>
          <w:rFonts w:ascii="仿宋" w:hAnsi="仿宋" w:eastAsia="仿宋" w:cs="宋体"/>
          <w:kern w:val="0"/>
          <w:sz w:val="24"/>
          <w:szCs w:val="28"/>
          <w:lang w:bidi="ar"/>
        </w:rPr>
      </w:pPr>
      <w:r>
        <w:rPr>
          <w:rFonts w:hint="eastAsia" w:ascii="仿宋" w:hAnsi="仿宋" w:eastAsia="仿宋" w:cs="宋体"/>
          <w:kern w:val="0"/>
          <w:sz w:val="24"/>
          <w:szCs w:val="28"/>
          <w:lang w:bidi="ar"/>
        </w:rPr>
        <w:t>整体来看，2023年，我国汽车行业产销同比大幅提升，自主品牌汽车竞争力增强，新能源汽车保持高增速，行业整体向好发展；全年新发债规模同比有所增长，存续债主要集中于高评级的行业龙头企业且存续债主体信用水平稳定，预计2024年汽车行业债券市场风险较小，信用水平保持稳定。但目前全球经济发展不确定性仍较大，国内经济增长动力仍不足，与此同时，汽车产业经过多年发展，产业链条完善且竞争激烈，市场普及率逐年提升，高速增长不再，上述因素可能会导致汽车市场需求产生波动。在此情况下，需关注以下风险：一是全球及国内经济增长对汽车市场需求的干扰，若增速不及预期，有可能会导致市场景气度下滑，影响企业经营业绩；二是政策支持下新能源汽车快速发展，但随着参与主体的增加，传统车企、造车新势力及新进入企业之间的竞争也将日益加剧，进而对行业企业盈利造成影响；三是目前市场份额靠前的主要为传统车企，在产业转型过程中，能否快速储备技术以适应市场需求，将成为其保持竞争力的核心，否则存在市场份额被挤压可能。</w:t>
      </w:r>
    </w:p>
    <w:bookmarkEnd w:id="0"/>
    <w:p>
      <w:pPr>
        <w:ind w:right="1200" w:firstLine="2650" w:firstLineChars="1100"/>
        <w:rPr>
          <w:rFonts w:ascii="仿宋" w:hAnsi="仿宋" w:eastAsia="仿宋"/>
          <w:b/>
          <w:sz w:val="24"/>
          <w:szCs w:val="24"/>
        </w:rPr>
      </w:pPr>
    </w:p>
    <w:p>
      <w:pPr>
        <w:widowControl/>
        <w:spacing w:before="156" w:beforeLines="50"/>
        <w:jc w:val="left"/>
        <w:rPr>
          <w:rFonts w:ascii="华文中宋" w:hAnsi="华文中宋" w:eastAsia="华文中宋"/>
          <w:color w:val="C00000"/>
          <w:sz w:val="40"/>
          <w:szCs w:val="40"/>
        </w:rPr>
      </w:pPr>
      <w:r>
        <w:rPr>
          <w:rFonts w:hint="eastAsia" w:ascii="华文中宋" w:hAnsi="华文中宋" w:eastAsia="华文中宋"/>
          <w:color w:val="C00000"/>
          <w:sz w:val="40"/>
          <w:szCs w:val="40"/>
        </w:rPr>
        <w:t>报告声明</w:t>
      </w:r>
    </w:p>
    <w:p>
      <w:pPr>
        <w:snapToGrid w:val="0"/>
        <w:spacing w:line="320" w:lineRule="exact"/>
        <w:ind w:right="-105" w:rightChars="-50" w:firstLine="360" w:firstLineChars="200"/>
        <w:rPr>
          <w:rFonts w:ascii="华文细黑" w:hAnsi="华文细黑" w:eastAsia="华文细黑"/>
          <w:color w:val="000000"/>
          <w:sz w:val="18"/>
          <w:szCs w:val="18"/>
        </w:rPr>
      </w:pPr>
      <w:r>
        <w:rPr>
          <w:rFonts w:hint="eastAsia" w:ascii="华文细黑" w:hAnsi="华文细黑" w:eastAsia="华文细黑"/>
          <w:color w:val="000000"/>
          <w:sz w:val="18"/>
          <w:szCs w:val="18"/>
        </w:rPr>
        <w:t>本报告分析及建议所依据的信息均来源于公开资料，本公司对这些信息的准确性和完整性不作任何保证，也不保证所依据的信息和建议不会发生任何变化。我们已力求报告内容的客观、公正，但文中的观点、结论和建议仅供参考，不构成任何投资建议。投资者依据本报告提供的信息进行证券投资所造成的一切后果，本公司概不负责。</w:t>
      </w:r>
    </w:p>
    <w:p>
      <w:pPr>
        <w:snapToGrid w:val="0"/>
        <w:spacing w:after="156" w:afterLines="50" w:line="320" w:lineRule="exact"/>
        <w:ind w:right="-105" w:rightChars="-50" w:firstLine="360" w:firstLineChars="200"/>
      </w:pPr>
      <w:r>
        <w:rPr>
          <w:rFonts w:hint="eastAsia" w:ascii="华文细黑" w:hAnsi="华文细黑" w:eastAsia="华文细黑"/>
          <w:color w:val="000000"/>
          <w:sz w:val="18"/>
          <w:szCs w:val="18"/>
        </w:rPr>
        <w:t>本报告版权仅为本公司所有，未经书面许可，任何机构和个人不得以任何形式翻版、复制和发布。如引用、刊发，需注明出处为大公国</w:t>
      </w:r>
      <w:r>
        <w:rPr>
          <w:rFonts w:ascii="华文细黑" w:hAnsi="华文细黑" w:eastAsia="华文细黑"/>
          <w:color w:val="000000"/>
          <w:sz w:val="18"/>
          <w:szCs w:val="18"/>
        </w:rPr>
        <w:t>际</w:t>
      </w:r>
      <w:r>
        <w:rPr>
          <w:rFonts w:hint="eastAsia" w:ascii="华文细黑" w:hAnsi="华文细黑" w:eastAsia="华文细黑"/>
          <w:color w:val="000000"/>
          <w:sz w:val="18"/>
          <w:szCs w:val="18"/>
        </w:rPr>
        <w:t>，且不得对本报告进行有悖原意的引用、删节和修改。</w:t>
      </w:r>
    </w:p>
    <w:sectPr>
      <w:headerReference r:id="rId4" w:type="default"/>
      <w:footerReference r:id="rId5" w:type="default"/>
      <w:type w:val="continuous"/>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TimesNewRomanPSMT">
    <w:altName w:val="Times New Roman"/>
    <w:panose1 w:val="00000000000000000000"/>
    <w:charset w:val="00"/>
    <w:family w:val="roman"/>
    <w:pitch w:val="default"/>
    <w:sig w:usb0="00000000" w:usb1="00000000" w:usb2="00000000" w:usb3="00000000" w:csb0="0000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6010458"/>
    </w:sdtPr>
    <w:sdtContent>
      <w:p>
        <w:pPr>
          <w:pStyle w:val="9"/>
          <w:jc w:val="center"/>
        </w:pPr>
        <w:r>
          <w:rPr>
            <w:rFonts w:ascii="Times New Roman" w:hAnsi="Times New Roman"/>
          </w:rPr>
          <w:fldChar w:fldCharType="begin"/>
        </w:r>
        <w:r>
          <w:rPr>
            <w:rFonts w:ascii="Times New Roman" w:hAnsi="Times New Roman"/>
          </w:rPr>
          <w:instrText xml:space="preserve">PAGE   \* MERGEFORMAT</w:instrText>
        </w:r>
        <w:r>
          <w:rPr>
            <w:rFonts w:ascii="Times New Roman" w:hAnsi="Times New Roman"/>
          </w:rPr>
          <w:fldChar w:fldCharType="separate"/>
        </w:r>
        <w:r>
          <w:rPr>
            <w:rFonts w:ascii="Times New Roman" w:hAnsi="Times New Roman"/>
            <w:lang w:val="zh-CN"/>
          </w:rPr>
          <w:t>1</w:t>
        </w:r>
        <w:r>
          <w:rPr>
            <w:rFonts w:ascii="Times New Roman" w:hAnsi="Times New Roma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6">
    <w:p>
      <w:r>
        <w:separator/>
      </w:r>
    </w:p>
  </w:footnote>
  <w:footnote w:type="continuationSeparator" w:id="7">
    <w:p>
      <w:r>
        <w:continuationSeparator/>
      </w:r>
    </w:p>
  </w:footnote>
  <w:footnote w:id="0">
    <w:p>
      <w:pPr>
        <w:pStyle w:val="13"/>
      </w:pPr>
      <w:r>
        <w:rPr>
          <w:rFonts w:hint="eastAsia"/>
          <w:lang w:bidi="ar"/>
        </w:rPr>
        <w:footnoteRef/>
      </w:r>
      <w:r>
        <w:rPr>
          <w:rFonts w:hint="eastAsia"/>
          <w:lang w:bidi="ar"/>
        </w:rPr>
        <w:t xml:space="preserve"> </w:t>
      </w:r>
      <w:r>
        <w:rPr>
          <w:rFonts w:hint="eastAsia"/>
          <w:vertAlign w:val="baseline"/>
          <w:lang w:bidi="ar"/>
        </w:rPr>
        <w:t>一致合成指数代表汽车产业目前的运行状况；先行合成指数代表在汽车产业运行发生变动之前的预测情况。</w:t>
      </w:r>
    </w:p>
  </w:footnote>
  <w:footnote w:id="1">
    <w:p>
      <w:pPr>
        <w:pStyle w:val="13"/>
        <w:rPr>
          <w:vertAlign w:val="baseline"/>
        </w:rPr>
      </w:pPr>
      <w:r>
        <w:rPr>
          <w:rFonts w:hint="eastAsia"/>
          <w:lang w:bidi="ar"/>
        </w:rPr>
        <w:footnoteRef/>
      </w:r>
      <w:r>
        <w:rPr>
          <w:rFonts w:hint="eastAsia"/>
          <w:lang w:bidi="ar"/>
        </w:rPr>
        <w:t xml:space="preserve"> </w:t>
      </w:r>
      <w:r>
        <w:rPr>
          <w:rFonts w:hint="eastAsia"/>
          <w:shd w:val="clear" w:color="auto" w:fill="FFFFFF"/>
          <w:vertAlign w:val="baseline"/>
          <w:lang w:bidi="ar"/>
        </w:rPr>
        <w:t>我国自2014年9月开始实施新能源汽车免征车辆购置税政策，分别于2017年、2021年、2022年、2023年四次延期。</w:t>
      </w:r>
    </w:p>
  </w:footnote>
  <w:footnote w:id="2">
    <w:p>
      <w:pPr>
        <w:pStyle w:val="13"/>
        <w:rPr>
          <w:color w:val="000000"/>
        </w:rPr>
      </w:pPr>
      <w:r>
        <w:rPr>
          <w:rFonts w:hint="eastAsia"/>
          <w:lang w:bidi="ar"/>
        </w:rPr>
        <w:footnoteRef/>
      </w:r>
      <w:r>
        <w:rPr>
          <w:rFonts w:hint="eastAsia"/>
          <w:lang w:bidi="ar"/>
        </w:rPr>
        <w:t xml:space="preserve"> </w:t>
      </w:r>
      <w:r>
        <w:rPr>
          <w:rFonts w:hint="eastAsia"/>
          <w:vertAlign w:val="baseline"/>
          <w:lang w:bidi="ar"/>
        </w:rPr>
        <w:t>北汽集团指北京汽车集团有限公司、吉利控股指浙江吉利控股集团有限公司、吉利汽车指吉利汽车控股有限公司、长安汽车指重庆长安汽车股份有限公司、长城汽车指长城汽车股份有限公司、东风汽车指东风汽车集团股份有限公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single" w:color="808080" w:sz="12" w:space="1"/>
      </w:pBdr>
      <w:spacing w:line="480" w:lineRule="exact"/>
      <w:rPr>
        <w:rFonts w:ascii="黑体" w:hAnsi="黑体" w:eastAsia="黑体"/>
        <w:b/>
        <w:color w:val="808080"/>
        <w:position w:val="6"/>
      </w:rPr>
    </w:pPr>
    <w:r>
      <w:drawing>
        <wp:inline distT="0" distB="0" distL="0" distR="0">
          <wp:extent cx="1790700" cy="238125"/>
          <wp:effectExtent l="0" t="0" r="0" b="9525"/>
          <wp:docPr id="10" name="图片 10" descr="大公资信标志-用页眉的-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大公资信标志-用页眉的-0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790700" cy="238125"/>
                  </a:xfrm>
                  <a:prstGeom prst="rect">
                    <a:avLst/>
                  </a:prstGeom>
                  <a:noFill/>
                  <a:ln>
                    <a:noFill/>
                  </a:ln>
                </pic:spPr>
              </pic:pic>
            </a:graphicData>
          </a:graphic>
        </wp:inline>
      </w:drawing>
    </w:r>
    <w:r>
      <w:t xml:space="preserve">                                            </w:t>
    </w:r>
    <w:r>
      <w:rPr>
        <w:rFonts w:hint="eastAsia"/>
      </w:rPr>
      <w:t xml:space="preserve">        </w:t>
    </w:r>
    <w:r>
      <w:rPr>
        <w:rFonts w:hint="eastAsia" w:ascii="黑体" w:hAnsi="黑体" w:eastAsia="黑体"/>
        <w:b/>
        <w:color w:val="808080"/>
        <w:position w:val="6"/>
      </w:rPr>
      <w:t>行业研究</w:t>
    </w:r>
    <w:r>
      <w:rPr>
        <w:rFonts w:ascii="黑体" w:hAnsi="黑体" w:eastAsia="黑体"/>
        <w:b/>
        <w:color w:val="808080"/>
        <w:position w:val="6"/>
      </w:rPr>
      <w:t>|</w:t>
    </w:r>
    <w:r>
      <w:rPr>
        <w:rFonts w:hint="eastAsia" w:ascii="黑体" w:hAnsi="黑体" w:eastAsia="黑体"/>
        <w:b/>
        <w:color w:val="808080"/>
        <w:position w:val="6"/>
      </w:rPr>
      <w:t>汽车行业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attachedTemplate r:id="rId1"/>
  <w:documentProtection w:enforcement="0"/>
  <w:defaultTabStop w:val="420"/>
  <w:drawingGridHorizontalSpacing w:val="105"/>
  <w:drawingGridVerticalSpacing w:val="156"/>
  <w:noPunctuationKerning w:val="1"/>
  <w:characterSpacingControl w:val="compressPunctuation"/>
  <w:footnotePr>
    <w:footnote w:id="6"/>
    <w:footnote w:id="7"/>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ZmZDIzOTAzNjEwNzZiZTFiY2Q2Y2JlZDNmNmYwOTcifQ=="/>
  </w:docVars>
  <w:rsids>
    <w:rsidRoot w:val="00CB0009"/>
    <w:rsid w:val="000010BE"/>
    <w:rsid w:val="000016D2"/>
    <w:rsid w:val="000020EA"/>
    <w:rsid w:val="00002D37"/>
    <w:rsid w:val="0000625E"/>
    <w:rsid w:val="00006FB0"/>
    <w:rsid w:val="000100EB"/>
    <w:rsid w:val="00010B35"/>
    <w:rsid w:val="0001116C"/>
    <w:rsid w:val="00013B4D"/>
    <w:rsid w:val="00013E0F"/>
    <w:rsid w:val="000156DA"/>
    <w:rsid w:val="0001577F"/>
    <w:rsid w:val="00020AC4"/>
    <w:rsid w:val="00021597"/>
    <w:rsid w:val="0002235A"/>
    <w:rsid w:val="00022453"/>
    <w:rsid w:val="00022DC4"/>
    <w:rsid w:val="00025CD8"/>
    <w:rsid w:val="00027564"/>
    <w:rsid w:val="00030F61"/>
    <w:rsid w:val="0003149E"/>
    <w:rsid w:val="00032B1E"/>
    <w:rsid w:val="00032F8E"/>
    <w:rsid w:val="00035EDF"/>
    <w:rsid w:val="000361D5"/>
    <w:rsid w:val="00040B35"/>
    <w:rsid w:val="00040E32"/>
    <w:rsid w:val="00041265"/>
    <w:rsid w:val="0004443F"/>
    <w:rsid w:val="00044855"/>
    <w:rsid w:val="00045833"/>
    <w:rsid w:val="00047455"/>
    <w:rsid w:val="00047B85"/>
    <w:rsid w:val="00050A67"/>
    <w:rsid w:val="000514D6"/>
    <w:rsid w:val="000524D9"/>
    <w:rsid w:val="00052770"/>
    <w:rsid w:val="00055EA6"/>
    <w:rsid w:val="00056EFC"/>
    <w:rsid w:val="00056F97"/>
    <w:rsid w:val="000601F4"/>
    <w:rsid w:val="000604D3"/>
    <w:rsid w:val="00060765"/>
    <w:rsid w:val="00060E82"/>
    <w:rsid w:val="000622C5"/>
    <w:rsid w:val="00066FB9"/>
    <w:rsid w:val="00067535"/>
    <w:rsid w:val="0007070C"/>
    <w:rsid w:val="0007105E"/>
    <w:rsid w:val="00074C03"/>
    <w:rsid w:val="00074DBC"/>
    <w:rsid w:val="000758D9"/>
    <w:rsid w:val="00075DBD"/>
    <w:rsid w:val="000763E5"/>
    <w:rsid w:val="000769F0"/>
    <w:rsid w:val="0008023F"/>
    <w:rsid w:val="000805CF"/>
    <w:rsid w:val="00084ADF"/>
    <w:rsid w:val="0008621F"/>
    <w:rsid w:val="00090129"/>
    <w:rsid w:val="0009102B"/>
    <w:rsid w:val="000911EC"/>
    <w:rsid w:val="00091DC4"/>
    <w:rsid w:val="00092EFA"/>
    <w:rsid w:val="00093FCC"/>
    <w:rsid w:val="000960DD"/>
    <w:rsid w:val="000967F5"/>
    <w:rsid w:val="000A1F68"/>
    <w:rsid w:val="000A232C"/>
    <w:rsid w:val="000A2A60"/>
    <w:rsid w:val="000A3E84"/>
    <w:rsid w:val="000B1CE2"/>
    <w:rsid w:val="000B1FAA"/>
    <w:rsid w:val="000B3328"/>
    <w:rsid w:val="000B3B78"/>
    <w:rsid w:val="000B4E54"/>
    <w:rsid w:val="000C0564"/>
    <w:rsid w:val="000C0903"/>
    <w:rsid w:val="000C2CB5"/>
    <w:rsid w:val="000C3090"/>
    <w:rsid w:val="000C3C93"/>
    <w:rsid w:val="000C48D7"/>
    <w:rsid w:val="000C5B69"/>
    <w:rsid w:val="000D0756"/>
    <w:rsid w:val="000D3021"/>
    <w:rsid w:val="000D410B"/>
    <w:rsid w:val="000D6804"/>
    <w:rsid w:val="000E1379"/>
    <w:rsid w:val="000E2E0E"/>
    <w:rsid w:val="000E3820"/>
    <w:rsid w:val="000E5DE9"/>
    <w:rsid w:val="000E6062"/>
    <w:rsid w:val="000F0214"/>
    <w:rsid w:val="000F0833"/>
    <w:rsid w:val="000F096D"/>
    <w:rsid w:val="000F10BC"/>
    <w:rsid w:val="000F1218"/>
    <w:rsid w:val="000F14D7"/>
    <w:rsid w:val="000F451B"/>
    <w:rsid w:val="000F5FBD"/>
    <w:rsid w:val="000F6054"/>
    <w:rsid w:val="000F7B94"/>
    <w:rsid w:val="000F7C0C"/>
    <w:rsid w:val="0010041E"/>
    <w:rsid w:val="00105A9E"/>
    <w:rsid w:val="00106CDF"/>
    <w:rsid w:val="00110025"/>
    <w:rsid w:val="00110B9F"/>
    <w:rsid w:val="00112C6D"/>
    <w:rsid w:val="0011562F"/>
    <w:rsid w:val="001156E8"/>
    <w:rsid w:val="00117EA1"/>
    <w:rsid w:val="00120B1D"/>
    <w:rsid w:val="00120E13"/>
    <w:rsid w:val="0012265C"/>
    <w:rsid w:val="00122AB5"/>
    <w:rsid w:val="00123233"/>
    <w:rsid w:val="00125B1D"/>
    <w:rsid w:val="00126234"/>
    <w:rsid w:val="00130679"/>
    <w:rsid w:val="0013335C"/>
    <w:rsid w:val="0013471A"/>
    <w:rsid w:val="00134CB4"/>
    <w:rsid w:val="0013546F"/>
    <w:rsid w:val="001361BC"/>
    <w:rsid w:val="00140031"/>
    <w:rsid w:val="00140DC4"/>
    <w:rsid w:val="001415A8"/>
    <w:rsid w:val="00151EE8"/>
    <w:rsid w:val="00152279"/>
    <w:rsid w:val="00153BE5"/>
    <w:rsid w:val="00153E81"/>
    <w:rsid w:val="00154B49"/>
    <w:rsid w:val="00154BE3"/>
    <w:rsid w:val="00154CE7"/>
    <w:rsid w:val="00155454"/>
    <w:rsid w:val="00155ABC"/>
    <w:rsid w:val="001575CB"/>
    <w:rsid w:val="00157DB0"/>
    <w:rsid w:val="00160402"/>
    <w:rsid w:val="001647AD"/>
    <w:rsid w:val="00164A44"/>
    <w:rsid w:val="0016560F"/>
    <w:rsid w:val="001664D1"/>
    <w:rsid w:val="00171BFB"/>
    <w:rsid w:val="00172C45"/>
    <w:rsid w:val="001739AD"/>
    <w:rsid w:val="0017519A"/>
    <w:rsid w:val="001756B6"/>
    <w:rsid w:val="00175DED"/>
    <w:rsid w:val="0017610B"/>
    <w:rsid w:val="00176C3D"/>
    <w:rsid w:val="0017707C"/>
    <w:rsid w:val="0018111A"/>
    <w:rsid w:val="00181698"/>
    <w:rsid w:val="00183DAB"/>
    <w:rsid w:val="00184302"/>
    <w:rsid w:val="0018521A"/>
    <w:rsid w:val="00187F94"/>
    <w:rsid w:val="00190B04"/>
    <w:rsid w:val="001914E7"/>
    <w:rsid w:val="00192D89"/>
    <w:rsid w:val="00192F3D"/>
    <w:rsid w:val="0019555F"/>
    <w:rsid w:val="001A02E9"/>
    <w:rsid w:val="001A02F8"/>
    <w:rsid w:val="001A0544"/>
    <w:rsid w:val="001A1228"/>
    <w:rsid w:val="001A2C05"/>
    <w:rsid w:val="001A3598"/>
    <w:rsid w:val="001A3753"/>
    <w:rsid w:val="001A3BCB"/>
    <w:rsid w:val="001A47F6"/>
    <w:rsid w:val="001A6149"/>
    <w:rsid w:val="001B106D"/>
    <w:rsid w:val="001B1C28"/>
    <w:rsid w:val="001B2747"/>
    <w:rsid w:val="001B4763"/>
    <w:rsid w:val="001B6A81"/>
    <w:rsid w:val="001C3908"/>
    <w:rsid w:val="001C3ACE"/>
    <w:rsid w:val="001C74D7"/>
    <w:rsid w:val="001C785E"/>
    <w:rsid w:val="001C7B62"/>
    <w:rsid w:val="001D1DAA"/>
    <w:rsid w:val="001D42B3"/>
    <w:rsid w:val="001D442E"/>
    <w:rsid w:val="001D4CBA"/>
    <w:rsid w:val="001E24CA"/>
    <w:rsid w:val="001E345F"/>
    <w:rsid w:val="001E4658"/>
    <w:rsid w:val="001E4743"/>
    <w:rsid w:val="001E4A8E"/>
    <w:rsid w:val="001F17D3"/>
    <w:rsid w:val="001F192A"/>
    <w:rsid w:val="001F2173"/>
    <w:rsid w:val="001F2F3B"/>
    <w:rsid w:val="001F3B10"/>
    <w:rsid w:val="001F4B2B"/>
    <w:rsid w:val="001F5388"/>
    <w:rsid w:val="001F635F"/>
    <w:rsid w:val="001F7413"/>
    <w:rsid w:val="00200608"/>
    <w:rsid w:val="002041AA"/>
    <w:rsid w:val="002051DC"/>
    <w:rsid w:val="002052D6"/>
    <w:rsid w:val="00205C6E"/>
    <w:rsid w:val="00205E23"/>
    <w:rsid w:val="0020665C"/>
    <w:rsid w:val="00211BB2"/>
    <w:rsid w:val="0021335C"/>
    <w:rsid w:val="002148AA"/>
    <w:rsid w:val="002163AD"/>
    <w:rsid w:val="00226E42"/>
    <w:rsid w:val="0023178B"/>
    <w:rsid w:val="00231A89"/>
    <w:rsid w:val="00232A68"/>
    <w:rsid w:val="00232BAC"/>
    <w:rsid w:val="00240A79"/>
    <w:rsid w:val="00240D3C"/>
    <w:rsid w:val="00243299"/>
    <w:rsid w:val="002439CE"/>
    <w:rsid w:val="00244CD1"/>
    <w:rsid w:val="00245F70"/>
    <w:rsid w:val="0024601E"/>
    <w:rsid w:val="00246CBE"/>
    <w:rsid w:val="00246EC5"/>
    <w:rsid w:val="00250374"/>
    <w:rsid w:val="00250649"/>
    <w:rsid w:val="002510FA"/>
    <w:rsid w:val="002515D2"/>
    <w:rsid w:val="00251B12"/>
    <w:rsid w:val="00254921"/>
    <w:rsid w:val="00260285"/>
    <w:rsid w:val="002660AA"/>
    <w:rsid w:val="00270585"/>
    <w:rsid w:val="0027181A"/>
    <w:rsid w:val="00271E63"/>
    <w:rsid w:val="002729A6"/>
    <w:rsid w:val="00275AA2"/>
    <w:rsid w:val="002761BF"/>
    <w:rsid w:val="002770FD"/>
    <w:rsid w:val="002817C4"/>
    <w:rsid w:val="00281851"/>
    <w:rsid w:val="00281C35"/>
    <w:rsid w:val="00281E34"/>
    <w:rsid w:val="00281F42"/>
    <w:rsid w:val="00282407"/>
    <w:rsid w:val="00282C4D"/>
    <w:rsid w:val="00284920"/>
    <w:rsid w:val="0028535B"/>
    <w:rsid w:val="00291505"/>
    <w:rsid w:val="00292E10"/>
    <w:rsid w:val="00294EBC"/>
    <w:rsid w:val="002950F2"/>
    <w:rsid w:val="002965DF"/>
    <w:rsid w:val="00296985"/>
    <w:rsid w:val="002A3451"/>
    <w:rsid w:val="002A6345"/>
    <w:rsid w:val="002A76CA"/>
    <w:rsid w:val="002B15C9"/>
    <w:rsid w:val="002B328F"/>
    <w:rsid w:val="002B47A6"/>
    <w:rsid w:val="002B588C"/>
    <w:rsid w:val="002B726C"/>
    <w:rsid w:val="002C101F"/>
    <w:rsid w:val="002C188D"/>
    <w:rsid w:val="002C1957"/>
    <w:rsid w:val="002C2160"/>
    <w:rsid w:val="002C2174"/>
    <w:rsid w:val="002C34D2"/>
    <w:rsid w:val="002C3A22"/>
    <w:rsid w:val="002C4628"/>
    <w:rsid w:val="002C4817"/>
    <w:rsid w:val="002C4E3D"/>
    <w:rsid w:val="002C6353"/>
    <w:rsid w:val="002C6EF5"/>
    <w:rsid w:val="002C700F"/>
    <w:rsid w:val="002C7C32"/>
    <w:rsid w:val="002D007E"/>
    <w:rsid w:val="002D298B"/>
    <w:rsid w:val="002D34DC"/>
    <w:rsid w:val="002D58A0"/>
    <w:rsid w:val="002D7292"/>
    <w:rsid w:val="002D7DD8"/>
    <w:rsid w:val="002E103C"/>
    <w:rsid w:val="002E1405"/>
    <w:rsid w:val="002E1D58"/>
    <w:rsid w:val="002E45FA"/>
    <w:rsid w:val="002E614B"/>
    <w:rsid w:val="002F25F1"/>
    <w:rsid w:val="002F2844"/>
    <w:rsid w:val="002F4F48"/>
    <w:rsid w:val="002F7C80"/>
    <w:rsid w:val="002F7F0F"/>
    <w:rsid w:val="00300178"/>
    <w:rsid w:val="00300C3A"/>
    <w:rsid w:val="00304DA0"/>
    <w:rsid w:val="0030542F"/>
    <w:rsid w:val="0030552B"/>
    <w:rsid w:val="00312182"/>
    <w:rsid w:val="00312472"/>
    <w:rsid w:val="003125F9"/>
    <w:rsid w:val="00312FC4"/>
    <w:rsid w:val="00313786"/>
    <w:rsid w:val="00313C18"/>
    <w:rsid w:val="00313EA2"/>
    <w:rsid w:val="00316BFF"/>
    <w:rsid w:val="00316C8F"/>
    <w:rsid w:val="003205A5"/>
    <w:rsid w:val="0032080E"/>
    <w:rsid w:val="00321972"/>
    <w:rsid w:val="00330C5A"/>
    <w:rsid w:val="00330CF4"/>
    <w:rsid w:val="00331839"/>
    <w:rsid w:val="00331DBE"/>
    <w:rsid w:val="00331F52"/>
    <w:rsid w:val="00336898"/>
    <w:rsid w:val="003406D9"/>
    <w:rsid w:val="003416E9"/>
    <w:rsid w:val="0034190A"/>
    <w:rsid w:val="003421FB"/>
    <w:rsid w:val="003426E5"/>
    <w:rsid w:val="00343196"/>
    <w:rsid w:val="00343675"/>
    <w:rsid w:val="003444E2"/>
    <w:rsid w:val="00344BDB"/>
    <w:rsid w:val="00345131"/>
    <w:rsid w:val="003451BB"/>
    <w:rsid w:val="00347AD8"/>
    <w:rsid w:val="0035029C"/>
    <w:rsid w:val="00351041"/>
    <w:rsid w:val="0035123E"/>
    <w:rsid w:val="00353382"/>
    <w:rsid w:val="0035368D"/>
    <w:rsid w:val="0035421C"/>
    <w:rsid w:val="0035598C"/>
    <w:rsid w:val="00362716"/>
    <w:rsid w:val="00362FA8"/>
    <w:rsid w:val="00363A1C"/>
    <w:rsid w:val="00365D77"/>
    <w:rsid w:val="00371310"/>
    <w:rsid w:val="00371E19"/>
    <w:rsid w:val="003771F4"/>
    <w:rsid w:val="00377BE9"/>
    <w:rsid w:val="00382BCE"/>
    <w:rsid w:val="003830F4"/>
    <w:rsid w:val="00383503"/>
    <w:rsid w:val="003840AE"/>
    <w:rsid w:val="003869C1"/>
    <w:rsid w:val="00386B02"/>
    <w:rsid w:val="00390426"/>
    <w:rsid w:val="00390429"/>
    <w:rsid w:val="00392057"/>
    <w:rsid w:val="0039471D"/>
    <w:rsid w:val="003947F5"/>
    <w:rsid w:val="00396D7E"/>
    <w:rsid w:val="00396FCB"/>
    <w:rsid w:val="003970FD"/>
    <w:rsid w:val="003973BE"/>
    <w:rsid w:val="003A098F"/>
    <w:rsid w:val="003A120A"/>
    <w:rsid w:val="003A1CF5"/>
    <w:rsid w:val="003A3FCC"/>
    <w:rsid w:val="003A5E00"/>
    <w:rsid w:val="003A7427"/>
    <w:rsid w:val="003A77D0"/>
    <w:rsid w:val="003A7A11"/>
    <w:rsid w:val="003B3846"/>
    <w:rsid w:val="003B4CDD"/>
    <w:rsid w:val="003B69B5"/>
    <w:rsid w:val="003C3907"/>
    <w:rsid w:val="003C4287"/>
    <w:rsid w:val="003C448B"/>
    <w:rsid w:val="003C5349"/>
    <w:rsid w:val="003D0BC1"/>
    <w:rsid w:val="003D3D74"/>
    <w:rsid w:val="003D4999"/>
    <w:rsid w:val="003D4C4D"/>
    <w:rsid w:val="003D4FB3"/>
    <w:rsid w:val="003D537C"/>
    <w:rsid w:val="003D615A"/>
    <w:rsid w:val="003D6476"/>
    <w:rsid w:val="003E0044"/>
    <w:rsid w:val="003E027F"/>
    <w:rsid w:val="003E0DCE"/>
    <w:rsid w:val="003E2A05"/>
    <w:rsid w:val="003E5079"/>
    <w:rsid w:val="003E5876"/>
    <w:rsid w:val="003E668C"/>
    <w:rsid w:val="003E769D"/>
    <w:rsid w:val="003F0E2B"/>
    <w:rsid w:val="003F378D"/>
    <w:rsid w:val="004011DE"/>
    <w:rsid w:val="0040241E"/>
    <w:rsid w:val="00402673"/>
    <w:rsid w:val="00402B93"/>
    <w:rsid w:val="00403261"/>
    <w:rsid w:val="004057BB"/>
    <w:rsid w:val="00405B51"/>
    <w:rsid w:val="004079B4"/>
    <w:rsid w:val="00410570"/>
    <w:rsid w:val="0041062C"/>
    <w:rsid w:val="00411A6B"/>
    <w:rsid w:val="0041353A"/>
    <w:rsid w:val="00413E83"/>
    <w:rsid w:val="0041457C"/>
    <w:rsid w:val="00415B8D"/>
    <w:rsid w:val="00416A91"/>
    <w:rsid w:val="00416E64"/>
    <w:rsid w:val="004204E1"/>
    <w:rsid w:val="0042108F"/>
    <w:rsid w:val="0042123E"/>
    <w:rsid w:val="0042183D"/>
    <w:rsid w:val="00423033"/>
    <w:rsid w:val="004240FF"/>
    <w:rsid w:val="00424D3D"/>
    <w:rsid w:val="0042754E"/>
    <w:rsid w:val="00427FAE"/>
    <w:rsid w:val="0043332B"/>
    <w:rsid w:val="00433FB4"/>
    <w:rsid w:val="00435409"/>
    <w:rsid w:val="004358B5"/>
    <w:rsid w:val="00440F17"/>
    <w:rsid w:val="004410F2"/>
    <w:rsid w:val="004426D8"/>
    <w:rsid w:val="00443844"/>
    <w:rsid w:val="004449C1"/>
    <w:rsid w:val="00444BE8"/>
    <w:rsid w:val="00445375"/>
    <w:rsid w:val="0044603B"/>
    <w:rsid w:val="004509BE"/>
    <w:rsid w:val="00450BFC"/>
    <w:rsid w:val="004514DD"/>
    <w:rsid w:val="004515E8"/>
    <w:rsid w:val="00452A8D"/>
    <w:rsid w:val="00452EDB"/>
    <w:rsid w:val="00453627"/>
    <w:rsid w:val="00454972"/>
    <w:rsid w:val="004555C1"/>
    <w:rsid w:val="0045641B"/>
    <w:rsid w:val="00457346"/>
    <w:rsid w:val="00457787"/>
    <w:rsid w:val="004623C0"/>
    <w:rsid w:val="004632D0"/>
    <w:rsid w:val="004679B1"/>
    <w:rsid w:val="0047024F"/>
    <w:rsid w:val="00470E69"/>
    <w:rsid w:val="00471F42"/>
    <w:rsid w:val="004727B5"/>
    <w:rsid w:val="00473B38"/>
    <w:rsid w:val="00474BD0"/>
    <w:rsid w:val="00474EC8"/>
    <w:rsid w:val="004753F7"/>
    <w:rsid w:val="00475BD9"/>
    <w:rsid w:val="00477371"/>
    <w:rsid w:val="00480274"/>
    <w:rsid w:val="00481A35"/>
    <w:rsid w:val="00483D49"/>
    <w:rsid w:val="004847FC"/>
    <w:rsid w:val="0049092B"/>
    <w:rsid w:val="00491802"/>
    <w:rsid w:val="00493535"/>
    <w:rsid w:val="00495C96"/>
    <w:rsid w:val="00495D99"/>
    <w:rsid w:val="00496542"/>
    <w:rsid w:val="00496A1C"/>
    <w:rsid w:val="00496C35"/>
    <w:rsid w:val="004A145C"/>
    <w:rsid w:val="004A35EB"/>
    <w:rsid w:val="004A37D5"/>
    <w:rsid w:val="004A401B"/>
    <w:rsid w:val="004A4389"/>
    <w:rsid w:val="004A480A"/>
    <w:rsid w:val="004A72D3"/>
    <w:rsid w:val="004A7AC4"/>
    <w:rsid w:val="004B1DBE"/>
    <w:rsid w:val="004B279C"/>
    <w:rsid w:val="004B353C"/>
    <w:rsid w:val="004B3EC8"/>
    <w:rsid w:val="004B67AB"/>
    <w:rsid w:val="004B6AC4"/>
    <w:rsid w:val="004B6BD7"/>
    <w:rsid w:val="004C1395"/>
    <w:rsid w:val="004C1BE8"/>
    <w:rsid w:val="004C1D9C"/>
    <w:rsid w:val="004C2C86"/>
    <w:rsid w:val="004C387D"/>
    <w:rsid w:val="004C4BD0"/>
    <w:rsid w:val="004C5657"/>
    <w:rsid w:val="004C57A1"/>
    <w:rsid w:val="004C5811"/>
    <w:rsid w:val="004D2B26"/>
    <w:rsid w:val="004D3C69"/>
    <w:rsid w:val="004D3E26"/>
    <w:rsid w:val="004D68C7"/>
    <w:rsid w:val="004E0095"/>
    <w:rsid w:val="004E17FF"/>
    <w:rsid w:val="004E5678"/>
    <w:rsid w:val="004E56D0"/>
    <w:rsid w:val="004E597B"/>
    <w:rsid w:val="004E68CC"/>
    <w:rsid w:val="004E71C8"/>
    <w:rsid w:val="004E728B"/>
    <w:rsid w:val="004E753F"/>
    <w:rsid w:val="004E7D4A"/>
    <w:rsid w:val="004F0489"/>
    <w:rsid w:val="004F0540"/>
    <w:rsid w:val="004F0BE1"/>
    <w:rsid w:val="004F1696"/>
    <w:rsid w:val="004F1725"/>
    <w:rsid w:val="004F24B7"/>
    <w:rsid w:val="004F2594"/>
    <w:rsid w:val="004F5A53"/>
    <w:rsid w:val="004F5B7C"/>
    <w:rsid w:val="004F65E9"/>
    <w:rsid w:val="004F729D"/>
    <w:rsid w:val="004F7D32"/>
    <w:rsid w:val="005004CD"/>
    <w:rsid w:val="00500C53"/>
    <w:rsid w:val="0050169C"/>
    <w:rsid w:val="00502233"/>
    <w:rsid w:val="00502732"/>
    <w:rsid w:val="00503AB1"/>
    <w:rsid w:val="005052F2"/>
    <w:rsid w:val="00507C4C"/>
    <w:rsid w:val="00507E59"/>
    <w:rsid w:val="0051013D"/>
    <w:rsid w:val="00510A06"/>
    <w:rsid w:val="00510DBF"/>
    <w:rsid w:val="0051257B"/>
    <w:rsid w:val="00513908"/>
    <w:rsid w:val="0051459A"/>
    <w:rsid w:val="00515183"/>
    <w:rsid w:val="00515CF0"/>
    <w:rsid w:val="005163E2"/>
    <w:rsid w:val="00520786"/>
    <w:rsid w:val="00522A2F"/>
    <w:rsid w:val="00522C76"/>
    <w:rsid w:val="0052509C"/>
    <w:rsid w:val="005274BF"/>
    <w:rsid w:val="005278C7"/>
    <w:rsid w:val="00527D84"/>
    <w:rsid w:val="0054015F"/>
    <w:rsid w:val="00540710"/>
    <w:rsid w:val="00541A61"/>
    <w:rsid w:val="00544F25"/>
    <w:rsid w:val="00545ED1"/>
    <w:rsid w:val="00546600"/>
    <w:rsid w:val="00551178"/>
    <w:rsid w:val="00551D92"/>
    <w:rsid w:val="00551F82"/>
    <w:rsid w:val="0055321D"/>
    <w:rsid w:val="00553E48"/>
    <w:rsid w:val="005555CD"/>
    <w:rsid w:val="00555A16"/>
    <w:rsid w:val="00555C37"/>
    <w:rsid w:val="00555E35"/>
    <w:rsid w:val="0055755D"/>
    <w:rsid w:val="00557E62"/>
    <w:rsid w:val="00560305"/>
    <w:rsid w:val="00561630"/>
    <w:rsid w:val="00562BDF"/>
    <w:rsid w:val="00562C94"/>
    <w:rsid w:val="005637C2"/>
    <w:rsid w:val="0056459B"/>
    <w:rsid w:val="0056558E"/>
    <w:rsid w:val="00567E1A"/>
    <w:rsid w:val="00571292"/>
    <w:rsid w:val="00572544"/>
    <w:rsid w:val="00573B52"/>
    <w:rsid w:val="00575200"/>
    <w:rsid w:val="00576495"/>
    <w:rsid w:val="005764EE"/>
    <w:rsid w:val="00576F06"/>
    <w:rsid w:val="00577A27"/>
    <w:rsid w:val="00581E04"/>
    <w:rsid w:val="00582D9E"/>
    <w:rsid w:val="00583046"/>
    <w:rsid w:val="005836F6"/>
    <w:rsid w:val="00584A0A"/>
    <w:rsid w:val="00585B4E"/>
    <w:rsid w:val="00586338"/>
    <w:rsid w:val="005869CA"/>
    <w:rsid w:val="00592432"/>
    <w:rsid w:val="005939F3"/>
    <w:rsid w:val="00593E05"/>
    <w:rsid w:val="00593F44"/>
    <w:rsid w:val="00595E36"/>
    <w:rsid w:val="00596D6B"/>
    <w:rsid w:val="0059748D"/>
    <w:rsid w:val="00597979"/>
    <w:rsid w:val="005A16E2"/>
    <w:rsid w:val="005A35E6"/>
    <w:rsid w:val="005A4302"/>
    <w:rsid w:val="005A5D00"/>
    <w:rsid w:val="005B016E"/>
    <w:rsid w:val="005B2FED"/>
    <w:rsid w:val="005B325C"/>
    <w:rsid w:val="005B39DB"/>
    <w:rsid w:val="005B4755"/>
    <w:rsid w:val="005B518B"/>
    <w:rsid w:val="005B7CE1"/>
    <w:rsid w:val="005C51EA"/>
    <w:rsid w:val="005C5A13"/>
    <w:rsid w:val="005D2251"/>
    <w:rsid w:val="005D2B92"/>
    <w:rsid w:val="005D2D4C"/>
    <w:rsid w:val="005D413B"/>
    <w:rsid w:val="005D4B33"/>
    <w:rsid w:val="005D5328"/>
    <w:rsid w:val="005D698B"/>
    <w:rsid w:val="005D722D"/>
    <w:rsid w:val="005E022A"/>
    <w:rsid w:val="005E2A62"/>
    <w:rsid w:val="005E2F7D"/>
    <w:rsid w:val="005E3227"/>
    <w:rsid w:val="005F3CFE"/>
    <w:rsid w:val="005F51F6"/>
    <w:rsid w:val="005F6C58"/>
    <w:rsid w:val="005F7941"/>
    <w:rsid w:val="006030CA"/>
    <w:rsid w:val="00604344"/>
    <w:rsid w:val="00606008"/>
    <w:rsid w:val="00606D27"/>
    <w:rsid w:val="00606E22"/>
    <w:rsid w:val="006117E1"/>
    <w:rsid w:val="00612A9D"/>
    <w:rsid w:val="006140BC"/>
    <w:rsid w:val="00614842"/>
    <w:rsid w:val="00615C9A"/>
    <w:rsid w:val="00620651"/>
    <w:rsid w:val="0062076D"/>
    <w:rsid w:val="006222C8"/>
    <w:rsid w:val="00622A05"/>
    <w:rsid w:val="006235F4"/>
    <w:rsid w:val="00631549"/>
    <w:rsid w:val="006352BD"/>
    <w:rsid w:val="00635E63"/>
    <w:rsid w:val="0063604B"/>
    <w:rsid w:val="0063631B"/>
    <w:rsid w:val="00636806"/>
    <w:rsid w:val="00636EFD"/>
    <w:rsid w:val="0063765F"/>
    <w:rsid w:val="006404BC"/>
    <w:rsid w:val="00643159"/>
    <w:rsid w:val="006442B0"/>
    <w:rsid w:val="00646978"/>
    <w:rsid w:val="00650511"/>
    <w:rsid w:val="006535B4"/>
    <w:rsid w:val="00654487"/>
    <w:rsid w:val="006557DC"/>
    <w:rsid w:val="00661B6C"/>
    <w:rsid w:val="00662789"/>
    <w:rsid w:val="00664635"/>
    <w:rsid w:val="00665297"/>
    <w:rsid w:val="00665878"/>
    <w:rsid w:val="006669DB"/>
    <w:rsid w:val="0066781B"/>
    <w:rsid w:val="006721E6"/>
    <w:rsid w:val="00675FDA"/>
    <w:rsid w:val="006809B7"/>
    <w:rsid w:val="00680BDA"/>
    <w:rsid w:val="00680C35"/>
    <w:rsid w:val="00680E63"/>
    <w:rsid w:val="0068118D"/>
    <w:rsid w:val="00682222"/>
    <w:rsid w:val="006828D2"/>
    <w:rsid w:val="006847A3"/>
    <w:rsid w:val="00684D9A"/>
    <w:rsid w:val="006857F1"/>
    <w:rsid w:val="006860B9"/>
    <w:rsid w:val="00687DE4"/>
    <w:rsid w:val="0069150A"/>
    <w:rsid w:val="0069437A"/>
    <w:rsid w:val="00694AE3"/>
    <w:rsid w:val="006959A7"/>
    <w:rsid w:val="0069663C"/>
    <w:rsid w:val="00697610"/>
    <w:rsid w:val="006978E8"/>
    <w:rsid w:val="006A0C67"/>
    <w:rsid w:val="006A1525"/>
    <w:rsid w:val="006A1A79"/>
    <w:rsid w:val="006A2F2E"/>
    <w:rsid w:val="006A4C4D"/>
    <w:rsid w:val="006A5881"/>
    <w:rsid w:val="006A6AEB"/>
    <w:rsid w:val="006B0F40"/>
    <w:rsid w:val="006B0F7C"/>
    <w:rsid w:val="006B152C"/>
    <w:rsid w:val="006B1EEA"/>
    <w:rsid w:val="006B43C7"/>
    <w:rsid w:val="006B4D25"/>
    <w:rsid w:val="006B4F24"/>
    <w:rsid w:val="006B54C7"/>
    <w:rsid w:val="006B578C"/>
    <w:rsid w:val="006B6B9E"/>
    <w:rsid w:val="006C00D7"/>
    <w:rsid w:val="006C0F12"/>
    <w:rsid w:val="006C1372"/>
    <w:rsid w:val="006C299D"/>
    <w:rsid w:val="006C3393"/>
    <w:rsid w:val="006C5202"/>
    <w:rsid w:val="006C5AA5"/>
    <w:rsid w:val="006C6822"/>
    <w:rsid w:val="006C7EF1"/>
    <w:rsid w:val="006D0662"/>
    <w:rsid w:val="006D1D2A"/>
    <w:rsid w:val="006D1F11"/>
    <w:rsid w:val="006D33B9"/>
    <w:rsid w:val="006D3CB5"/>
    <w:rsid w:val="006D7385"/>
    <w:rsid w:val="006E1E5E"/>
    <w:rsid w:val="006E3D3C"/>
    <w:rsid w:val="006E5FCB"/>
    <w:rsid w:val="006E680C"/>
    <w:rsid w:val="006E76EB"/>
    <w:rsid w:val="006E7EDF"/>
    <w:rsid w:val="006F125A"/>
    <w:rsid w:val="006F2684"/>
    <w:rsid w:val="006F5FC4"/>
    <w:rsid w:val="006F76A6"/>
    <w:rsid w:val="007004DC"/>
    <w:rsid w:val="0070090F"/>
    <w:rsid w:val="00701112"/>
    <w:rsid w:val="00701304"/>
    <w:rsid w:val="00701522"/>
    <w:rsid w:val="007022E1"/>
    <w:rsid w:val="00703959"/>
    <w:rsid w:val="00706D86"/>
    <w:rsid w:val="007158C9"/>
    <w:rsid w:val="007164C9"/>
    <w:rsid w:val="00717B5D"/>
    <w:rsid w:val="007200A9"/>
    <w:rsid w:val="00723BF8"/>
    <w:rsid w:val="007322E7"/>
    <w:rsid w:val="007324EC"/>
    <w:rsid w:val="00732956"/>
    <w:rsid w:val="00735D9B"/>
    <w:rsid w:val="00736BEA"/>
    <w:rsid w:val="00737DA1"/>
    <w:rsid w:val="0074094E"/>
    <w:rsid w:val="0074243B"/>
    <w:rsid w:val="00743F82"/>
    <w:rsid w:val="00744D45"/>
    <w:rsid w:val="007454D6"/>
    <w:rsid w:val="007456C9"/>
    <w:rsid w:val="00753B86"/>
    <w:rsid w:val="00754646"/>
    <w:rsid w:val="00754A7C"/>
    <w:rsid w:val="00760345"/>
    <w:rsid w:val="0076090E"/>
    <w:rsid w:val="00761471"/>
    <w:rsid w:val="007616B9"/>
    <w:rsid w:val="0076221A"/>
    <w:rsid w:val="00766C86"/>
    <w:rsid w:val="00766DE3"/>
    <w:rsid w:val="0076708C"/>
    <w:rsid w:val="00770635"/>
    <w:rsid w:val="00771FEC"/>
    <w:rsid w:val="007731CC"/>
    <w:rsid w:val="00774099"/>
    <w:rsid w:val="00774BEF"/>
    <w:rsid w:val="00774C10"/>
    <w:rsid w:val="007750D6"/>
    <w:rsid w:val="007755B4"/>
    <w:rsid w:val="007764F7"/>
    <w:rsid w:val="00776D0C"/>
    <w:rsid w:val="00777934"/>
    <w:rsid w:val="00777C7C"/>
    <w:rsid w:val="00780F3A"/>
    <w:rsid w:val="00783CF9"/>
    <w:rsid w:val="0078433C"/>
    <w:rsid w:val="00785001"/>
    <w:rsid w:val="00785B43"/>
    <w:rsid w:val="007863C4"/>
    <w:rsid w:val="00790FC1"/>
    <w:rsid w:val="007910E5"/>
    <w:rsid w:val="007913B4"/>
    <w:rsid w:val="00795240"/>
    <w:rsid w:val="00796965"/>
    <w:rsid w:val="00796CCF"/>
    <w:rsid w:val="00796D4D"/>
    <w:rsid w:val="007A2C50"/>
    <w:rsid w:val="007A3782"/>
    <w:rsid w:val="007A3F94"/>
    <w:rsid w:val="007B1243"/>
    <w:rsid w:val="007B21A7"/>
    <w:rsid w:val="007B52B1"/>
    <w:rsid w:val="007B56F5"/>
    <w:rsid w:val="007B65BC"/>
    <w:rsid w:val="007B71F2"/>
    <w:rsid w:val="007B78AE"/>
    <w:rsid w:val="007C0321"/>
    <w:rsid w:val="007C1445"/>
    <w:rsid w:val="007C497B"/>
    <w:rsid w:val="007C49EB"/>
    <w:rsid w:val="007C4CD2"/>
    <w:rsid w:val="007C5264"/>
    <w:rsid w:val="007D04C1"/>
    <w:rsid w:val="007D34AC"/>
    <w:rsid w:val="007D5DC2"/>
    <w:rsid w:val="007D7B0F"/>
    <w:rsid w:val="007E03E6"/>
    <w:rsid w:val="007E6E2B"/>
    <w:rsid w:val="007F0110"/>
    <w:rsid w:val="007F24BA"/>
    <w:rsid w:val="007F3231"/>
    <w:rsid w:val="007F38A8"/>
    <w:rsid w:val="007F7388"/>
    <w:rsid w:val="007F7BE5"/>
    <w:rsid w:val="00801928"/>
    <w:rsid w:val="00801C5A"/>
    <w:rsid w:val="00801E78"/>
    <w:rsid w:val="00804705"/>
    <w:rsid w:val="00807849"/>
    <w:rsid w:val="008144D1"/>
    <w:rsid w:val="00816627"/>
    <w:rsid w:val="0081744B"/>
    <w:rsid w:val="008208D8"/>
    <w:rsid w:val="00820E11"/>
    <w:rsid w:val="008218A8"/>
    <w:rsid w:val="00824910"/>
    <w:rsid w:val="00827BCA"/>
    <w:rsid w:val="008305A4"/>
    <w:rsid w:val="0083198E"/>
    <w:rsid w:val="00831DBE"/>
    <w:rsid w:val="00832D97"/>
    <w:rsid w:val="008334BD"/>
    <w:rsid w:val="00833B1D"/>
    <w:rsid w:val="00837E9A"/>
    <w:rsid w:val="00837EAC"/>
    <w:rsid w:val="00840087"/>
    <w:rsid w:val="00840544"/>
    <w:rsid w:val="00841960"/>
    <w:rsid w:val="00842A96"/>
    <w:rsid w:val="00843B2D"/>
    <w:rsid w:val="00844687"/>
    <w:rsid w:val="00844A24"/>
    <w:rsid w:val="00844D83"/>
    <w:rsid w:val="008456D9"/>
    <w:rsid w:val="00845A9C"/>
    <w:rsid w:val="008464D1"/>
    <w:rsid w:val="00847086"/>
    <w:rsid w:val="00851A09"/>
    <w:rsid w:val="0085464E"/>
    <w:rsid w:val="0085525D"/>
    <w:rsid w:val="008559D8"/>
    <w:rsid w:val="00860BD3"/>
    <w:rsid w:val="00860E96"/>
    <w:rsid w:val="0086172C"/>
    <w:rsid w:val="00864655"/>
    <w:rsid w:val="008649FE"/>
    <w:rsid w:val="00865337"/>
    <w:rsid w:val="00865A62"/>
    <w:rsid w:val="0086607C"/>
    <w:rsid w:val="00867876"/>
    <w:rsid w:val="00872AA2"/>
    <w:rsid w:val="00872D98"/>
    <w:rsid w:val="008738DF"/>
    <w:rsid w:val="0087516C"/>
    <w:rsid w:val="0087551C"/>
    <w:rsid w:val="00882731"/>
    <w:rsid w:val="0088434E"/>
    <w:rsid w:val="00885050"/>
    <w:rsid w:val="0088554A"/>
    <w:rsid w:val="008855AE"/>
    <w:rsid w:val="00885A96"/>
    <w:rsid w:val="00886026"/>
    <w:rsid w:val="008871CF"/>
    <w:rsid w:val="00890477"/>
    <w:rsid w:val="00892325"/>
    <w:rsid w:val="00892666"/>
    <w:rsid w:val="00892BAC"/>
    <w:rsid w:val="0089314C"/>
    <w:rsid w:val="00893718"/>
    <w:rsid w:val="00895135"/>
    <w:rsid w:val="00896F0D"/>
    <w:rsid w:val="00897357"/>
    <w:rsid w:val="008A127C"/>
    <w:rsid w:val="008A4165"/>
    <w:rsid w:val="008A46B3"/>
    <w:rsid w:val="008A620A"/>
    <w:rsid w:val="008A690C"/>
    <w:rsid w:val="008A6E22"/>
    <w:rsid w:val="008B37A1"/>
    <w:rsid w:val="008B3D46"/>
    <w:rsid w:val="008B5157"/>
    <w:rsid w:val="008B53B8"/>
    <w:rsid w:val="008B6685"/>
    <w:rsid w:val="008B796D"/>
    <w:rsid w:val="008C2DC7"/>
    <w:rsid w:val="008C35F3"/>
    <w:rsid w:val="008C587C"/>
    <w:rsid w:val="008C6557"/>
    <w:rsid w:val="008C6781"/>
    <w:rsid w:val="008C7AC6"/>
    <w:rsid w:val="008C7F1F"/>
    <w:rsid w:val="008D01C0"/>
    <w:rsid w:val="008D1112"/>
    <w:rsid w:val="008D1CF4"/>
    <w:rsid w:val="008D4FFE"/>
    <w:rsid w:val="008D501A"/>
    <w:rsid w:val="008D6DC7"/>
    <w:rsid w:val="008D7DA3"/>
    <w:rsid w:val="008E0863"/>
    <w:rsid w:val="008E15E9"/>
    <w:rsid w:val="008E3C6F"/>
    <w:rsid w:val="008E6D5C"/>
    <w:rsid w:val="008E6FCE"/>
    <w:rsid w:val="008E711F"/>
    <w:rsid w:val="008F0C88"/>
    <w:rsid w:val="008F10CF"/>
    <w:rsid w:val="008F2807"/>
    <w:rsid w:val="008F4E92"/>
    <w:rsid w:val="008F5029"/>
    <w:rsid w:val="008F6212"/>
    <w:rsid w:val="008F64C8"/>
    <w:rsid w:val="008F77D8"/>
    <w:rsid w:val="00900EF0"/>
    <w:rsid w:val="00901394"/>
    <w:rsid w:val="00901789"/>
    <w:rsid w:val="0090192F"/>
    <w:rsid w:val="009028A5"/>
    <w:rsid w:val="00903521"/>
    <w:rsid w:val="00904DC7"/>
    <w:rsid w:val="00906F65"/>
    <w:rsid w:val="00907146"/>
    <w:rsid w:val="0090735E"/>
    <w:rsid w:val="009101F6"/>
    <w:rsid w:val="009108B7"/>
    <w:rsid w:val="009141E2"/>
    <w:rsid w:val="0091437B"/>
    <w:rsid w:val="00915D73"/>
    <w:rsid w:val="00916FBD"/>
    <w:rsid w:val="009211D2"/>
    <w:rsid w:val="0092247D"/>
    <w:rsid w:val="00924966"/>
    <w:rsid w:val="00924E7F"/>
    <w:rsid w:val="0092533C"/>
    <w:rsid w:val="00926DC4"/>
    <w:rsid w:val="0093082B"/>
    <w:rsid w:val="0093167C"/>
    <w:rsid w:val="00931C8E"/>
    <w:rsid w:val="00931E23"/>
    <w:rsid w:val="00933E09"/>
    <w:rsid w:val="00935513"/>
    <w:rsid w:val="009364C1"/>
    <w:rsid w:val="00937429"/>
    <w:rsid w:val="00937643"/>
    <w:rsid w:val="00940D2D"/>
    <w:rsid w:val="009428B2"/>
    <w:rsid w:val="009460F6"/>
    <w:rsid w:val="00946BCE"/>
    <w:rsid w:val="00952D20"/>
    <w:rsid w:val="00952FD6"/>
    <w:rsid w:val="00953669"/>
    <w:rsid w:val="0095392E"/>
    <w:rsid w:val="00953E9C"/>
    <w:rsid w:val="009561D3"/>
    <w:rsid w:val="00956E1D"/>
    <w:rsid w:val="00956E8A"/>
    <w:rsid w:val="00957EE6"/>
    <w:rsid w:val="009603B6"/>
    <w:rsid w:val="00960723"/>
    <w:rsid w:val="00961F4B"/>
    <w:rsid w:val="0096498A"/>
    <w:rsid w:val="00965070"/>
    <w:rsid w:val="00967054"/>
    <w:rsid w:val="009704E2"/>
    <w:rsid w:val="00971AB9"/>
    <w:rsid w:val="00972003"/>
    <w:rsid w:val="009742E6"/>
    <w:rsid w:val="00974441"/>
    <w:rsid w:val="009744AB"/>
    <w:rsid w:val="00974D9D"/>
    <w:rsid w:val="00975301"/>
    <w:rsid w:val="009765CA"/>
    <w:rsid w:val="00981E69"/>
    <w:rsid w:val="0098210E"/>
    <w:rsid w:val="009831ED"/>
    <w:rsid w:val="009871D4"/>
    <w:rsid w:val="009916F5"/>
    <w:rsid w:val="00993201"/>
    <w:rsid w:val="00993668"/>
    <w:rsid w:val="009936BB"/>
    <w:rsid w:val="00993D5E"/>
    <w:rsid w:val="009941AC"/>
    <w:rsid w:val="00995366"/>
    <w:rsid w:val="0099571E"/>
    <w:rsid w:val="00995DDD"/>
    <w:rsid w:val="00996F7D"/>
    <w:rsid w:val="0099767D"/>
    <w:rsid w:val="009A0832"/>
    <w:rsid w:val="009A0B1A"/>
    <w:rsid w:val="009A1D04"/>
    <w:rsid w:val="009A204C"/>
    <w:rsid w:val="009A31BC"/>
    <w:rsid w:val="009A3CB1"/>
    <w:rsid w:val="009A3EC0"/>
    <w:rsid w:val="009A416B"/>
    <w:rsid w:val="009A44B7"/>
    <w:rsid w:val="009A5E10"/>
    <w:rsid w:val="009A6F44"/>
    <w:rsid w:val="009A71DA"/>
    <w:rsid w:val="009A755C"/>
    <w:rsid w:val="009B0741"/>
    <w:rsid w:val="009B13B0"/>
    <w:rsid w:val="009B1740"/>
    <w:rsid w:val="009B29D7"/>
    <w:rsid w:val="009B40E1"/>
    <w:rsid w:val="009B6D4E"/>
    <w:rsid w:val="009B74C6"/>
    <w:rsid w:val="009B7EB8"/>
    <w:rsid w:val="009C1FF5"/>
    <w:rsid w:val="009C344A"/>
    <w:rsid w:val="009C38E4"/>
    <w:rsid w:val="009C4760"/>
    <w:rsid w:val="009C47DD"/>
    <w:rsid w:val="009C4A8C"/>
    <w:rsid w:val="009C65BD"/>
    <w:rsid w:val="009C6B46"/>
    <w:rsid w:val="009D0652"/>
    <w:rsid w:val="009D1067"/>
    <w:rsid w:val="009D23F5"/>
    <w:rsid w:val="009D271B"/>
    <w:rsid w:val="009D334E"/>
    <w:rsid w:val="009D3440"/>
    <w:rsid w:val="009D3507"/>
    <w:rsid w:val="009D38B8"/>
    <w:rsid w:val="009D6630"/>
    <w:rsid w:val="009D783C"/>
    <w:rsid w:val="009E0FD0"/>
    <w:rsid w:val="009E1FDF"/>
    <w:rsid w:val="009E4F55"/>
    <w:rsid w:val="009E6906"/>
    <w:rsid w:val="009F2971"/>
    <w:rsid w:val="009F30B8"/>
    <w:rsid w:val="009F334E"/>
    <w:rsid w:val="009F6A44"/>
    <w:rsid w:val="009F6D0F"/>
    <w:rsid w:val="009F73E1"/>
    <w:rsid w:val="009F7C6F"/>
    <w:rsid w:val="00A0082D"/>
    <w:rsid w:val="00A013BA"/>
    <w:rsid w:val="00A014A8"/>
    <w:rsid w:val="00A01C55"/>
    <w:rsid w:val="00A076B8"/>
    <w:rsid w:val="00A077D2"/>
    <w:rsid w:val="00A11A99"/>
    <w:rsid w:val="00A140ED"/>
    <w:rsid w:val="00A15B3F"/>
    <w:rsid w:val="00A20076"/>
    <w:rsid w:val="00A20513"/>
    <w:rsid w:val="00A20F03"/>
    <w:rsid w:val="00A21CC7"/>
    <w:rsid w:val="00A24594"/>
    <w:rsid w:val="00A24DF8"/>
    <w:rsid w:val="00A25717"/>
    <w:rsid w:val="00A27308"/>
    <w:rsid w:val="00A2789D"/>
    <w:rsid w:val="00A341AB"/>
    <w:rsid w:val="00A345A8"/>
    <w:rsid w:val="00A34A40"/>
    <w:rsid w:val="00A3519F"/>
    <w:rsid w:val="00A35845"/>
    <w:rsid w:val="00A374CF"/>
    <w:rsid w:val="00A41247"/>
    <w:rsid w:val="00A42582"/>
    <w:rsid w:val="00A44647"/>
    <w:rsid w:val="00A44BD8"/>
    <w:rsid w:val="00A50E2A"/>
    <w:rsid w:val="00A52B1B"/>
    <w:rsid w:val="00A539E3"/>
    <w:rsid w:val="00A540A3"/>
    <w:rsid w:val="00A54B12"/>
    <w:rsid w:val="00A55086"/>
    <w:rsid w:val="00A60EEA"/>
    <w:rsid w:val="00A60F91"/>
    <w:rsid w:val="00A632D8"/>
    <w:rsid w:val="00A6548A"/>
    <w:rsid w:val="00A65ADE"/>
    <w:rsid w:val="00A66AE1"/>
    <w:rsid w:val="00A70FCC"/>
    <w:rsid w:val="00A71410"/>
    <w:rsid w:val="00A7169B"/>
    <w:rsid w:val="00A71770"/>
    <w:rsid w:val="00A73620"/>
    <w:rsid w:val="00A7421C"/>
    <w:rsid w:val="00A74A99"/>
    <w:rsid w:val="00A75C5A"/>
    <w:rsid w:val="00A7618A"/>
    <w:rsid w:val="00A81495"/>
    <w:rsid w:val="00A81604"/>
    <w:rsid w:val="00A816B7"/>
    <w:rsid w:val="00A833FB"/>
    <w:rsid w:val="00A93D14"/>
    <w:rsid w:val="00A93DFE"/>
    <w:rsid w:val="00A95089"/>
    <w:rsid w:val="00A952E5"/>
    <w:rsid w:val="00A97170"/>
    <w:rsid w:val="00AA162E"/>
    <w:rsid w:val="00AA178B"/>
    <w:rsid w:val="00AA304A"/>
    <w:rsid w:val="00AA59F3"/>
    <w:rsid w:val="00AA790B"/>
    <w:rsid w:val="00AA793C"/>
    <w:rsid w:val="00AB020A"/>
    <w:rsid w:val="00AB1A84"/>
    <w:rsid w:val="00AB2AB4"/>
    <w:rsid w:val="00AB2E64"/>
    <w:rsid w:val="00AC3B43"/>
    <w:rsid w:val="00AC4F02"/>
    <w:rsid w:val="00AC5AA9"/>
    <w:rsid w:val="00AC6AC2"/>
    <w:rsid w:val="00AC6C85"/>
    <w:rsid w:val="00AC6F09"/>
    <w:rsid w:val="00AC7379"/>
    <w:rsid w:val="00AD1852"/>
    <w:rsid w:val="00AD1ADD"/>
    <w:rsid w:val="00AD28AD"/>
    <w:rsid w:val="00AD3B0F"/>
    <w:rsid w:val="00AD661C"/>
    <w:rsid w:val="00AD7374"/>
    <w:rsid w:val="00AD767C"/>
    <w:rsid w:val="00AD787E"/>
    <w:rsid w:val="00AE0892"/>
    <w:rsid w:val="00AE23B8"/>
    <w:rsid w:val="00AE2B15"/>
    <w:rsid w:val="00AE2E73"/>
    <w:rsid w:val="00AE4448"/>
    <w:rsid w:val="00AE5856"/>
    <w:rsid w:val="00AE79C0"/>
    <w:rsid w:val="00AF072C"/>
    <w:rsid w:val="00AF2B1F"/>
    <w:rsid w:val="00AF71DB"/>
    <w:rsid w:val="00B006F6"/>
    <w:rsid w:val="00B01F77"/>
    <w:rsid w:val="00B0254C"/>
    <w:rsid w:val="00B0254E"/>
    <w:rsid w:val="00B026C8"/>
    <w:rsid w:val="00B03D77"/>
    <w:rsid w:val="00B04470"/>
    <w:rsid w:val="00B04851"/>
    <w:rsid w:val="00B05EF3"/>
    <w:rsid w:val="00B068F0"/>
    <w:rsid w:val="00B0699C"/>
    <w:rsid w:val="00B070B3"/>
    <w:rsid w:val="00B108E0"/>
    <w:rsid w:val="00B112B3"/>
    <w:rsid w:val="00B1192B"/>
    <w:rsid w:val="00B12218"/>
    <w:rsid w:val="00B13A12"/>
    <w:rsid w:val="00B150EC"/>
    <w:rsid w:val="00B15AFE"/>
    <w:rsid w:val="00B15D49"/>
    <w:rsid w:val="00B1619B"/>
    <w:rsid w:val="00B1672A"/>
    <w:rsid w:val="00B176D2"/>
    <w:rsid w:val="00B244ED"/>
    <w:rsid w:val="00B24E14"/>
    <w:rsid w:val="00B2577C"/>
    <w:rsid w:val="00B25AFE"/>
    <w:rsid w:val="00B30106"/>
    <w:rsid w:val="00B31CB4"/>
    <w:rsid w:val="00B320A3"/>
    <w:rsid w:val="00B3242A"/>
    <w:rsid w:val="00B335CF"/>
    <w:rsid w:val="00B34C2D"/>
    <w:rsid w:val="00B43BDB"/>
    <w:rsid w:val="00B4449B"/>
    <w:rsid w:val="00B4573C"/>
    <w:rsid w:val="00B45E71"/>
    <w:rsid w:val="00B46C60"/>
    <w:rsid w:val="00B47A28"/>
    <w:rsid w:val="00B5032F"/>
    <w:rsid w:val="00B5161F"/>
    <w:rsid w:val="00B52B39"/>
    <w:rsid w:val="00B53A0E"/>
    <w:rsid w:val="00B53FDC"/>
    <w:rsid w:val="00B54880"/>
    <w:rsid w:val="00B5742D"/>
    <w:rsid w:val="00B57906"/>
    <w:rsid w:val="00B57D27"/>
    <w:rsid w:val="00B6226D"/>
    <w:rsid w:val="00B63B79"/>
    <w:rsid w:val="00B65424"/>
    <w:rsid w:val="00B67B59"/>
    <w:rsid w:val="00B70072"/>
    <w:rsid w:val="00B705DE"/>
    <w:rsid w:val="00B71B4F"/>
    <w:rsid w:val="00B71CFD"/>
    <w:rsid w:val="00B725F0"/>
    <w:rsid w:val="00B72E99"/>
    <w:rsid w:val="00B74540"/>
    <w:rsid w:val="00B81D88"/>
    <w:rsid w:val="00B827C1"/>
    <w:rsid w:val="00B841C9"/>
    <w:rsid w:val="00B84481"/>
    <w:rsid w:val="00B848B5"/>
    <w:rsid w:val="00B852A1"/>
    <w:rsid w:val="00B854D7"/>
    <w:rsid w:val="00B90284"/>
    <w:rsid w:val="00B9062B"/>
    <w:rsid w:val="00B93D3A"/>
    <w:rsid w:val="00B9574B"/>
    <w:rsid w:val="00B9698A"/>
    <w:rsid w:val="00BA0760"/>
    <w:rsid w:val="00BA294F"/>
    <w:rsid w:val="00BA365F"/>
    <w:rsid w:val="00BA3B7A"/>
    <w:rsid w:val="00BA4BF5"/>
    <w:rsid w:val="00BA52AC"/>
    <w:rsid w:val="00BA5E67"/>
    <w:rsid w:val="00BA6C27"/>
    <w:rsid w:val="00BA6E30"/>
    <w:rsid w:val="00BA7EEE"/>
    <w:rsid w:val="00BB2639"/>
    <w:rsid w:val="00BB3CF5"/>
    <w:rsid w:val="00BB65C0"/>
    <w:rsid w:val="00BB69CF"/>
    <w:rsid w:val="00BB71AC"/>
    <w:rsid w:val="00BB721B"/>
    <w:rsid w:val="00BC0450"/>
    <w:rsid w:val="00BC097C"/>
    <w:rsid w:val="00BC14CF"/>
    <w:rsid w:val="00BC20B1"/>
    <w:rsid w:val="00BC277A"/>
    <w:rsid w:val="00BC2A27"/>
    <w:rsid w:val="00BC30C1"/>
    <w:rsid w:val="00BC37E4"/>
    <w:rsid w:val="00BC4B46"/>
    <w:rsid w:val="00BD22AF"/>
    <w:rsid w:val="00BD27BB"/>
    <w:rsid w:val="00BD3125"/>
    <w:rsid w:val="00BD39F2"/>
    <w:rsid w:val="00BD5627"/>
    <w:rsid w:val="00BD7CF0"/>
    <w:rsid w:val="00BE027D"/>
    <w:rsid w:val="00BE0576"/>
    <w:rsid w:val="00BE0FCC"/>
    <w:rsid w:val="00BE49F7"/>
    <w:rsid w:val="00BE5352"/>
    <w:rsid w:val="00BE6286"/>
    <w:rsid w:val="00BE6B0F"/>
    <w:rsid w:val="00BF36A2"/>
    <w:rsid w:val="00BF385E"/>
    <w:rsid w:val="00BF3EC1"/>
    <w:rsid w:val="00BF4835"/>
    <w:rsid w:val="00BF494B"/>
    <w:rsid w:val="00BF72D8"/>
    <w:rsid w:val="00C009EC"/>
    <w:rsid w:val="00C04D41"/>
    <w:rsid w:val="00C06A5C"/>
    <w:rsid w:val="00C06D1B"/>
    <w:rsid w:val="00C104A2"/>
    <w:rsid w:val="00C10A55"/>
    <w:rsid w:val="00C12329"/>
    <w:rsid w:val="00C12C96"/>
    <w:rsid w:val="00C132B2"/>
    <w:rsid w:val="00C133B6"/>
    <w:rsid w:val="00C138CC"/>
    <w:rsid w:val="00C14ABB"/>
    <w:rsid w:val="00C14F28"/>
    <w:rsid w:val="00C15F7C"/>
    <w:rsid w:val="00C17191"/>
    <w:rsid w:val="00C21A70"/>
    <w:rsid w:val="00C21DE5"/>
    <w:rsid w:val="00C21E6E"/>
    <w:rsid w:val="00C2326B"/>
    <w:rsid w:val="00C23839"/>
    <w:rsid w:val="00C24C63"/>
    <w:rsid w:val="00C264E1"/>
    <w:rsid w:val="00C2699D"/>
    <w:rsid w:val="00C304E9"/>
    <w:rsid w:val="00C3177B"/>
    <w:rsid w:val="00C32988"/>
    <w:rsid w:val="00C34824"/>
    <w:rsid w:val="00C35BA1"/>
    <w:rsid w:val="00C401CE"/>
    <w:rsid w:val="00C41236"/>
    <w:rsid w:val="00C42CE0"/>
    <w:rsid w:val="00C44F32"/>
    <w:rsid w:val="00C47393"/>
    <w:rsid w:val="00C47C25"/>
    <w:rsid w:val="00C47D01"/>
    <w:rsid w:val="00C50099"/>
    <w:rsid w:val="00C5159D"/>
    <w:rsid w:val="00C53FA7"/>
    <w:rsid w:val="00C5524D"/>
    <w:rsid w:val="00C5691C"/>
    <w:rsid w:val="00C621A7"/>
    <w:rsid w:val="00C63E04"/>
    <w:rsid w:val="00C70572"/>
    <w:rsid w:val="00C7099D"/>
    <w:rsid w:val="00C70C6D"/>
    <w:rsid w:val="00C728F2"/>
    <w:rsid w:val="00C731B3"/>
    <w:rsid w:val="00C7607C"/>
    <w:rsid w:val="00C7733E"/>
    <w:rsid w:val="00C77D80"/>
    <w:rsid w:val="00C811D2"/>
    <w:rsid w:val="00C81FD6"/>
    <w:rsid w:val="00C82C0D"/>
    <w:rsid w:val="00C83190"/>
    <w:rsid w:val="00C84CD2"/>
    <w:rsid w:val="00C84E4C"/>
    <w:rsid w:val="00C86471"/>
    <w:rsid w:val="00C86F17"/>
    <w:rsid w:val="00C871F1"/>
    <w:rsid w:val="00C87FC9"/>
    <w:rsid w:val="00C914F3"/>
    <w:rsid w:val="00C930CD"/>
    <w:rsid w:val="00C950B9"/>
    <w:rsid w:val="00C97E28"/>
    <w:rsid w:val="00CA0201"/>
    <w:rsid w:val="00CA0A33"/>
    <w:rsid w:val="00CA140D"/>
    <w:rsid w:val="00CA1EDE"/>
    <w:rsid w:val="00CA29FC"/>
    <w:rsid w:val="00CA5216"/>
    <w:rsid w:val="00CA6B5C"/>
    <w:rsid w:val="00CA796B"/>
    <w:rsid w:val="00CB0009"/>
    <w:rsid w:val="00CB0765"/>
    <w:rsid w:val="00CB1DB8"/>
    <w:rsid w:val="00CB38F2"/>
    <w:rsid w:val="00CB42B8"/>
    <w:rsid w:val="00CB4713"/>
    <w:rsid w:val="00CB4F6D"/>
    <w:rsid w:val="00CB66CC"/>
    <w:rsid w:val="00CB6A7E"/>
    <w:rsid w:val="00CC03A4"/>
    <w:rsid w:val="00CC0EB2"/>
    <w:rsid w:val="00CC7293"/>
    <w:rsid w:val="00CC7751"/>
    <w:rsid w:val="00CD036D"/>
    <w:rsid w:val="00CD432A"/>
    <w:rsid w:val="00CD618C"/>
    <w:rsid w:val="00CD7D20"/>
    <w:rsid w:val="00CE4B25"/>
    <w:rsid w:val="00CE78D5"/>
    <w:rsid w:val="00CF06F0"/>
    <w:rsid w:val="00CF44FA"/>
    <w:rsid w:val="00CF4780"/>
    <w:rsid w:val="00D00464"/>
    <w:rsid w:val="00D009BD"/>
    <w:rsid w:val="00D03201"/>
    <w:rsid w:val="00D0515C"/>
    <w:rsid w:val="00D0584C"/>
    <w:rsid w:val="00D10D0E"/>
    <w:rsid w:val="00D11147"/>
    <w:rsid w:val="00D1195D"/>
    <w:rsid w:val="00D133EF"/>
    <w:rsid w:val="00D13AB9"/>
    <w:rsid w:val="00D13B99"/>
    <w:rsid w:val="00D14E95"/>
    <w:rsid w:val="00D158A2"/>
    <w:rsid w:val="00D171CF"/>
    <w:rsid w:val="00D1786C"/>
    <w:rsid w:val="00D2149E"/>
    <w:rsid w:val="00D23470"/>
    <w:rsid w:val="00D34F05"/>
    <w:rsid w:val="00D35580"/>
    <w:rsid w:val="00D35CFA"/>
    <w:rsid w:val="00D40D9D"/>
    <w:rsid w:val="00D44E59"/>
    <w:rsid w:val="00D46796"/>
    <w:rsid w:val="00D46855"/>
    <w:rsid w:val="00D47C31"/>
    <w:rsid w:val="00D5083F"/>
    <w:rsid w:val="00D51C09"/>
    <w:rsid w:val="00D51D1B"/>
    <w:rsid w:val="00D522A3"/>
    <w:rsid w:val="00D52B11"/>
    <w:rsid w:val="00D5316C"/>
    <w:rsid w:val="00D54ADD"/>
    <w:rsid w:val="00D54E5C"/>
    <w:rsid w:val="00D55E3A"/>
    <w:rsid w:val="00D568A5"/>
    <w:rsid w:val="00D64EBF"/>
    <w:rsid w:val="00D65D04"/>
    <w:rsid w:val="00D6650A"/>
    <w:rsid w:val="00D6683D"/>
    <w:rsid w:val="00D66C4E"/>
    <w:rsid w:val="00D71152"/>
    <w:rsid w:val="00D7152C"/>
    <w:rsid w:val="00D7172A"/>
    <w:rsid w:val="00D73482"/>
    <w:rsid w:val="00D758F8"/>
    <w:rsid w:val="00D770DC"/>
    <w:rsid w:val="00D7731C"/>
    <w:rsid w:val="00D77350"/>
    <w:rsid w:val="00D774CE"/>
    <w:rsid w:val="00D83E89"/>
    <w:rsid w:val="00D842B1"/>
    <w:rsid w:val="00D84A18"/>
    <w:rsid w:val="00D87192"/>
    <w:rsid w:val="00D9042A"/>
    <w:rsid w:val="00D9095D"/>
    <w:rsid w:val="00D9111A"/>
    <w:rsid w:val="00D91803"/>
    <w:rsid w:val="00D9189F"/>
    <w:rsid w:val="00D938B0"/>
    <w:rsid w:val="00D93BB2"/>
    <w:rsid w:val="00D93E0E"/>
    <w:rsid w:val="00D95287"/>
    <w:rsid w:val="00DA1ACE"/>
    <w:rsid w:val="00DA3774"/>
    <w:rsid w:val="00DA3B0D"/>
    <w:rsid w:val="00DA5225"/>
    <w:rsid w:val="00DA5B0D"/>
    <w:rsid w:val="00DA5B32"/>
    <w:rsid w:val="00DB0F4F"/>
    <w:rsid w:val="00DB1CEA"/>
    <w:rsid w:val="00DB2DE9"/>
    <w:rsid w:val="00DB3407"/>
    <w:rsid w:val="00DB362E"/>
    <w:rsid w:val="00DB43A3"/>
    <w:rsid w:val="00DB560E"/>
    <w:rsid w:val="00DB5A5C"/>
    <w:rsid w:val="00DB6BA7"/>
    <w:rsid w:val="00DC0076"/>
    <w:rsid w:val="00DC086A"/>
    <w:rsid w:val="00DC0DB6"/>
    <w:rsid w:val="00DC237D"/>
    <w:rsid w:val="00DC2791"/>
    <w:rsid w:val="00DC3EC2"/>
    <w:rsid w:val="00DC64BE"/>
    <w:rsid w:val="00DC6F0E"/>
    <w:rsid w:val="00DC75D3"/>
    <w:rsid w:val="00DD22FA"/>
    <w:rsid w:val="00DD4A1E"/>
    <w:rsid w:val="00DE2672"/>
    <w:rsid w:val="00DE27B3"/>
    <w:rsid w:val="00DE3958"/>
    <w:rsid w:val="00DE3C5C"/>
    <w:rsid w:val="00DE5006"/>
    <w:rsid w:val="00DE5FAC"/>
    <w:rsid w:val="00DE704F"/>
    <w:rsid w:val="00DE77AF"/>
    <w:rsid w:val="00DF07DE"/>
    <w:rsid w:val="00DF1C58"/>
    <w:rsid w:val="00DF2390"/>
    <w:rsid w:val="00DF47C2"/>
    <w:rsid w:val="00DF6CAB"/>
    <w:rsid w:val="00DF74AF"/>
    <w:rsid w:val="00E02358"/>
    <w:rsid w:val="00E049CB"/>
    <w:rsid w:val="00E06C9E"/>
    <w:rsid w:val="00E07FEF"/>
    <w:rsid w:val="00E10F44"/>
    <w:rsid w:val="00E11C6C"/>
    <w:rsid w:val="00E14B3B"/>
    <w:rsid w:val="00E14DB0"/>
    <w:rsid w:val="00E162D9"/>
    <w:rsid w:val="00E164A0"/>
    <w:rsid w:val="00E16E2C"/>
    <w:rsid w:val="00E17CCF"/>
    <w:rsid w:val="00E17E2C"/>
    <w:rsid w:val="00E20636"/>
    <w:rsid w:val="00E218E9"/>
    <w:rsid w:val="00E26839"/>
    <w:rsid w:val="00E30F86"/>
    <w:rsid w:val="00E32D15"/>
    <w:rsid w:val="00E3390F"/>
    <w:rsid w:val="00E35119"/>
    <w:rsid w:val="00E3517B"/>
    <w:rsid w:val="00E356D0"/>
    <w:rsid w:val="00E35A0C"/>
    <w:rsid w:val="00E36FD3"/>
    <w:rsid w:val="00E373F1"/>
    <w:rsid w:val="00E40D07"/>
    <w:rsid w:val="00E41E56"/>
    <w:rsid w:val="00E42AB6"/>
    <w:rsid w:val="00E42D72"/>
    <w:rsid w:val="00E4326E"/>
    <w:rsid w:val="00E46179"/>
    <w:rsid w:val="00E50A6D"/>
    <w:rsid w:val="00E52486"/>
    <w:rsid w:val="00E52A65"/>
    <w:rsid w:val="00E5301A"/>
    <w:rsid w:val="00E5355B"/>
    <w:rsid w:val="00E547EC"/>
    <w:rsid w:val="00E5697E"/>
    <w:rsid w:val="00E56AF9"/>
    <w:rsid w:val="00E629B1"/>
    <w:rsid w:val="00E641FA"/>
    <w:rsid w:val="00E646A8"/>
    <w:rsid w:val="00E64778"/>
    <w:rsid w:val="00E64C5D"/>
    <w:rsid w:val="00E656A3"/>
    <w:rsid w:val="00E66890"/>
    <w:rsid w:val="00E67AC7"/>
    <w:rsid w:val="00E70F04"/>
    <w:rsid w:val="00E72398"/>
    <w:rsid w:val="00E725B5"/>
    <w:rsid w:val="00E72630"/>
    <w:rsid w:val="00E72998"/>
    <w:rsid w:val="00E72C49"/>
    <w:rsid w:val="00E72C68"/>
    <w:rsid w:val="00E72DED"/>
    <w:rsid w:val="00E74523"/>
    <w:rsid w:val="00E75BFC"/>
    <w:rsid w:val="00E7643F"/>
    <w:rsid w:val="00E7799F"/>
    <w:rsid w:val="00E81274"/>
    <w:rsid w:val="00E81620"/>
    <w:rsid w:val="00E81F38"/>
    <w:rsid w:val="00E820AC"/>
    <w:rsid w:val="00E82572"/>
    <w:rsid w:val="00E86318"/>
    <w:rsid w:val="00E86427"/>
    <w:rsid w:val="00E879D4"/>
    <w:rsid w:val="00E91FB0"/>
    <w:rsid w:val="00E92ECA"/>
    <w:rsid w:val="00E931E5"/>
    <w:rsid w:val="00E93A45"/>
    <w:rsid w:val="00E954FD"/>
    <w:rsid w:val="00E957F2"/>
    <w:rsid w:val="00E95905"/>
    <w:rsid w:val="00E95F56"/>
    <w:rsid w:val="00E96FC0"/>
    <w:rsid w:val="00E97F7C"/>
    <w:rsid w:val="00EA037B"/>
    <w:rsid w:val="00EA0F65"/>
    <w:rsid w:val="00EA1C72"/>
    <w:rsid w:val="00EA442B"/>
    <w:rsid w:val="00EA4824"/>
    <w:rsid w:val="00EA4A93"/>
    <w:rsid w:val="00EA4AB7"/>
    <w:rsid w:val="00EA4FB3"/>
    <w:rsid w:val="00EA5C3B"/>
    <w:rsid w:val="00EA67AF"/>
    <w:rsid w:val="00EB1BB7"/>
    <w:rsid w:val="00EB1C56"/>
    <w:rsid w:val="00EB20D3"/>
    <w:rsid w:val="00EB2986"/>
    <w:rsid w:val="00EB4320"/>
    <w:rsid w:val="00EB6EC2"/>
    <w:rsid w:val="00EC0B4B"/>
    <w:rsid w:val="00EC1543"/>
    <w:rsid w:val="00EC1DA3"/>
    <w:rsid w:val="00EC1E82"/>
    <w:rsid w:val="00EC2DEE"/>
    <w:rsid w:val="00EC3C6B"/>
    <w:rsid w:val="00EC3C86"/>
    <w:rsid w:val="00EC739F"/>
    <w:rsid w:val="00EC7541"/>
    <w:rsid w:val="00EC7674"/>
    <w:rsid w:val="00ED4445"/>
    <w:rsid w:val="00ED4923"/>
    <w:rsid w:val="00ED558D"/>
    <w:rsid w:val="00ED5DB3"/>
    <w:rsid w:val="00ED6F3A"/>
    <w:rsid w:val="00EE0617"/>
    <w:rsid w:val="00EE0CEA"/>
    <w:rsid w:val="00EE324D"/>
    <w:rsid w:val="00EE3850"/>
    <w:rsid w:val="00EE4284"/>
    <w:rsid w:val="00EE514D"/>
    <w:rsid w:val="00EE5502"/>
    <w:rsid w:val="00EE5AE1"/>
    <w:rsid w:val="00EE6289"/>
    <w:rsid w:val="00EE7246"/>
    <w:rsid w:val="00EF089C"/>
    <w:rsid w:val="00EF0946"/>
    <w:rsid w:val="00EF0AAA"/>
    <w:rsid w:val="00EF0DE4"/>
    <w:rsid w:val="00EF2DD2"/>
    <w:rsid w:val="00EF6A0F"/>
    <w:rsid w:val="00EF763A"/>
    <w:rsid w:val="00F006D2"/>
    <w:rsid w:val="00F01525"/>
    <w:rsid w:val="00F0171A"/>
    <w:rsid w:val="00F03E12"/>
    <w:rsid w:val="00F05BC2"/>
    <w:rsid w:val="00F05C3D"/>
    <w:rsid w:val="00F0721A"/>
    <w:rsid w:val="00F078B1"/>
    <w:rsid w:val="00F07B12"/>
    <w:rsid w:val="00F07DD7"/>
    <w:rsid w:val="00F07E39"/>
    <w:rsid w:val="00F101A0"/>
    <w:rsid w:val="00F10340"/>
    <w:rsid w:val="00F10353"/>
    <w:rsid w:val="00F11749"/>
    <w:rsid w:val="00F11C48"/>
    <w:rsid w:val="00F128A5"/>
    <w:rsid w:val="00F12BDD"/>
    <w:rsid w:val="00F1306F"/>
    <w:rsid w:val="00F14C7F"/>
    <w:rsid w:val="00F156E6"/>
    <w:rsid w:val="00F15C5F"/>
    <w:rsid w:val="00F16315"/>
    <w:rsid w:val="00F177A9"/>
    <w:rsid w:val="00F21910"/>
    <w:rsid w:val="00F22F5C"/>
    <w:rsid w:val="00F23489"/>
    <w:rsid w:val="00F23595"/>
    <w:rsid w:val="00F2685B"/>
    <w:rsid w:val="00F30AA8"/>
    <w:rsid w:val="00F310A1"/>
    <w:rsid w:val="00F33C54"/>
    <w:rsid w:val="00F33CCA"/>
    <w:rsid w:val="00F33F6C"/>
    <w:rsid w:val="00F34917"/>
    <w:rsid w:val="00F370A7"/>
    <w:rsid w:val="00F40111"/>
    <w:rsid w:val="00F401FB"/>
    <w:rsid w:val="00F427DD"/>
    <w:rsid w:val="00F4496C"/>
    <w:rsid w:val="00F44CB3"/>
    <w:rsid w:val="00F44CB8"/>
    <w:rsid w:val="00F45BE8"/>
    <w:rsid w:val="00F47599"/>
    <w:rsid w:val="00F4763B"/>
    <w:rsid w:val="00F506FA"/>
    <w:rsid w:val="00F5181C"/>
    <w:rsid w:val="00F520FB"/>
    <w:rsid w:val="00F53518"/>
    <w:rsid w:val="00F53AE5"/>
    <w:rsid w:val="00F55A18"/>
    <w:rsid w:val="00F55AA8"/>
    <w:rsid w:val="00F5606E"/>
    <w:rsid w:val="00F568DE"/>
    <w:rsid w:val="00F60E31"/>
    <w:rsid w:val="00F620D5"/>
    <w:rsid w:val="00F62C56"/>
    <w:rsid w:val="00F64FE5"/>
    <w:rsid w:val="00F658B4"/>
    <w:rsid w:val="00F72C05"/>
    <w:rsid w:val="00F75BF7"/>
    <w:rsid w:val="00F76523"/>
    <w:rsid w:val="00F76BEE"/>
    <w:rsid w:val="00F77B53"/>
    <w:rsid w:val="00F80B60"/>
    <w:rsid w:val="00F83C30"/>
    <w:rsid w:val="00F83E5E"/>
    <w:rsid w:val="00F85757"/>
    <w:rsid w:val="00F85FF8"/>
    <w:rsid w:val="00F86E9C"/>
    <w:rsid w:val="00F87CEB"/>
    <w:rsid w:val="00F918C8"/>
    <w:rsid w:val="00F935D0"/>
    <w:rsid w:val="00F9572F"/>
    <w:rsid w:val="00F959BD"/>
    <w:rsid w:val="00F96F14"/>
    <w:rsid w:val="00F977E7"/>
    <w:rsid w:val="00F97F6A"/>
    <w:rsid w:val="00FA154B"/>
    <w:rsid w:val="00FA20A9"/>
    <w:rsid w:val="00FA21FF"/>
    <w:rsid w:val="00FA302D"/>
    <w:rsid w:val="00FA37D3"/>
    <w:rsid w:val="00FA47CB"/>
    <w:rsid w:val="00FA6049"/>
    <w:rsid w:val="00FA681B"/>
    <w:rsid w:val="00FB01A8"/>
    <w:rsid w:val="00FB0B78"/>
    <w:rsid w:val="00FB11A0"/>
    <w:rsid w:val="00FB138C"/>
    <w:rsid w:val="00FB297F"/>
    <w:rsid w:val="00FB3500"/>
    <w:rsid w:val="00FB3A23"/>
    <w:rsid w:val="00FB51D3"/>
    <w:rsid w:val="00FB5AB4"/>
    <w:rsid w:val="00FB65C4"/>
    <w:rsid w:val="00FC0B27"/>
    <w:rsid w:val="00FC0C51"/>
    <w:rsid w:val="00FC100B"/>
    <w:rsid w:val="00FC11C8"/>
    <w:rsid w:val="00FC290B"/>
    <w:rsid w:val="00FC3C62"/>
    <w:rsid w:val="00FC43D6"/>
    <w:rsid w:val="00FC775C"/>
    <w:rsid w:val="00FD156D"/>
    <w:rsid w:val="00FD5C26"/>
    <w:rsid w:val="00FD7F97"/>
    <w:rsid w:val="00FE08E4"/>
    <w:rsid w:val="00FE09E0"/>
    <w:rsid w:val="00FE1177"/>
    <w:rsid w:val="00FE188B"/>
    <w:rsid w:val="00FE34C2"/>
    <w:rsid w:val="00FE47BD"/>
    <w:rsid w:val="00FE4FF3"/>
    <w:rsid w:val="00FE55E4"/>
    <w:rsid w:val="00FE6955"/>
    <w:rsid w:val="00FE744A"/>
    <w:rsid w:val="00FE7DEF"/>
    <w:rsid w:val="00FF0909"/>
    <w:rsid w:val="00FF209C"/>
    <w:rsid w:val="00FF23AF"/>
    <w:rsid w:val="00FF42D0"/>
    <w:rsid w:val="00FF4401"/>
    <w:rsid w:val="00FF501C"/>
    <w:rsid w:val="00FF5A00"/>
    <w:rsid w:val="00FF7642"/>
    <w:rsid w:val="02E239CA"/>
    <w:rsid w:val="03C50E3C"/>
    <w:rsid w:val="03DB0081"/>
    <w:rsid w:val="0B5701DE"/>
    <w:rsid w:val="0CEC7D6C"/>
    <w:rsid w:val="0D133FD9"/>
    <w:rsid w:val="0F866081"/>
    <w:rsid w:val="0F8C2B72"/>
    <w:rsid w:val="11664BBA"/>
    <w:rsid w:val="17A4103D"/>
    <w:rsid w:val="18E370D7"/>
    <w:rsid w:val="1BB80A6F"/>
    <w:rsid w:val="1CC16B11"/>
    <w:rsid w:val="1E835BA9"/>
    <w:rsid w:val="237E73EA"/>
    <w:rsid w:val="27223926"/>
    <w:rsid w:val="2CF122E2"/>
    <w:rsid w:val="332E7F4D"/>
    <w:rsid w:val="3A8B353F"/>
    <w:rsid w:val="3B5B6768"/>
    <w:rsid w:val="3F5B60CE"/>
    <w:rsid w:val="3F6A6952"/>
    <w:rsid w:val="3FEF534D"/>
    <w:rsid w:val="400300F2"/>
    <w:rsid w:val="43BA6035"/>
    <w:rsid w:val="48A24000"/>
    <w:rsid w:val="4E5303DE"/>
    <w:rsid w:val="519805C3"/>
    <w:rsid w:val="533C051F"/>
    <w:rsid w:val="53D83919"/>
    <w:rsid w:val="5533734C"/>
    <w:rsid w:val="567B3D69"/>
    <w:rsid w:val="57C3258C"/>
    <w:rsid w:val="58061E92"/>
    <w:rsid w:val="59626D43"/>
    <w:rsid w:val="5B54677A"/>
    <w:rsid w:val="5C4371B5"/>
    <w:rsid w:val="5C631FBE"/>
    <w:rsid w:val="5DA32C2C"/>
    <w:rsid w:val="5DD3484E"/>
    <w:rsid w:val="606049A2"/>
    <w:rsid w:val="60844B35"/>
    <w:rsid w:val="62643CF0"/>
    <w:rsid w:val="6B5D7655"/>
    <w:rsid w:val="6DA93F4C"/>
    <w:rsid w:val="79C4211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qFormat="1" w:uiPriority="99" w:semiHidden="0"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qFormat="1" w:unhideWhenUsed="0" w:uiPriority="99" w:semiHidden="0" w:name="annotation reference"/>
    <w:lsdException w:uiPriority="99" w:name="line number"/>
    <w:lsdException w:uiPriority="99" w:name="page number"/>
    <w:lsdException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2"/>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8"/>
    <w:autoRedefine/>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semiHidden/>
    <w:unhideWhenUsed/>
    <w:qFormat/>
    <w:uiPriority w:val="99"/>
    <w:pPr>
      <w:ind w:firstLine="420" w:firstLineChars="200"/>
    </w:pPr>
  </w:style>
  <w:style w:type="paragraph" w:styleId="5">
    <w:name w:val="Document Map"/>
    <w:basedOn w:val="1"/>
    <w:link w:val="43"/>
    <w:autoRedefine/>
    <w:semiHidden/>
    <w:unhideWhenUsed/>
    <w:qFormat/>
    <w:uiPriority w:val="99"/>
    <w:rPr>
      <w:rFonts w:ascii="宋体"/>
      <w:sz w:val="18"/>
      <w:szCs w:val="18"/>
    </w:rPr>
  </w:style>
  <w:style w:type="paragraph" w:styleId="6">
    <w:name w:val="annotation text"/>
    <w:basedOn w:val="1"/>
    <w:link w:val="28"/>
    <w:autoRedefine/>
    <w:qFormat/>
    <w:uiPriority w:val="99"/>
    <w:pPr>
      <w:jc w:val="left"/>
    </w:pPr>
    <w:rPr>
      <w:rFonts w:ascii="Times New Roman" w:hAnsi="Times New Roman"/>
      <w:szCs w:val="24"/>
    </w:rPr>
  </w:style>
  <w:style w:type="paragraph" w:styleId="7">
    <w:name w:val="endnote text"/>
    <w:basedOn w:val="1"/>
    <w:link w:val="44"/>
    <w:autoRedefine/>
    <w:semiHidden/>
    <w:unhideWhenUsed/>
    <w:qFormat/>
    <w:uiPriority w:val="99"/>
    <w:pPr>
      <w:snapToGrid w:val="0"/>
      <w:jc w:val="left"/>
    </w:pPr>
  </w:style>
  <w:style w:type="paragraph" w:styleId="8">
    <w:name w:val="Balloon Text"/>
    <w:basedOn w:val="1"/>
    <w:link w:val="25"/>
    <w:autoRedefine/>
    <w:semiHidden/>
    <w:unhideWhenUsed/>
    <w:qFormat/>
    <w:uiPriority w:val="99"/>
    <w:rPr>
      <w:sz w:val="18"/>
      <w:szCs w:val="18"/>
    </w:rPr>
  </w:style>
  <w:style w:type="paragraph" w:styleId="9">
    <w:name w:val="footer"/>
    <w:basedOn w:val="1"/>
    <w:link w:val="24"/>
    <w:autoRedefine/>
    <w:unhideWhenUsed/>
    <w:qFormat/>
    <w:uiPriority w:val="99"/>
    <w:pPr>
      <w:tabs>
        <w:tab w:val="center" w:pos="4153"/>
        <w:tab w:val="right" w:pos="8306"/>
      </w:tabs>
      <w:snapToGrid w:val="0"/>
      <w:jc w:val="left"/>
    </w:pPr>
    <w:rPr>
      <w:sz w:val="18"/>
      <w:szCs w:val="18"/>
    </w:rPr>
  </w:style>
  <w:style w:type="paragraph" w:styleId="10">
    <w:name w:val="header"/>
    <w:basedOn w:val="1"/>
    <w:link w:val="2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autoRedefine/>
    <w:unhideWhenUsed/>
    <w:qFormat/>
    <w:uiPriority w:val="39"/>
  </w:style>
  <w:style w:type="paragraph" w:styleId="12">
    <w:name w:val="footnote text"/>
    <w:basedOn w:val="1"/>
    <w:link w:val="29"/>
    <w:autoRedefine/>
    <w:unhideWhenUsed/>
    <w:qFormat/>
    <w:uiPriority w:val="99"/>
    <w:pPr>
      <w:snapToGrid w:val="0"/>
      <w:jc w:val="left"/>
    </w:pPr>
    <w:rPr>
      <w:rFonts w:ascii="Times New Roman" w:hAnsi="Times New Roman"/>
      <w:sz w:val="18"/>
      <w:szCs w:val="18"/>
    </w:rPr>
  </w:style>
  <w:style w:type="paragraph" w:styleId="13">
    <w:name w:val="Normal (Web)"/>
    <w:basedOn w:val="1"/>
    <w:autoRedefine/>
    <w:unhideWhenUsed/>
    <w:qFormat/>
    <w:uiPriority w:val="99"/>
    <w:pPr>
      <w:snapToGrid w:val="0"/>
      <w:jc w:val="left"/>
    </w:pPr>
    <w:rPr>
      <w:rFonts w:ascii="宋体" w:hAnsi="宋体"/>
      <w:kern w:val="0"/>
      <w:sz w:val="18"/>
      <w:szCs w:val="18"/>
      <w:vertAlign w:val="superscript"/>
    </w:rPr>
  </w:style>
  <w:style w:type="paragraph" w:styleId="14">
    <w:name w:val="annotation subject"/>
    <w:basedOn w:val="6"/>
    <w:next w:val="6"/>
    <w:link w:val="30"/>
    <w:autoRedefine/>
    <w:semiHidden/>
    <w:unhideWhenUsed/>
    <w:qFormat/>
    <w:uiPriority w:val="99"/>
    <w:rPr>
      <w:rFonts w:ascii="Calibri" w:hAnsi="Calibri"/>
      <w:b/>
      <w:bCs/>
      <w:szCs w:val="22"/>
    </w:rPr>
  </w:style>
  <w:style w:type="table" w:styleId="16">
    <w:name w:val="Table Grid"/>
    <w:basedOn w:val="15"/>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autoRedefine/>
    <w:qFormat/>
    <w:uiPriority w:val="22"/>
    <w:rPr>
      <w:b/>
      <w:bCs/>
    </w:rPr>
  </w:style>
  <w:style w:type="character" w:styleId="19">
    <w:name w:val="Hyperlink"/>
    <w:basedOn w:val="17"/>
    <w:autoRedefine/>
    <w:unhideWhenUsed/>
    <w:qFormat/>
    <w:uiPriority w:val="99"/>
    <w:rPr>
      <w:color w:val="0000FF" w:themeColor="hyperlink"/>
      <w:u w:val="single"/>
      <w14:textFill>
        <w14:solidFill>
          <w14:schemeClr w14:val="hlink"/>
        </w14:solidFill>
      </w14:textFill>
    </w:rPr>
  </w:style>
  <w:style w:type="character" w:styleId="20">
    <w:name w:val="annotation reference"/>
    <w:autoRedefine/>
    <w:qFormat/>
    <w:uiPriority w:val="99"/>
    <w:rPr>
      <w:sz w:val="21"/>
      <w:szCs w:val="21"/>
    </w:rPr>
  </w:style>
  <w:style w:type="character" w:styleId="21">
    <w:name w:val="footnote reference"/>
    <w:autoRedefine/>
    <w:unhideWhenUsed/>
    <w:qFormat/>
    <w:uiPriority w:val="99"/>
    <w:rPr>
      <w:vertAlign w:val="superscript"/>
    </w:rPr>
  </w:style>
  <w:style w:type="character" w:customStyle="1" w:styleId="22">
    <w:name w:val="标题 1 字符"/>
    <w:link w:val="2"/>
    <w:autoRedefine/>
    <w:qFormat/>
    <w:uiPriority w:val="9"/>
    <w:rPr>
      <w:b/>
      <w:bCs/>
      <w:kern w:val="44"/>
      <w:sz w:val="44"/>
      <w:szCs w:val="44"/>
    </w:rPr>
  </w:style>
  <w:style w:type="character" w:customStyle="1" w:styleId="23">
    <w:name w:val="页眉 字符"/>
    <w:link w:val="10"/>
    <w:autoRedefine/>
    <w:qFormat/>
    <w:uiPriority w:val="99"/>
    <w:rPr>
      <w:sz w:val="18"/>
      <w:szCs w:val="18"/>
    </w:rPr>
  </w:style>
  <w:style w:type="character" w:customStyle="1" w:styleId="24">
    <w:name w:val="页脚 字符"/>
    <w:link w:val="9"/>
    <w:autoRedefine/>
    <w:qFormat/>
    <w:uiPriority w:val="99"/>
    <w:rPr>
      <w:sz w:val="18"/>
      <w:szCs w:val="18"/>
    </w:rPr>
  </w:style>
  <w:style w:type="character" w:customStyle="1" w:styleId="25">
    <w:name w:val="批注框文本 字符"/>
    <w:link w:val="8"/>
    <w:autoRedefine/>
    <w:semiHidden/>
    <w:qFormat/>
    <w:uiPriority w:val="99"/>
    <w:rPr>
      <w:sz w:val="18"/>
      <w:szCs w:val="18"/>
    </w:rPr>
  </w:style>
  <w:style w:type="character" w:customStyle="1" w:styleId="26">
    <w:name w:val="报告正文 Char Char"/>
    <w:link w:val="27"/>
    <w:autoRedefine/>
    <w:qFormat/>
    <w:uiPriority w:val="0"/>
    <w:rPr>
      <w:rFonts w:ascii="宋体" w:hAnsi="宋体"/>
      <w:color w:val="000000"/>
      <w:sz w:val="22"/>
    </w:rPr>
  </w:style>
  <w:style w:type="paragraph" w:customStyle="1" w:styleId="27">
    <w:name w:val="报告正文"/>
    <w:basedOn w:val="4"/>
    <w:link w:val="26"/>
    <w:autoRedefine/>
    <w:qFormat/>
    <w:uiPriority w:val="0"/>
    <w:pPr>
      <w:spacing w:before="20" w:after="10"/>
      <w:ind w:left="2160" w:right="-34" w:firstLine="440"/>
    </w:pPr>
    <w:rPr>
      <w:rFonts w:ascii="宋体" w:hAnsi="宋体"/>
      <w:color w:val="000000"/>
      <w:kern w:val="0"/>
      <w:sz w:val="22"/>
      <w:szCs w:val="20"/>
    </w:rPr>
  </w:style>
  <w:style w:type="character" w:customStyle="1" w:styleId="28">
    <w:name w:val="批注文字 字符"/>
    <w:link w:val="6"/>
    <w:autoRedefine/>
    <w:qFormat/>
    <w:uiPriority w:val="99"/>
    <w:rPr>
      <w:rFonts w:ascii="Times New Roman" w:hAnsi="Times New Roman"/>
      <w:kern w:val="2"/>
      <w:sz w:val="21"/>
      <w:szCs w:val="24"/>
    </w:rPr>
  </w:style>
  <w:style w:type="character" w:customStyle="1" w:styleId="29">
    <w:name w:val="脚注文本 字符"/>
    <w:link w:val="12"/>
    <w:autoRedefine/>
    <w:semiHidden/>
    <w:qFormat/>
    <w:uiPriority w:val="99"/>
    <w:rPr>
      <w:rFonts w:ascii="Times New Roman" w:hAnsi="Times New Roman"/>
      <w:kern w:val="2"/>
      <w:sz w:val="18"/>
      <w:szCs w:val="18"/>
    </w:rPr>
  </w:style>
  <w:style w:type="character" w:customStyle="1" w:styleId="30">
    <w:name w:val="批注主题 字符"/>
    <w:link w:val="14"/>
    <w:autoRedefine/>
    <w:semiHidden/>
    <w:qFormat/>
    <w:uiPriority w:val="99"/>
    <w:rPr>
      <w:rFonts w:ascii="Times New Roman" w:hAnsi="Times New Roman"/>
      <w:b/>
      <w:bCs/>
      <w:kern w:val="2"/>
      <w:sz w:val="21"/>
      <w:szCs w:val="22"/>
    </w:rPr>
  </w:style>
  <w:style w:type="paragraph" w:customStyle="1" w:styleId="31">
    <w:name w:val="样式1"/>
    <w:basedOn w:val="1"/>
    <w:link w:val="32"/>
    <w:autoRedefine/>
    <w:qFormat/>
    <w:uiPriority w:val="0"/>
    <w:pPr>
      <w:spacing w:beforeLines="50" w:afterLines="50" w:line="480" w:lineRule="exact"/>
      <w:jc w:val="left"/>
    </w:pPr>
    <w:rPr>
      <w:rFonts w:ascii="楷体" w:hAnsi="楷体" w:eastAsia="楷体"/>
      <w:b/>
      <w:color w:val="C00000"/>
      <w:sz w:val="36"/>
      <w:szCs w:val="36"/>
    </w:rPr>
  </w:style>
  <w:style w:type="character" w:customStyle="1" w:styleId="32">
    <w:name w:val="样式1 Char"/>
    <w:link w:val="31"/>
    <w:autoRedefine/>
    <w:qFormat/>
    <w:uiPriority w:val="0"/>
    <w:rPr>
      <w:rFonts w:ascii="楷体" w:hAnsi="楷体" w:eastAsia="楷体"/>
      <w:b/>
      <w:color w:val="C00000"/>
      <w:kern w:val="2"/>
      <w:sz w:val="36"/>
      <w:szCs w:val="36"/>
    </w:rPr>
  </w:style>
  <w:style w:type="paragraph" w:styleId="33">
    <w:name w:val="List Paragraph"/>
    <w:basedOn w:val="1"/>
    <w:autoRedefine/>
    <w:qFormat/>
    <w:uiPriority w:val="34"/>
    <w:pPr>
      <w:ind w:firstLine="420" w:firstLineChars="200"/>
    </w:pPr>
  </w:style>
  <w:style w:type="character" w:customStyle="1" w:styleId="34">
    <w:name w:val="fontstyle01"/>
    <w:autoRedefine/>
    <w:qFormat/>
    <w:uiPriority w:val="0"/>
    <w:rPr>
      <w:rFonts w:hint="default" w:ascii="TimesNewRomanPSMT" w:hAnsi="TimesNewRomanPSMT"/>
      <w:color w:val="000000"/>
      <w:sz w:val="18"/>
      <w:szCs w:val="18"/>
    </w:rPr>
  </w:style>
  <w:style w:type="character" w:customStyle="1" w:styleId="35">
    <w:name w:val="fontstyle11"/>
    <w:autoRedefine/>
    <w:qFormat/>
    <w:uiPriority w:val="0"/>
    <w:rPr>
      <w:rFonts w:hint="eastAsia" w:ascii="楷体_GB2312" w:eastAsia="楷体_GB2312"/>
      <w:color w:val="000000"/>
      <w:sz w:val="18"/>
      <w:szCs w:val="18"/>
    </w:rPr>
  </w:style>
  <w:style w:type="character" w:customStyle="1" w:styleId="36">
    <w:name w:val="fontstyle21"/>
    <w:basedOn w:val="17"/>
    <w:autoRedefine/>
    <w:qFormat/>
    <w:uiPriority w:val="0"/>
    <w:rPr>
      <w:rFonts w:hint="eastAsia" w:ascii="宋体" w:hAnsi="宋体" w:eastAsia="宋体"/>
      <w:color w:val="000000"/>
      <w:sz w:val="22"/>
      <w:szCs w:val="22"/>
    </w:rPr>
  </w:style>
  <w:style w:type="paragraph" w:customStyle="1" w:styleId="37">
    <w:name w:val="修订1"/>
    <w:autoRedefine/>
    <w:hidden/>
    <w:semiHidden/>
    <w:qFormat/>
    <w:uiPriority w:val="99"/>
    <w:rPr>
      <w:rFonts w:ascii="Calibri" w:hAnsi="Calibri" w:eastAsia="宋体" w:cs="Times New Roman"/>
      <w:kern w:val="2"/>
      <w:sz w:val="21"/>
      <w:szCs w:val="22"/>
      <w:lang w:val="en-US" w:eastAsia="zh-CN" w:bidi="ar-SA"/>
    </w:rPr>
  </w:style>
  <w:style w:type="paragraph" w:customStyle="1" w:styleId="38">
    <w:name w:val="2级标题"/>
    <w:basedOn w:val="1"/>
    <w:link w:val="39"/>
    <w:autoRedefine/>
    <w:qFormat/>
    <w:uiPriority w:val="0"/>
    <w:pPr>
      <w:adjustRightInd w:val="0"/>
      <w:snapToGrid w:val="0"/>
      <w:spacing w:line="480" w:lineRule="exact"/>
      <w:ind w:right="-105" w:rightChars="-50" w:firstLine="482" w:firstLineChars="200"/>
    </w:pPr>
    <w:rPr>
      <w:rFonts w:ascii="楷体" w:hAnsi="楷体" w:eastAsia="楷体"/>
      <w:b/>
      <w:color w:val="000000"/>
      <w:sz w:val="24"/>
      <w:szCs w:val="28"/>
    </w:rPr>
  </w:style>
  <w:style w:type="character" w:customStyle="1" w:styleId="39">
    <w:name w:val="2级标题 字符"/>
    <w:link w:val="38"/>
    <w:autoRedefine/>
    <w:qFormat/>
    <w:uiPriority w:val="0"/>
    <w:rPr>
      <w:rFonts w:ascii="楷体" w:hAnsi="楷体" w:eastAsia="楷体"/>
      <w:b/>
      <w:color w:val="000000"/>
      <w:kern w:val="2"/>
      <w:sz w:val="24"/>
      <w:szCs w:val="28"/>
    </w:rPr>
  </w:style>
  <w:style w:type="paragraph" w:styleId="40">
    <w:name w:val="No Spacing"/>
    <w:autoRedefine/>
    <w:qFormat/>
    <w:uiPriority w:val="1"/>
    <w:pPr>
      <w:widowControl w:val="0"/>
      <w:jc w:val="both"/>
    </w:pPr>
    <w:rPr>
      <w:rFonts w:ascii="Calibri" w:hAnsi="Calibri" w:eastAsia="宋体" w:cs="Times New Roman"/>
      <w:kern w:val="2"/>
      <w:sz w:val="21"/>
      <w:szCs w:val="22"/>
      <w:lang w:val="en-US" w:eastAsia="zh-CN" w:bidi="ar-SA"/>
    </w:rPr>
  </w:style>
  <w:style w:type="table" w:customStyle="1" w:styleId="41">
    <w:name w:val="清单表 4 - 着色 21"/>
    <w:basedOn w:val="15"/>
    <w:autoRedefine/>
    <w:qFormat/>
    <w:uiPriority w:val="49"/>
    <w:tblP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tblBorders>
    </w:tblPr>
    <w:tblStylePr w:type="firstRow">
      <w:rPr>
        <w:b/>
        <w:bCs/>
        <w:color w:val="FFFFFF" w:themeColor="background1"/>
        <w14:textFill>
          <w14:solidFill>
            <w14:schemeClr w14:val="bg1"/>
          </w14:solidFill>
        </w14:textFill>
      </w: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tcBorders>
        <w:shd w:val="clear" w:color="auto" w:fill="C0504D" w:themeFill="accent2"/>
      </w:tcPr>
    </w:tblStylePr>
    <w:tblStylePr w:type="lastRow">
      <w:rPr>
        <w:b/>
        <w:bCs/>
      </w:rPr>
      <w:tcPr>
        <w:tcBorders>
          <w:top w:val="double" w:color="D99594" w:themeColor="accent2" w:themeTint="99"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paragraph" w:customStyle="1" w:styleId="42">
    <w:name w:val="TOC 标题1"/>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character" w:customStyle="1" w:styleId="43">
    <w:name w:val="文档结构图 字符"/>
    <w:basedOn w:val="17"/>
    <w:link w:val="5"/>
    <w:autoRedefine/>
    <w:semiHidden/>
    <w:qFormat/>
    <w:uiPriority w:val="99"/>
    <w:rPr>
      <w:rFonts w:ascii="宋体"/>
      <w:kern w:val="2"/>
      <w:sz w:val="18"/>
      <w:szCs w:val="18"/>
    </w:rPr>
  </w:style>
  <w:style w:type="character" w:customStyle="1" w:styleId="44">
    <w:name w:val="尾注文本 字符"/>
    <w:basedOn w:val="17"/>
    <w:link w:val="7"/>
    <w:autoRedefine/>
    <w:semiHidden/>
    <w:qFormat/>
    <w:uiPriority w:val="99"/>
    <w:rPr>
      <w:kern w:val="2"/>
      <w:sz w:val="21"/>
      <w:szCs w:val="22"/>
    </w:rPr>
  </w:style>
  <w:style w:type="paragraph" w:customStyle="1" w:styleId="45">
    <w:name w:val="ql-align-justify"/>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46">
    <w:name w:val="TOC 标题11"/>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table" w:customStyle="1" w:styleId="47">
    <w:name w:val="网格型1"/>
    <w:basedOn w:val="15"/>
    <w:autoRedefine/>
    <w:qFormat/>
    <w:uiPriority w:val="3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8">
    <w:name w:val="标题 2 字符"/>
    <w:basedOn w:val="17"/>
    <w:link w:val="3"/>
    <w:autoRedefine/>
    <w:semiHidden/>
    <w:qFormat/>
    <w:uiPriority w:val="9"/>
    <w:rPr>
      <w:rFonts w:asciiTheme="majorHAnsi" w:hAnsiTheme="majorHAnsi" w:eastAsiaTheme="majorEastAsia" w:cstheme="majorBidi"/>
      <w:b/>
      <w:bCs/>
      <w:kern w:val="2"/>
      <w:sz w:val="32"/>
      <w:szCs w:val="32"/>
    </w:rPr>
  </w:style>
  <w:style w:type="character" w:customStyle="1" w:styleId="49">
    <w:name w:val="e360n2"/>
    <w:basedOn w:val="17"/>
    <w:autoRedefine/>
    <w:qFormat/>
    <w:uiPriority w:val="0"/>
  </w:style>
  <w:style w:type="character" w:customStyle="1" w:styleId="50">
    <w:name w:val="xgetg4"/>
    <w:basedOn w:val="17"/>
    <w:autoRedefine/>
    <w:qFormat/>
    <w:uiPriority w:val="0"/>
  </w:style>
  <w:style w:type="character" w:customStyle="1" w:styleId="51">
    <w:name w:val="ee66d1qok0"/>
    <w:basedOn w:val="17"/>
    <w:autoRedefine/>
    <w:qFormat/>
    <w:uiPriority w:val="0"/>
  </w:style>
  <w:style w:type="character" w:customStyle="1" w:styleId="52">
    <w:name w:val="font51"/>
    <w:basedOn w:val="17"/>
    <w:autoRedefine/>
    <w:qFormat/>
    <w:uiPriority w:val="0"/>
    <w:rPr>
      <w:rFonts w:hint="eastAsia" w:ascii="宋体" w:hAnsi="宋体" w:eastAsia="宋体" w:cs="宋体"/>
      <w:color w:val="auto"/>
      <w:sz w:val="20"/>
      <w:szCs w:val="20"/>
      <w:u w:val="none"/>
    </w:rPr>
  </w:style>
  <w:style w:type="character" w:customStyle="1" w:styleId="53">
    <w:name w:val="font01"/>
    <w:basedOn w:val="17"/>
    <w:autoRedefine/>
    <w:qFormat/>
    <w:uiPriority w:val="0"/>
    <w:rPr>
      <w:rFonts w:ascii="Arial" w:hAnsi="Arial" w:cs="Arial"/>
      <w:color w:val="auto"/>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D:\&#26700;&#38754;\&#31206;&#33729;-2063(qinjing)\2017-12-22\&#20445;&#38505;&#19994;&#20449;&#29992;&#39118;&#38505;&#23637;&#26395;-&#19978;&#20250;1222.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C3C3FB-FFC9-49CF-96B8-700A763CEF0F}">
  <ds:schemaRefs/>
</ds:datastoreItem>
</file>

<file path=docProps/app.xml><?xml version="1.0" encoding="utf-8"?>
<Properties xmlns="http://schemas.openxmlformats.org/officeDocument/2006/extended-properties" xmlns:vt="http://schemas.openxmlformats.org/officeDocument/2006/docPropsVTypes">
  <Template>保险业信用风险展望-上会1222</Template>
  <Company>Microsoft</Company>
  <Pages>8</Pages>
  <Words>1316</Words>
  <Characters>7505</Characters>
  <Lines>62</Lines>
  <Paragraphs>17</Paragraphs>
  <TotalTime>132</TotalTime>
  <ScaleCrop>false</ScaleCrop>
  <LinksUpToDate>false</LinksUpToDate>
  <CharactersWithSpaces>8804</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2023-11-14T03:01:00Z</dcterms:created>
  <dc:creator>曾汉超</dc:creator>
  <cp:lastModifiedBy>王向</cp:lastModifiedBy>
  <cp:lastPrinted>2023-11-14T03:07:00Z</cp:lastPrinted>
  <dcterms:modified xsi:type="dcterms:W3CDTF">2024-03-21T14:21:32Z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FF80216B10494682A5026DC1F8CD77D6_12</vt:lpwstr>
  </property>
</Properties>
</file>