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7"/>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F42B4F" w14:paraId="0C1F5CC1" w14:textId="77777777">
        <w:tc>
          <w:tcPr>
            <w:tcW w:w="5000" w:type="pct"/>
            <w:gridSpan w:val="2"/>
          </w:tcPr>
          <w:p w14:paraId="6A564EF1" w14:textId="2C9B42EA" w:rsidR="00F42B4F" w:rsidRPr="00CD48A4" w:rsidRDefault="00D20B0E" w:rsidP="00BF4EFA">
            <w:pPr>
              <w:spacing w:beforeLines="50" w:before="156" w:line="520" w:lineRule="exact"/>
              <w:ind w:leftChars="-50" w:left="-105" w:rightChars="-50" w:right="-105"/>
              <w:jc w:val="left"/>
              <w:rPr>
                <w:rFonts w:ascii="黑体" w:eastAsia="黑体" w:hAnsi="黑体"/>
                <w:b/>
                <w:bCs/>
                <w:color w:val="C00000"/>
                <w:sz w:val="36"/>
                <w:szCs w:val="36"/>
              </w:rPr>
            </w:pPr>
            <w:bookmarkStart w:id="0" w:name="_GoBack"/>
            <w:bookmarkEnd w:id="0"/>
            <w:r w:rsidRPr="00CD48A4">
              <w:rPr>
                <w:rFonts w:ascii="黑体" w:eastAsia="黑体" w:hAnsi="黑体" w:hint="eastAsia"/>
                <w:b/>
                <w:color w:val="C00000"/>
                <w:sz w:val="36"/>
                <w:szCs w:val="36"/>
              </w:rPr>
              <w:t>从“存量包袱”到“有效供给”：保障性租赁住房存量资产盘活路径研究</w:t>
            </w:r>
          </w:p>
        </w:tc>
      </w:tr>
      <w:tr w:rsidR="00F42B4F" w14:paraId="24C8181F" w14:textId="77777777">
        <w:tc>
          <w:tcPr>
            <w:tcW w:w="3898" w:type="pct"/>
          </w:tcPr>
          <w:p w14:paraId="2A360C7D" w14:textId="77777777" w:rsidR="00F42B4F" w:rsidRDefault="00F46103">
            <w:pPr>
              <w:spacing w:beforeLines="20" w:before="62" w:afterLines="20" w:after="62" w:line="400" w:lineRule="exact"/>
              <w:ind w:leftChars="-50" w:left="-105" w:rightChars="-51" w:right="-107"/>
              <w:jc w:val="left"/>
              <w:rPr>
                <w:rFonts w:ascii="仿宋" w:eastAsia="仿宋" w:hAnsi="仿宋"/>
                <w:w w:val="98"/>
              </w:rPr>
            </w:pPr>
            <w:r>
              <w:rPr>
                <w:rFonts w:ascii="仿宋" w:eastAsia="仿宋" w:hAnsi="仿宋" w:hint="eastAsia"/>
                <w:w w:val="98"/>
              </w:rPr>
              <w:t>公用二部</w:t>
            </w:r>
            <w:r>
              <w:rPr>
                <w:rFonts w:ascii="仿宋" w:eastAsia="仿宋" w:hAnsi="仿宋"/>
                <w:w w:val="98"/>
              </w:rPr>
              <w:t>|</w:t>
            </w:r>
            <w:r>
              <w:rPr>
                <w:rFonts w:ascii="仿宋" w:eastAsia="仿宋" w:hAnsi="仿宋" w:hint="eastAsia"/>
                <w:w w:val="98"/>
              </w:rPr>
              <w:t>付国晶|</w:t>
            </w:r>
            <w:r>
              <w:rPr>
                <w:rFonts w:ascii="仿宋" w:eastAsia="仿宋" w:hAnsi="仿宋"/>
                <w:w w:val="98"/>
              </w:rPr>
              <w:t>010-67413300</w:t>
            </w:r>
          </w:p>
        </w:tc>
        <w:tc>
          <w:tcPr>
            <w:tcW w:w="1102" w:type="pct"/>
          </w:tcPr>
          <w:p w14:paraId="7689EFF9" w14:textId="77777777" w:rsidR="00F42B4F" w:rsidRDefault="00F46103">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p>
        </w:tc>
      </w:tr>
    </w:tbl>
    <w:p w14:paraId="0B0A7E47" w14:textId="5A02A726" w:rsidR="00F42B4F" w:rsidRDefault="00091F39" w:rsidP="00091F39">
      <w:pPr>
        <w:adjustRightInd w:val="0"/>
        <w:spacing w:beforeLines="50" w:before="156" w:afterLines="50" w:after="156" w:line="400" w:lineRule="exact"/>
        <w:outlineLvl w:val="0"/>
        <w:rPr>
          <w:rFonts w:ascii="仿宋" w:eastAsia="仿宋" w:hAnsi="仿宋"/>
          <w:sz w:val="24"/>
          <w:szCs w:val="24"/>
        </w:rPr>
      </w:pPr>
      <w:r>
        <w:rPr>
          <w:rFonts w:ascii="黑体" w:eastAsia="黑体" w:hAnsi="黑体" w:cs="Times New Roman"/>
          <w:b/>
          <w:color w:val="C00000"/>
          <w:sz w:val="28"/>
          <w:szCs w:val="28"/>
        </w:rPr>
        <w:t>引言</w:t>
      </w:r>
    </w:p>
    <w:p w14:paraId="5B62D170" w14:textId="1E0781D4" w:rsidR="00D20B0E" w:rsidRDefault="00D20B0E" w:rsidP="00620CE9">
      <w:pPr>
        <w:spacing w:line="400" w:lineRule="exact"/>
        <w:ind w:firstLineChars="200" w:firstLine="480"/>
        <w:rPr>
          <w:rFonts w:ascii="仿宋" w:eastAsia="仿宋" w:hAnsi="仿宋"/>
          <w:sz w:val="24"/>
          <w:szCs w:val="24"/>
        </w:rPr>
      </w:pPr>
      <w:r w:rsidRPr="00D20B0E">
        <w:rPr>
          <w:rFonts w:ascii="仿宋" w:eastAsia="仿宋" w:hAnsi="仿宋" w:hint="eastAsia"/>
          <w:sz w:val="24"/>
          <w:szCs w:val="24"/>
        </w:rPr>
        <w:t>2026年《政府工作报告》明确提出“</w:t>
      </w:r>
      <w:r w:rsidR="004276BD" w:rsidRPr="004276BD">
        <w:rPr>
          <w:rFonts w:ascii="仿宋" w:eastAsia="仿宋" w:hAnsi="仿宋" w:hint="eastAsia"/>
          <w:sz w:val="24"/>
          <w:szCs w:val="24"/>
        </w:rPr>
        <w:t>探索多渠道盘活存量商品房，鼓励收购存量商品房重点用于保障性住房等</w:t>
      </w:r>
      <w:r w:rsidRPr="00D20B0E">
        <w:rPr>
          <w:rFonts w:ascii="仿宋" w:eastAsia="仿宋" w:hAnsi="仿宋" w:hint="eastAsia"/>
          <w:sz w:val="24"/>
          <w:szCs w:val="24"/>
        </w:rPr>
        <w:t>”，存量商品房收储成为稳定房地产市场的重要政策抓手。</w:t>
      </w:r>
      <w:r w:rsidR="00620CE9" w:rsidRPr="004276BD">
        <w:rPr>
          <w:rFonts w:ascii="仿宋" w:eastAsia="仿宋" w:hAnsi="仿宋" w:hint="eastAsia"/>
          <w:sz w:val="24"/>
          <w:szCs w:val="24"/>
        </w:rPr>
        <w:t>自2024年5月17日中央提出收购存量商品房用作保障房以来，</w:t>
      </w:r>
      <w:r w:rsidR="00620CE9">
        <w:rPr>
          <w:rFonts w:ascii="仿宋" w:eastAsia="仿宋" w:hAnsi="仿宋" w:hint="eastAsia"/>
          <w:sz w:val="24"/>
          <w:szCs w:val="24"/>
        </w:rPr>
        <w:t>收购商品房投入</w:t>
      </w:r>
      <w:r w:rsidR="00620CE9" w:rsidRPr="004276BD">
        <w:rPr>
          <w:rFonts w:ascii="仿宋" w:eastAsia="仿宋" w:hAnsi="仿宋" w:hint="eastAsia"/>
          <w:sz w:val="24"/>
          <w:szCs w:val="24"/>
        </w:rPr>
        <w:t>保障房</w:t>
      </w:r>
      <w:r w:rsidR="00620CE9">
        <w:rPr>
          <w:rFonts w:ascii="仿宋" w:eastAsia="仿宋" w:hAnsi="仿宋" w:hint="eastAsia"/>
          <w:sz w:val="24"/>
          <w:szCs w:val="24"/>
        </w:rPr>
        <w:t>运营的项目持续推进。</w:t>
      </w:r>
      <w:r w:rsidRPr="00D20B0E">
        <w:rPr>
          <w:rFonts w:ascii="仿宋" w:eastAsia="仿宋" w:hAnsi="仿宋" w:hint="eastAsia"/>
          <w:sz w:val="24"/>
          <w:szCs w:val="24"/>
        </w:rPr>
        <w:t>与此同时，</w:t>
      </w:r>
      <w:r w:rsidR="004276BD">
        <w:rPr>
          <w:rFonts w:ascii="仿宋" w:eastAsia="仿宋" w:hAnsi="仿宋" w:hint="eastAsia"/>
          <w:sz w:val="24"/>
          <w:szCs w:val="24"/>
        </w:rPr>
        <w:t>各地</w:t>
      </w:r>
      <w:r w:rsidR="00620CE9">
        <w:rPr>
          <w:rFonts w:ascii="仿宋" w:eastAsia="仿宋" w:hAnsi="仿宋" w:hint="eastAsia"/>
          <w:sz w:val="24"/>
          <w:szCs w:val="24"/>
        </w:rPr>
        <w:t>纷纷出台相关支持性政策</w:t>
      </w:r>
      <w:r w:rsidR="004F4782">
        <w:rPr>
          <w:rFonts w:ascii="仿宋" w:eastAsia="仿宋" w:hAnsi="仿宋"/>
          <w:sz w:val="24"/>
          <w:szCs w:val="24"/>
        </w:rPr>
        <w:t>，</w:t>
      </w:r>
      <w:r w:rsidR="0066721E">
        <w:rPr>
          <w:rFonts w:ascii="仿宋" w:eastAsia="仿宋" w:hAnsi="仿宋"/>
          <w:sz w:val="24"/>
          <w:szCs w:val="24"/>
        </w:rPr>
        <w:t>保障性租赁住房</w:t>
      </w:r>
      <w:r w:rsidR="00F45CE7">
        <w:rPr>
          <w:rFonts w:ascii="仿宋" w:eastAsia="仿宋" w:hAnsi="仿宋" w:hint="eastAsia"/>
          <w:sz w:val="24"/>
          <w:szCs w:val="24"/>
        </w:rPr>
        <w:t>存量资产盘活正在从地方试点</w:t>
      </w:r>
      <w:r w:rsidR="00620CE9" w:rsidRPr="00620CE9">
        <w:rPr>
          <w:rFonts w:ascii="仿宋" w:eastAsia="仿宋" w:hAnsi="仿宋" w:hint="eastAsia"/>
          <w:sz w:val="24"/>
          <w:szCs w:val="24"/>
        </w:rPr>
        <w:t>向制度化、规模化推进</w:t>
      </w:r>
      <w:r w:rsidRPr="00D20B0E">
        <w:rPr>
          <w:rFonts w:ascii="仿宋" w:eastAsia="仿宋" w:hAnsi="仿宋" w:hint="eastAsia"/>
          <w:sz w:val="24"/>
          <w:szCs w:val="24"/>
        </w:rPr>
        <w:t>，为存量资产盘活确立了精准导向。</w:t>
      </w:r>
      <w:r w:rsidR="00620CE9" w:rsidRPr="00D20B0E">
        <w:rPr>
          <w:rFonts w:ascii="仿宋" w:eastAsia="仿宋" w:hAnsi="仿宋" w:hint="eastAsia"/>
          <w:sz w:val="24"/>
          <w:szCs w:val="24"/>
        </w:rPr>
        <w:t>保障性租赁住房存量资产的科学盘活，是化解房地产市场库存压力与保障新市民住房需求</w:t>
      </w:r>
      <w:r w:rsidR="00F45CE7">
        <w:rPr>
          <w:rFonts w:ascii="仿宋" w:eastAsia="仿宋" w:hAnsi="仿宋" w:hint="eastAsia"/>
          <w:sz w:val="24"/>
          <w:szCs w:val="24"/>
        </w:rPr>
        <w:t>之间结构性矛盾的关键点</w:t>
      </w:r>
      <w:r w:rsidR="00620CE9">
        <w:rPr>
          <w:rFonts w:ascii="仿宋" w:eastAsia="仿宋" w:hAnsi="仿宋" w:hint="eastAsia"/>
          <w:sz w:val="24"/>
          <w:szCs w:val="24"/>
        </w:rPr>
        <w:t>，</w:t>
      </w:r>
      <w:r w:rsidRPr="00D20B0E">
        <w:rPr>
          <w:rFonts w:ascii="仿宋" w:eastAsia="仿宋" w:hAnsi="仿宋" w:hint="eastAsia"/>
          <w:sz w:val="24"/>
          <w:szCs w:val="24"/>
        </w:rPr>
        <w:t>本文聚</w:t>
      </w:r>
      <w:r w:rsidR="00F45CE7">
        <w:rPr>
          <w:rFonts w:ascii="仿宋" w:eastAsia="仿宋" w:hAnsi="仿宋" w:hint="eastAsia"/>
          <w:sz w:val="24"/>
          <w:szCs w:val="24"/>
        </w:rPr>
        <w:t>焦于保障性租赁住房存量资产盘活的路径与机制，系统梳理存量保租房</w:t>
      </w:r>
      <w:r w:rsidRPr="00D20B0E">
        <w:rPr>
          <w:rFonts w:ascii="仿宋" w:eastAsia="仿宋" w:hAnsi="仿宋" w:hint="eastAsia"/>
          <w:sz w:val="24"/>
          <w:szCs w:val="24"/>
        </w:rPr>
        <w:t>盘活的主要模式、金融工具和典型案例，以期为实践推进提供参考。</w:t>
      </w:r>
    </w:p>
    <w:p w14:paraId="2C9B2091" w14:textId="0FF96C2E" w:rsidR="00F42B4F" w:rsidRDefault="00F46103">
      <w:pPr>
        <w:adjustRightInd w:val="0"/>
        <w:spacing w:beforeLines="50" w:before="156" w:afterLines="50" w:after="156" w:line="400" w:lineRule="exact"/>
        <w:outlineLvl w:val="0"/>
        <w:rPr>
          <w:rFonts w:ascii="黑体" w:eastAsia="黑体" w:hAnsi="黑体" w:cs="Times New Roman"/>
          <w:b/>
          <w:color w:val="C00000"/>
          <w:sz w:val="28"/>
          <w:szCs w:val="28"/>
        </w:rPr>
      </w:pPr>
      <w:r>
        <w:rPr>
          <w:rFonts w:ascii="黑体" w:eastAsia="黑体" w:hAnsi="黑体" w:cs="Times New Roman"/>
          <w:b/>
          <w:color w:val="C00000"/>
          <w:sz w:val="28"/>
          <w:szCs w:val="28"/>
        </w:rPr>
        <w:t>一</w:t>
      </w:r>
      <w:r>
        <w:rPr>
          <w:rFonts w:ascii="黑体" w:eastAsia="黑体" w:hAnsi="黑体" w:cs="Times New Roman" w:hint="eastAsia"/>
          <w:b/>
          <w:color w:val="C00000"/>
          <w:sz w:val="28"/>
          <w:szCs w:val="28"/>
        </w:rPr>
        <w:t>、</w:t>
      </w:r>
      <w:r w:rsidR="00AE7481" w:rsidRPr="00AE7481">
        <w:rPr>
          <w:rFonts w:ascii="黑体" w:eastAsia="黑体" w:hAnsi="黑体" w:cs="Times New Roman" w:hint="eastAsia"/>
          <w:b/>
          <w:color w:val="C00000"/>
          <w:sz w:val="28"/>
          <w:szCs w:val="28"/>
        </w:rPr>
        <w:t>保障性租赁住房存量资产</w:t>
      </w:r>
      <w:r w:rsidR="00091F39" w:rsidRPr="00091F39">
        <w:rPr>
          <w:rFonts w:ascii="黑体" w:eastAsia="黑体" w:hAnsi="黑体" w:cs="Times New Roman" w:hint="eastAsia"/>
          <w:b/>
          <w:color w:val="C00000"/>
          <w:sz w:val="28"/>
          <w:szCs w:val="28"/>
        </w:rPr>
        <w:t>盘活的多元模式</w:t>
      </w:r>
    </w:p>
    <w:p w14:paraId="7E97DDCA" w14:textId="210C51D2" w:rsidR="00A0293F" w:rsidRPr="00606B05" w:rsidRDefault="00606B05" w:rsidP="00741A93">
      <w:pPr>
        <w:widowControl/>
        <w:spacing w:line="400" w:lineRule="exact"/>
        <w:ind w:firstLineChars="200" w:firstLine="480"/>
        <w:rPr>
          <w:rFonts w:ascii="仿宋" w:eastAsia="仿宋" w:hAnsi="仿宋"/>
          <w:sz w:val="24"/>
          <w:szCs w:val="24"/>
        </w:rPr>
      </w:pPr>
      <w:r w:rsidRPr="00606B05">
        <w:rPr>
          <w:rFonts w:ascii="仿宋" w:eastAsia="仿宋" w:hAnsi="仿宋" w:hint="eastAsia"/>
          <w:sz w:val="24"/>
          <w:szCs w:val="24"/>
        </w:rPr>
        <w:t>2022年5月，《国务院办公厅关于进一步盘活存量资产扩大有效投资的意见》（国办发</w:t>
      </w:r>
      <w:r w:rsidR="00CC061D">
        <w:rPr>
          <w:rFonts w:ascii="仿宋" w:eastAsia="仿宋" w:hAnsi="仿宋" w:hint="eastAsia"/>
          <w:sz w:val="24"/>
          <w:szCs w:val="24"/>
        </w:rPr>
        <w:t>【</w:t>
      </w:r>
      <w:r w:rsidRPr="00606B05">
        <w:rPr>
          <w:rFonts w:ascii="仿宋" w:eastAsia="仿宋" w:hAnsi="仿宋" w:hint="eastAsia"/>
          <w:sz w:val="24"/>
          <w:szCs w:val="24"/>
        </w:rPr>
        <w:t>2022</w:t>
      </w:r>
      <w:r w:rsidR="00CC061D">
        <w:rPr>
          <w:rFonts w:ascii="仿宋" w:eastAsia="仿宋" w:hAnsi="仿宋" w:hint="eastAsia"/>
          <w:sz w:val="24"/>
          <w:szCs w:val="24"/>
        </w:rPr>
        <w:t>】</w:t>
      </w:r>
      <w:r w:rsidRPr="00606B05">
        <w:rPr>
          <w:rFonts w:ascii="仿宋" w:eastAsia="仿宋" w:hAnsi="仿宋" w:hint="eastAsia"/>
          <w:sz w:val="24"/>
          <w:szCs w:val="24"/>
        </w:rPr>
        <w:t>19号）将保障性租赁住房列为重点盘活的资产类型之一，标志着保租房存量盘活正式纳入国家政策框架。此后，REITs常态化发行、专项</w:t>
      </w:r>
      <w:proofErr w:type="gramStart"/>
      <w:r w:rsidRPr="00606B05">
        <w:rPr>
          <w:rFonts w:ascii="仿宋" w:eastAsia="仿宋" w:hAnsi="仿宋" w:hint="eastAsia"/>
          <w:sz w:val="24"/>
          <w:szCs w:val="24"/>
        </w:rPr>
        <w:t>债支持</w:t>
      </w:r>
      <w:proofErr w:type="gramEnd"/>
      <w:r w:rsidRPr="00606B05">
        <w:rPr>
          <w:rFonts w:ascii="仿宋" w:eastAsia="仿宋" w:hAnsi="仿宋" w:hint="eastAsia"/>
          <w:sz w:val="24"/>
          <w:szCs w:val="24"/>
        </w:rPr>
        <w:t>收购存量商品房、保障性住房再贷款等政策工具相继落地，为保租房存量盘活提供了日益丰富的制度供给。</w:t>
      </w:r>
      <w:r w:rsidR="00FE3C33">
        <w:rPr>
          <w:rFonts w:ascii="仿宋" w:eastAsia="仿宋" w:hAnsi="仿宋" w:hint="eastAsia"/>
          <w:sz w:val="24"/>
          <w:szCs w:val="24"/>
        </w:rPr>
        <w:t>2</w:t>
      </w:r>
      <w:r w:rsidR="00FE3C33">
        <w:rPr>
          <w:rFonts w:ascii="仿宋" w:eastAsia="仿宋" w:hAnsi="仿宋"/>
          <w:sz w:val="24"/>
          <w:szCs w:val="24"/>
        </w:rPr>
        <w:t>024年，资金支持政策密集出台，</w:t>
      </w:r>
      <w:r w:rsidR="00FE3C33" w:rsidRPr="00FE3C33">
        <w:rPr>
          <w:rFonts w:ascii="仿宋" w:eastAsia="仿宋" w:hAnsi="仿宋" w:hint="eastAsia"/>
          <w:sz w:val="24"/>
          <w:szCs w:val="24"/>
        </w:rPr>
        <w:t>允许专项债券支持</w:t>
      </w:r>
      <w:r w:rsidR="0066721E">
        <w:rPr>
          <w:rFonts w:ascii="仿宋" w:eastAsia="仿宋" w:hAnsi="仿宋"/>
          <w:sz w:val="24"/>
          <w:szCs w:val="24"/>
        </w:rPr>
        <w:t>地方</w:t>
      </w:r>
      <w:r w:rsidR="00FE3C33" w:rsidRPr="00FE3C33">
        <w:rPr>
          <w:rFonts w:ascii="仿宋" w:eastAsia="仿宋" w:hAnsi="仿宋" w:hint="eastAsia"/>
          <w:sz w:val="24"/>
          <w:szCs w:val="24"/>
        </w:rPr>
        <w:t>收购存量商品房用作保障性住房</w:t>
      </w:r>
      <w:r w:rsidR="00FE3C33">
        <w:rPr>
          <w:rFonts w:ascii="仿宋" w:eastAsia="仿宋" w:hAnsi="仿宋" w:hint="eastAsia"/>
          <w:sz w:val="24"/>
          <w:szCs w:val="24"/>
        </w:rPr>
        <w:t>。</w:t>
      </w:r>
      <w:r w:rsidRPr="00606B05">
        <w:rPr>
          <w:rFonts w:ascii="仿宋" w:eastAsia="仿宋" w:hAnsi="仿宋" w:hint="eastAsia"/>
          <w:sz w:val="24"/>
          <w:szCs w:val="24"/>
        </w:rPr>
        <w:t>2025年以来，各地实践呈现加速态势：辽宁省提出2025—2027年通过收购存量商品房方式新增12万套配</w:t>
      </w:r>
      <w:proofErr w:type="gramStart"/>
      <w:r w:rsidRPr="00606B05">
        <w:rPr>
          <w:rFonts w:ascii="仿宋" w:eastAsia="仿宋" w:hAnsi="仿宋" w:hint="eastAsia"/>
          <w:sz w:val="24"/>
          <w:szCs w:val="24"/>
        </w:rPr>
        <w:t>租型保障</w:t>
      </w:r>
      <w:proofErr w:type="gramEnd"/>
      <w:r w:rsidRPr="00606B05">
        <w:rPr>
          <w:rFonts w:ascii="仿宋" w:eastAsia="仿宋" w:hAnsi="仿宋" w:hint="eastAsia"/>
          <w:sz w:val="24"/>
          <w:szCs w:val="24"/>
        </w:rPr>
        <w:t>性住房的目标；上海市在静安区率先完成全国首例“住房收购置换”模式签约；安徽省探索“大资产”统筹管理模式</w:t>
      </w:r>
      <w:r w:rsidR="004F4782">
        <w:rPr>
          <w:rFonts w:ascii="仿宋" w:eastAsia="仿宋" w:hAnsi="仿宋" w:hint="eastAsia"/>
          <w:sz w:val="24"/>
          <w:szCs w:val="24"/>
        </w:rPr>
        <w:t>；</w:t>
      </w:r>
      <w:r w:rsidR="004F4782" w:rsidRPr="004F4782">
        <w:rPr>
          <w:rFonts w:ascii="仿宋" w:eastAsia="仿宋" w:hAnsi="仿宋" w:hint="eastAsia"/>
          <w:sz w:val="24"/>
          <w:szCs w:val="24"/>
        </w:rPr>
        <w:t>北京“</w:t>
      </w:r>
      <w:proofErr w:type="gramStart"/>
      <w:r w:rsidR="004F4782" w:rsidRPr="004F4782">
        <w:rPr>
          <w:rFonts w:ascii="仿宋" w:eastAsia="仿宋" w:hAnsi="仿宋" w:hint="eastAsia"/>
          <w:sz w:val="24"/>
          <w:szCs w:val="24"/>
        </w:rPr>
        <w:t>十五五</w:t>
      </w:r>
      <w:proofErr w:type="gramEnd"/>
      <w:r w:rsidR="004F4782" w:rsidRPr="004F4782">
        <w:rPr>
          <w:rFonts w:ascii="仿宋" w:eastAsia="仿宋" w:hAnsi="仿宋" w:hint="eastAsia"/>
          <w:sz w:val="24"/>
          <w:szCs w:val="24"/>
        </w:rPr>
        <w:t>规划”明确提出优化保障性住房供给结构，增加“一张床”“一间房”供应</w:t>
      </w:r>
      <w:r w:rsidR="004F4782">
        <w:rPr>
          <w:rFonts w:ascii="仿宋" w:eastAsia="仿宋" w:hAnsi="仿宋" w:hint="eastAsia"/>
          <w:sz w:val="24"/>
          <w:szCs w:val="24"/>
        </w:rPr>
        <w:t>等</w:t>
      </w:r>
      <w:r w:rsidR="00FE3C33">
        <w:rPr>
          <w:rFonts w:ascii="仿宋" w:eastAsia="仿宋" w:hAnsi="仿宋" w:hint="eastAsia"/>
          <w:sz w:val="24"/>
          <w:szCs w:val="24"/>
        </w:rPr>
        <w:t>，多地出台政策加力推进</w:t>
      </w:r>
      <w:r w:rsidR="00E9756B">
        <w:rPr>
          <w:rFonts w:ascii="仿宋" w:eastAsia="仿宋" w:hAnsi="仿宋" w:hint="eastAsia"/>
          <w:sz w:val="24"/>
          <w:szCs w:val="24"/>
        </w:rPr>
        <w:t>收购存量商品房</w:t>
      </w:r>
      <w:r w:rsidRPr="00606B05">
        <w:rPr>
          <w:rFonts w:ascii="仿宋" w:eastAsia="仿宋" w:hAnsi="仿宋" w:hint="eastAsia"/>
          <w:sz w:val="24"/>
          <w:szCs w:val="24"/>
        </w:rPr>
        <w:t>。</w:t>
      </w:r>
      <w:r w:rsidR="00A0293F" w:rsidRPr="00091F39">
        <w:rPr>
          <w:rFonts w:ascii="仿宋" w:eastAsia="仿宋" w:hAnsi="仿宋" w:hint="eastAsia"/>
          <w:sz w:val="24"/>
          <w:szCs w:val="24"/>
        </w:rPr>
        <w:t>保障性租赁住房存量资产盘活的核心逻辑，是将散落于市场的各类存量房源</w:t>
      </w:r>
      <w:r w:rsidR="0096346A">
        <w:rPr>
          <w:rFonts w:ascii="仿宋" w:eastAsia="仿宋" w:hAnsi="仿宋" w:hint="eastAsia"/>
          <w:sz w:val="24"/>
          <w:szCs w:val="24"/>
        </w:rPr>
        <w:t>，</w:t>
      </w:r>
      <w:r w:rsidR="00A0293F" w:rsidRPr="00091F39">
        <w:rPr>
          <w:rFonts w:ascii="仿宋" w:eastAsia="仿宋" w:hAnsi="仿宋" w:hint="eastAsia"/>
          <w:sz w:val="24"/>
          <w:szCs w:val="24"/>
        </w:rPr>
        <w:t>包括未售新</w:t>
      </w:r>
      <w:r w:rsidR="0096346A">
        <w:rPr>
          <w:rFonts w:ascii="仿宋" w:eastAsia="仿宋" w:hAnsi="仿宋" w:hint="eastAsia"/>
          <w:sz w:val="24"/>
          <w:szCs w:val="24"/>
        </w:rPr>
        <w:t>建商品房、居民闲置二手房、低效商办楼宇、厂房仓储等非居住房屋</w:t>
      </w:r>
      <w:r w:rsidR="00A0293F" w:rsidRPr="00091F39">
        <w:rPr>
          <w:rFonts w:ascii="仿宋" w:eastAsia="仿宋" w:hAnsi="仿宋" w:hint="eastAsia"/>
          <w:sz w:val="24"/>
          <w:szCs w:val="24"/>
        </w:rPr>
        <w:t>通过收购、改建、置换等方式纳入保租房体系，实现存量资源的二次配置和增值利用。从各地的实践探索来看，存量资产盘活已形成三大主要路径。</w:t>
      </w:r>
    </w:p>
    <w:p w14:paraId="78E6061B" w14:textId="77777777" w:rsidR="002C677B" w:rsidRPr="00FD2F32" w:rsidRDefault="002C677B" w:rsidP="00831C2B">
      <w:pPr>
        <w:widowControl/>
        <w:spacing w:line="400" w:lineRule="exact"/>
        <w:ind w:firstLineChars="200" w:firstLine="482"/>
        <w:jc w:val="left"/>
        <w:rPr>
          <w:rFonts w:ascii="仿宋" w:eastAsia="仿宋" w:hAnsi="仿宋"/>
          <w:b/>
          <w:sz w:val="24"/>
          <w:szCs w:val="24"/>
        </w:rPr>
      </w:pPr>
      <w:r w:rsidRPr="00FD2F32">
        <w:rPr>
          <w:rFonts w:ascii="仿宋" w:eastAsia="仿宋" w:hAnsi="仿宋" w:hint="eastAsia"/>
          <w:b/>
          <w:sz w:val="24"/>
          <w:szCs w:val="24"/>
        </w:rPr>
        <w:t>（一）收购转化模式：存量商品房</w:t>
      </w:r>
      <w:proofErr w:type="gramStart"/>
      <w:r w:rsidRPr="00FD2F32">
        <w:rPr>
          <w:rFonts w:ascii="仿宋" w:eastAsia="仿宋" w:hAnsi="仿宋" w:hint="eastAsia"/>
          <w:b/>
          <w:sz w:val="24"/>
          <w:szCs w:val="24"/>
        </w:rPr>
        <w:t>变保障房</w:t>
      </w:r>
      <w:proofErr w:type="gramEnd"/>
    </w:p>
    <w:p w14:paraId="2EBF317B" w14:textId="70ABBAC8" w:rsidR="002C677B" w:rsidRDefault="002C677B" w:rsidP="00741A93">
      <w:pPr>
        <w:widowControl/>
        <w:spacing w:line="400" w:lineRule="exact"/>
        <w:ind w:firstLineChars="200" w:firstLine="480"/>
        <w:rPr>
          <w:rFonts w:ascii="仿宋" w:eastAsia="仿宋" w:hAnsi="仿宋"/>
          <w:sz w:val="24"/>
          <w:szCs w:val="24"/>
        </w:rPr>
      </w:pPr>
      <w:r w:rsidRPr="002C677B">
        <w:rPr>
          <w:rFonts w:ascii="仿宋" w:eastAsia="仿宋" w:hAnsi="仿宋" w:hint="eastAsia"/>
          <w:sz w:val="24"/>
          <w:szCs w:val="24"/>
        </w:rPr>
        <w:t>收购转化模式是最直接、应用最广泛的存量盘活路径，其操作逻辑是由政府选定的国有企业或市场化主体收购存量商品房，经标准化改造后纳入保租房管理体系。</w:t>
      </w:r>
      <w:r w:rsidR="00E9756B">
        <w:rPr>
          <w:rFonts w:ascii="仿宋" w:eastAsia="仿宋" w:hAnsi="仿宋" w:hint="eastAsia"/>
          <w:sz w:val="24"/>
          <w:szCs w:val="24"/>
        </w:rPr>
        <w:t>通过收购转化模式，既可以实现</w:t>
      </w:r>
      <w:proofErr w:type="gramStart"/>
      <w:r w:rsidR="00E9756B">
        <w:rPr>
          <w:rFonts w:ascii="仿宋" w:eastAsia="仿宋" w:hAnsi="仿宋" w:hint="eastAsia"/>
          <w:sz w:val="24"/>
          <w:szCs w:val="24"/>
        </w:rPr>
        <w:t>盘活房企</w:t>
      </w:r>
      <w:proofErr w:type="gramEnd"/>
      <w:r w:rsidR="00E9756B">
        <w:rPr>
          <w:rFonts w:ascii="仿宋" w:eastAsia="仿宋" w:hAnsi="仿宋" w:hint="eastAsia"/>
          <w:sz w:val="24"/>
          <w:szCs w:val="24"/>
        </w:rPr>
        <w:t>尾盘、闲置房源的目的，又可以</w:t>
      </w:r>
      <w:proofErr w:type="gramStart"/>
      <w:r w:rsidR="00E9756B">
        <w:rPr>
          <w:rFonts w:ascii="仿宋" w:eastAsia="仿宋" w:hAnsi="仿宋" w:hint="eastAsia"/>
          <w:sz w:val="24"/>
          <w:szCs w:val="24"/>
        </w:rPr>
        <w:lastRenderedPageBreak/>
        <w:t>补齐保障房、人才房缺口</w:t>
      </w:r>
      <w:proofErr w:type="gramEnd"/>
      <w:r w:rsidR="00E9756B">
        <w:rPr>
          <w:rFonts w:ascii="仿宋" w:eastAsia="仿宋" w:hAnsi="仿宋" w:hint="eastAsia"/>
          <w:sz w:val="24"/>
          <w:szCs w:val="24"/>
        </w:rPr>
        <w:t>，保障民生；还可以稳定房地产市场预期。</w:t>
      </w:r>
      <w:r w:rsidRPr="002C677B">
        <w:rPr>
          <w:rFonts w:ascii="仿宋" w:eastAsia="仿宋" w:hAnsi="仿宋" w:hint="eastAsia"/>
          <w:sz w:val="24"/>
          <w:szCs w:val="24"/>
        </w:rPr>
        <w:t>从全国实践来看，已形成多种差异化做法</w:t>
      </w:r>
      <w:r w:rsidR="002F7080">
        <w:rPr>
          <w:rFonts w:ascii="仿宋" w:eastAsia="仿宋" w:hAnsi="仿宋" w:hint="eastAsia"/>
          <w:sz w:val="24"/>
          <w:szCs w:val="24"/>
        </w:rPr>
        <w:t>。另外，还有国有企业</w:t>
      </w:r>
      <w:r w:rsidR="007B6534">
        <w:rPr>
          <w:rFonts w:ascii="仿宋" w:eastAsia="仿宋" w:hAnsi="仿宋" w:hint="eastAsia"/>
          <w:sz w:val="24"/>
          <w:szCs w:val="24"/>
        </w:rPr>
        <w:t>在原民营房企经营出现困难后</w:t>
      </w:r>
      <w:r w:rsidR="007B6534" w:rsidRPr="007B6534">
        <w:rPr>
          <w:rFonts w:ascii="仿宋" w:eastAsia="仿宋" w:hAnsi="仿宋" w:hint="eastAsia"/>
          <w:sz w:val="24"/>
          <w:szCs w:val="24"/>
        </w:rPr>
        <w:t>接替民营房</w:t>
      </w:r>
      <w:proofErr w:type="gramStart"/>
      <w:r w:rsidR="007B6534" w:rsidRPr="007B6534">
        <w:rPr>
          <w:rFonts w:ascii="仿宋" w:eastAsia="仿宋" w:hAnsi="仿宋" w:hint="eastAsia"/>
          <w:sz w:val="24"/>
          <w:szCs w:val="24"/>
        </w:rPr>
        <w:t>企</w:t>
      </w:r>
      <w:r w:rsidR="002F7080">
        <w:rPr>
          <w:rFonts w:ascii="仿宋" w:eastAsia="仿宋" w:hAnsi="仿宋" w:hint="eastAsia"/>
          <w:sz w:val="24"/>
          <w:szCs w:val="24"/>
        </w:rPr>
        <w:t>继续</w:t>
      </w:r>
      <w:proofErr w:type="gramEnd"/>
      <w:r w:rsidR="002F7080">
        <w:rPr>
          <w:rFonts w:ascii="仿宋" w:eastAsia="仿宋" w:hAnsi="仿宋" w:hint="eastAsia"/>
          <w:sz w:val="24"/>
          <w:szCs w:val="24"/>
        </w:rPr>
        <w:t>推进项目建设，如廊坊市</w:t>
      </w:r>
      <w:r w:rsidR="007F35F3">
        <w:rPr>
          <w:rFonts w:ascii="仿宋" w:eastAsia="仿宋" w:hAnsi="仿宋" w:hint="eastAsia"/>
          <w:sz w:val="24"/>
          <w:szCs w:val="24"/>
        </w:rPr>
        <w:t>某</w:t>
      </w:r>
      <w:r w:rsidR="002F7080">
        <w:rPr>
          <w:rFonts w:ascii="仿宋" w:eastAsia="仿宋" w:hAnsi="仿宋" w:hint="eastAsia"/>
          <w:sz w:val="24"/>
          <w:szCs w:val="24"/>
        </w:rPr>
        <w:t>国企</w:t>
      </w:r>
      <w:r w:rsidR="007B6534" w:rsidRPr="007B6534">
        <w:rPr>
          <w:rFonts w:ascii="仿宋" w:eastAsia="仿宋" w:hAnsi="仿宋" w:hint="eastAsia"/>
          <w:sz w:val="24"/>
          <w:szCs w:val="24"/>
        </w:rPr>
        <w:t>以招标人和建设主体的身份参与项目开发</w:t>
      </w:r>
      <w:r w:rsidR="007B6534">
        <w:rPr>
          <w:rFonts w:ascii="仿宋" w:eastAsia="仿宋" w:hAnsi="仿宋" w:hint="eastAsia"/>
          <w:sz w:val="24"/>
          <w:szCs w:val="24"/>
        </w:rPr>
        <w:t>，通过政府专项</w:t>
      </w:r>
      <w:proofErr w:type="gramStart"/>
      <w:r w:rsidR="007B6534">
        <w:rPr>
          <w:rFonts w:ascii="仿宋" w:eastAsia="仿宋" w:hAnsi="仿宋" w:hint="eastAsia"/>
          <w:sz w:val="24"/>
          <w:szCs w:val="24"/>
        </w:rPr>
        <w:t>债资金</w:t>
      </w:r>
      <w:proofErr w:type="gramEnd"/>
      <w:r w:rsidR="007B6534">
        <w:rPr>
          <w:rFonts w:ascii="仿宋" w:eastAsia="仿宋" w:hAnsi="仿宋" w:hint="eastAsia"/>
          <w:sz w:val="24"/>
          <w:szCs w:val="24"/>
        </w:rPr>
        <w:t>解决资金问题，</w:t>
      </w:r>
      <w:r w:rsidR="007B6534" w:rsidRPr="007B6534">
        <w:rPr>
          <w:rFonts w:ascii="仿宋" w:eastAsia="仿宋" w:hAnsi="仿宋" w:hint="eastAsia"/>
          <w:sz w:val="24"/>
          <w:szCs w:val="24"/>
        </w:rPr>
        <w:t>项目竣工后移交给项目所在属地镇或街办处进行回迁安置房的分配工作</w:t>
      </w:r>
      <w:r w:rsidR="002F7080">
        <w:rPr>
          <w:rFonts w:ascii="仿宋" w:eastAsia="仿宋" w:hAnsi="仿宋" w:hint="eastAsia"/>
          <w:sz w:val="24"/>
          <w:szCs w:val="24"/>
        </w:rPr>
        <w:t>，促进房屋顺利交付，实现资产的迅速盘活</w:t>
      </w:r>
      <w:r w:rsidR="007B6534" w:rsidRPr="007B6534">
        <w:rPr>
          <w:rFonts w:ascii="仿宋" w:eastAsia="仿宋" w:hAnsi="仿宋" w:hint="eastAsia"/>
          <w:sz w:val="24"/>
          <w:szCs w:val="24"/>
        </w:rPr>
        <w:t>。</w:t>
      </w:r>
    </w:p>
    <w:p w14:paraId="4B1FF548" w14:textId="77777777" w:rsidR="002C677B" w:rsidRPr="00FD2F32" w:rsidRDefault="002C677B" w:rsidP="00831C2B">
      <w:pPr>
        <w:widowControl/>
        <w:spacing w:line="400" w:lineRule="exact"/>
        <w:ind w:firstLineChars="200" w:firstLine="482"/>
        <w:jc w:val="left"/>
        <w:rPr>
          <w:rFonts w:ascii="仿宋" w:eastAsia="仿宋" w:hAnsi="仿宋"/>
          <w:b/>
          <w:sz w:val="24"/>
          <w:szCs w:val="24"/>
        </w:rPr>
      </w:pPr>
      <w:r w:rsidRPr="00FD2F32">
        <w:rPr>
          <w:rFonts w:ascii="仿宋" w:eastAsia="仿宋" w:hAnsi="仿宋" w:hint="eastAsia"/>
          <w:b/>
          <w:sz w:val="24"/>
          <w:szCs w:val="24"/>
        </w:rPr>
        <w:t>（二）存量改建模式：</w:t>
      </w:r>
      <w:proofErr w:type="gramStart"/>
      <w:r w:rsidRPr="00FD2F32">
        <w:rPr>
          <w:rFonts w:ascii="仿宋" w:eastAsia="仿宋" w:hAnsi="仿宋" w:hint="eastAsia"/>
          <w:b/>
          <w:sz w:val="24"/>
          <w:szCs w:val="24"/>
        </w:rPr>
        <w:t>非居用房</w:t>
      </w:r>
      <w:proofErr w:type="gramEnd"/>
      <w:r w:rsidRPr="00FD2F32">
        <w:rPr>
          <w:rFonts w:ascii="仿宋" w:eastAsia="仿宋" w:hAnsi="仿宋" w:hint="eastAsia"/>
          <w:b/>
          <w:sz w:val="24"/>
          <w:szCs w:val="24"/>
        </w:rPr>
        <w:t>变身保租房</w:t>
      </w:r>
    </w:p>
    <w:p w14:paraId="2411B807" w14:textId="77777777" w:rsidR="002C677B" w:rsidRPr="002C677B" w:rsidRDefault="002C677B" w:rsidP="00741A93">
      <w:pPr>
        <w:widowControl/>
        <w:spacing w:line="400" w:lineRule="exact"/>
        <w:ind w:firstLineChars="200" w:firstLine="480"/>
        <w:rPr>
          <w:rFonts w:ascii="仿宋" w:eastAsia="仿宋" w:hAnsi="仿宋"/>
          <w:sz w:val="24"/>
          <w:szCs w:val="24"/>
        </w:rPr>
      </w:pPr>
      <w:r w:rsidRPr="002C677B">
        <w:rPr>
          <w:rFonts w:ascii="仿宋" w:eastAsia="仿宋" w:hAnsi="仿宋" w:hint="eastAsia"/>
          <w:sz w:val="24"/>
          <w:szCs w:val="24"/>
        </w:rPr>
        <w:t>存量改建模式是将闲置或低效利用的非居住存量房屋——包括商业办公用房、厂房仓库、旅馆、科研教育用房等——改造为保障性租赁住房。这是盘活“沉睡资产”的重要途径，尤其适用于土地资源紧张的中心城区。</w:t>
      </w:r>
    </w:p>
    <w:p w14:paraId="115AF9DF" w14:textId="42A0D43D" w:rsidR="002C677B" w:rsidRPr="002C677B" w:rsidRDefault="00EF7B86"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例如</w:t>
      </w:r>
      <w:r w:rsidR="00AC525E">
        <w:rPr>
          <w:rFonts w:ascii="仿宋" w:eastAsia="仿宋" w:hAnsi="仿宋" w:hint="eastAsia"/>
          <w:sz w:val="24"/>
          <w:szCs w:val="24"/>
        </w:rPr>
        <w:t>北京在2</w:t>
      </w:r>
      <w:r w:rsidR="00AC525E">
        <w:rPr>
          <w:rFonts w:ascii="仿宋" w:eastAsia="仿宋" w:hAnsi="仿宋"/>
          <w:sz w:val="24"/>
          <w:szCs w:val="24"/>
        </w:rPr>
        <w:t>025年</w:t>
      </w:r>
      <w:r w:rsidR="00AC525E">
        <w:rPr>
          <w:rFonts w:ascii="仿宋" w:eastAsia="仿宋" w:hAnsi="仿宋" w:hint="eastAsia"/>
          <w:sz w:val="24"/>
          <w:szCs w:val="24"/>
        </w:rPr>
        <w:t>4月明确坚持</w:t>
      </w:r>
      <w:r w:rsidR="002C677B" w:rsidRPr="002C677B">
        <w:rPr>
          <w:rFonts w:ascii="仿宋" w:eastAsia="仿宋" w:hAnsi="仿宋" w:hint="eastAsia"/>
          <w:sz w:val="24"/>
          <w:szCs w:val="24"/>
        </w:rPr>
        <w:t>盘活存量为主、适度新增为辅，通过新建、存量商业办公和厂房等</w:t>
      </w:r>
      <w:proofErr w:type="gramStart"/>
      <w:r w:rsidR="002C677B" w:rsidRPr="002C677B">
        <w:rPr>
          <w:rFonts w:ascii="仿宋" w:eastAsia="仿宋" w:hAnsi="仿宋" w:hint="eastAsia"/>
          <w:sz w:val="24"/>
          <w:szCs w:val="24"/>
        </w:rPr>
        <w:t>非居用</w:t>
      </w:r>
      <w:proofErr w:type="gramEnd"/>
      <w:r w:rsidR="002C677B" w:rsidRPr="002C677B">
        <w:rPr>
          <w:rFonts w:ascii="仿宋" w:eastAsia="仿宋" w:hAnsi="仿宋" w:hint="eastAsia"/>
          <w:sz w:val="24"/>
          <w:szCs w:val="24"/>
        </w:rPr>
        <w:t>房改建、统筹城中村改造安置房建设等方式，全面完成“十四五”时期建设筹集保障性租赁住房40万套的任务。广州</w:t>
      </w:r>
      <w:r w:rsidR="00C26BC6">
        <w:rPr>
          <w:rFonts w:ascii="仿宋" w:eastAsia="仿宋" w:hAnsi="仿宋" w:hint="eastAsia"/>
          <w:sz w:val="24"/>
          <w:szCs w:val="24"/>
        </w:rPr>
        <w:t>在2</w:t>
      </w:r>
      <w:r w:rsidR="00C26BC6">
        <w:rPr>
          <w:rFonts w:ascii="仿宋" w:eastAsia="仿宋" w:hAnsi="仿宋"/>
          <w:sz w:val="24"/>
          <w:szCs w:val="24"/>
        </w:rPr>
        <w:t>025年</w:t>
      </w:r>
      <w:r w:rsidR="00C26BC6">
        <w:rPr>
          <w:rFonts w:ascii="仿宋" w:eastAsia="仿宋" w:hAnsi="仿宋" w:hint="eastAsia"/>
          <w:sz w:val="24"/>
          <w:szCs w:val="24"/>
        </w:rPr>
        <w:t>9月出台新方案，</w:t>
      </w:r>
      <w:r w:rsidR="00A26254">
        <w:rPr>
          <w:rFonts w:ascii="仿宋" w:eastAsia="仿宋" w:hAnsi="仿宋" w:hint="eastAsia"/>
          <w:sz w:val="24"/>
          <w:szCs w:val="24"/>
        </w:rPr>
        <w:t>明确</w:t>
      </w:r>
      <w:r w:rsidR="00C26BC6">
        <w:rPr>
          <w:rFonts w:ascii="仿宋" w:eastAsia="仿宋" w:hAnsi="仿宋" w:hint="eastAsia"/>
          <w:sz w:val="24"/>
          <w:szCs w:val="24"/>
        </w:rPr>
        <w:t>支持</w:t>
      </w:r>
      <w:r w:rsidR="00A26254" w:rsidRPr="00A26254">
        <w:rPr>
          <w:rFonts w:ascii="仿宋" w:eastAsia="仿宋" w:hAnsi="仿宋" w:hint="eastAsia"/>
          <w:sz w:val="24"/>
          <w:szCs w:val="24"/>
        </w:rPr>
        <w:t>存量商办物业改建为保障性租赁住房</w:t>
      </w:r>
      <w:r w:rsidR="00C26BC6">
        <w:rPr>
          <w:rFonts w:ascii="仿宋" w:eastAsia="仿宋" w:hAnsi="仿宋" w:hint="eastAsia"/>
          <w:sz w:val="24"/>
          <w:szCs w:val="24"/>
        </w:rPr>
        <w:t>，</w:t>
      </w:r>
      <w:r w:rsidR="00C26BC6" w:rsidRPr="00C26BC6">
        <w:rPr>
          <w:rFonts w:ascii="仿宋" w:eastAsia="仿宋" w:hAnsi="仿宋" w:hint="eastAsia"/>
          <w:sz w:val="24"/>
          <w:szCs w:val="24"/>
        </w:rPr>
        <w:t>促进职住平衡。</w:t>
      </w:r>
      <w:r w:rsidR="002C677B" w:rsidRPr="002C677B">
        <w:rPr>
          <w:rFonts w:ascii="仿宋" w:eastAsia="仿宋" w:hAnsi="仿宋" w:hint="eastAsia"/>
          <w:sz w:val="24"/>
          <w:szCs w:val="24"/>
        </w:rPr>
        <w:t>深圳于2025年修订发布了《关于既有非居住房屋改建保障性租赁住房的通知》，针对改建工作面临的难点堵点，重点对项目改建条件、改建要求以及项目认定</w:t>
      </w:r>
      <w:r w:rsidR="00CF0839">
        <w:rPr>
          <w:rFonts w:ascii="仿宋" w:eastAsia="仿宋" w:hAnsi="仿宋" w:hint="eastAsia"/>
          <w:sz w:val="24"/>
          <w:szCs w:val="24"/>
        </w:rPr>
        <w:t>程序等进行改进和补充。这一系列政策的密集出台，标志着存量改建从政策试点走向制度化推进</w:t>
      </w:r>
      <w:r w:rsidR="002C677B" w:rsidRPr="002C677B">
        <w:rPr>
          <w:rFonts w:ascii="仿宋" w:eastAsia="仿宋" w:hAnsi="仿宋" w:hint="eastAsia"/>
          <w:sz w:val="24"/>
          <w:szCs w:val="24"/>
        </w:rPr>
        <w:t>。</w:t>
      </w:r>
    </w:p>
    <w:p w14:paraId="6A309150" w14:textId="77777777" w:rsidR="002C677B" w:rsidRPr="00FD2F32" w:rsidRDefault="002C677B" w:rsidP="00831C2B">
      <w:pPr>
        <w:widowControl/>
        <w:spacing w:line="400" w:lineRule="exact"/>
        <w:ind w:firstLineChars="200" w:firstLine="482"/>
        <w:jc w:val="left"/>
        <w:rPr>
          <w:rFonts w:ascii="仿宋" w:eastAsia="仿宋" w:hAnsi="仿宋"/>
          <w:b/>
          <w:sz w:val="24"/>
          <w:szCs w:val="24"/>
        </w:rPr>
      </w:pPr>
      <w:r w:rsidRPr="00FD2F32">
        <w:rPr>
          <w:rFonts w:ascii="仿宋" w:eastAsia="仿宋" w:hAnsi="仿宋" w:hint="eastAsia"/>
          <w:b/>
          <w:sz w:val="24"/>
          <w:szCs w:val="24"/>
        </w:rPr>
        <w:t>（三）住房收购置换模式：二手房盘活与改善需求联动</w:t>
      </w:r>
    </w:p>
    <w:p w14:paraId="644397D5" w14:textId="77777777" w:rsidR="002C677B" w:rsidRPr="002C677B" w:rsidRDefault="002C677B" w:rsidP="00741A93">
      <w:pPr>
        <w:widowControl/>
        <w:spacing w:afterLines="50" w:after="156" w:line="400" w:lineRule="exact"/>
        <w:ind w:firstLineChars="200" w:firstLine="480"/>
        <w:rPr>
          <w:rFonts w:ascii="仿宋" w:eastAsia="仿宋" w:hAnsi="仿宋"/>
          <w:sz w:val="24"/>
          <w:szCs w:val="24"/>
        </w:rPr>
      </w:pPr>
      <w:r w:rsidRPr="002C677B">
        <w:rPr>
          <w:rFonts w:ascii="仿宋" w:eastAsia="仿宋" w:hAnsi="仿宋" w:hint="eastAsia"/>
          <w:sz w:val="24"/>
          <w:szCs w:val="24"/>
        </w:rPr>
        <w:t>住房收购置换模式是近年来最具创新性的存量盘活路径，其核心是政府引导的国有企业收购居民手中的存量小户型住房，经标准化改造后纳入保租房体系，同时为出售房屋的居民提供新房置换支持，实现“存量盘活—保租房筹集—改善需求释放”三赢。</w:t>
      </w:r>
    </w:p>
    <w:tbl>
      <w:tblPr>
        <w:tblStyle w:val="a7"/>
        <w:tblW w:w="5000" w:type="pct"/>
        <w:tblBorders>
          <w:left w:val="none" w:sz="0" w:space="0" w:color="auto"/>
          <w:right w:val="none" w:sz="0" w:space="0" w:color="auto"/>
        </w:tblBorders>
        <w:tblLook w:val="04A0" w:firstRow="1" w:lastRow="0" w:firstColumn="1" w:lastColumn="0" w:noHBand="0" w:noVBand="1"/>
      </w:tblPr>
      <w:tblGrid>
        <w:gridCol w:w="1418"/>
        <w:gridCol w:w="6888"/>
      </w:tblGrid>
      <w:tr w:rsidR="00831C2B" w14:paraId="460A7F62" w14:textId="77777777" w:rsidTr="00DA76C1">
        <w:trPr>
          <w:trHeight w:val="23"/>
          <w:tblHeader/>
        </w:trPr>
        <w:tc>
          <w:tcPr>
            <w:tcW w:w="8306" w:type="dxa"/>
            <w:gridSpan w:val="2"/>
            <w:tcBorders>
              <w:top w:val="single" w:sz="12" w:space="0" w:color="auto"/>
              <w:left w:val="nil"/>
              <w:bottom w:val="single" w:sz="4" w:space="0" w:color="auto"/>
              <w:right w:val="nil"/>
            </w:tcBorders>
            <w:shd w:val="clear" w:color="auto" w:fill="C00000"/>
            <w:vAlign w:val="center"/>
            <w:hideMark/>
          </w:tcPr>
          <w:p w14:paraId="7B7802A5" w14:textId="77777777" w:rsidR="00831C2B" w:rsidRDefault="00831C2B" w:rsidP="009970D2">
            <w:pPr>
              <w:rPr>
                <w:rFonts w:ascii="黑体" w:eastAsia="黑体" w:hAnsi="黑体"/>
                <w:b/>
                <w:szCs w:val="21"/>
              </w:rPr>
            </w:pPr>
            <w:r w:rsidRPr="00741A93">
              <w:rPr>
                <w:rFonts w:ascii="黑体" w:eastAsia="黑体" w:hAnsi="黑体" w:hint="eastAsia"/>
                <w:b/>
                <w:sz w:val="18"/>
                <w:szCs w:val="21"/>
              </w:rPr>
              <w:t>表</w:t>
            </w:r>
            <w:r w:rsidRPr="00741A93">
              <w:rPr>
                <w:rFonts w:ascii="黑体" w:eastAsia="黑体" w:hAnsi="黑体"/>
                <w:b/>
                <w:sz w:val="18"/>
                <w:szCs w:val="21"/>
              </w:rPr>
              <w:t xml:space="preserve">1 </w:t>
            </w:r>
            <w:r w:rsidRPr="00741A93">
              <w:rPr>
                <w:rFonts w:ascii="黑体" w:eastAsia="黑体" w:hAnsi="黑体" w:hint="eastAsia"/>
                <w:b/>
                <w:sz w:val="18"/>
                <w:szCs w:val="21"/>
              </w:rPr>
              <w:t>存量房产盘活的模式及典型案例</w:t>
            </w:r>
          </w:p>
        </w:tc>
      </w:tr>
      <w:tr w:rsidR="00831C2B" w14:paraId="329AD0A1" w14:textId="77777777" w:rsidTr="00DA76C1">
        <w:trPr>
          <w:trHeight w:val="23"/>
          <w:tblHeader/>
        </w:trPr>
        <w:tc>
          <w:tcPr>
            <w:tcW w:w="1418" w:type="dxa"/>
            <w:tcBorders>
              <w:top w:val="single" w:sz="4" w:space="0" w:color="auto"/>
              <w:left w:val="nil"/>
              <w:bottom w:val="single" w:sz="4" w:space="0" w:color="auto"/>
              <w:right w:val="single" w:sz="4" w:space="0" w:color="auto"/>
            </w:tcBorders>
            <w:shd w:val="clear" w:color="auto" w:fill="E4E5E5"/>
            <w:hideMark/>
          </w:tcPr>
          <w:p w14:paraId="1BC5ADCB" w14:textId="77777777" w:rsidR="00831C2B" w:rsidRPr="00741A93" w:rsidRDefault="00831C2B" w:rsidP="009970D2">
            <w:pPr>
              <w:jc w:val="center"/>
              <w:rPr>
                <w:rFonts w:ascii="宋体" w:hAnsi="宋体"/>
                <w:b/>
                <w:sz w:val="18"/>
                <w:szCs w:val="18"/>
              </w:rPr>
            </w:pPr>
            <w:r w:rsidRPr="00741A93">
              <w:rPr>
                <w:rFonts w:ascii="宋体" w:hAnsi="宋体" w:hint="eastAsia"/>
                <w:b/>
                <w:sz w:val="18"/>
                <w:szCs w:val="18"/>
              </w:rPr>
              <w:t>模式</w:t>
            </w:r>
          </w:p>
        </w:tc>
        <w:tc>
          <w:tcPr>
            <w:tcW w:w="6888" w:type="dxa"/>
            <w:tcBorders>
              <w:top w:val="single" w:sz="4" w:space="0" w:color="auto"/>
              <w:left w:val="single" w:sz="4" w:space="0" w:color="auto"/>
              <w:bottom w:val="single" w:sz="4" w:space="0" w:color="auto"/>
              <w:right w:val="nil"/>
            </w:tcBorders>
            <w:shd w:val="clear" w:color="auto" w:fill="E4E5E5"/>
            <w:hideMark/>
          </w:tcPr>
          <w:p w14:paraId="09A8FA66" w14:textId="77777777" w:rsidR="00831C2B" w:rsidRPr="00741A93" w:rsidRDefault="00831C2B" w:rsidP="009970D2">
            <w:pPr>
              <w:jc w:val="center"/>
              <w:rPr>
                <w:rFonts w:ascii="宋体" w:hAnsi="宋体"/>
                <w:b/>
                <w:sz w:val="18"/>
                <w:szCs w:val="18"/>
              </w:rPr>
            </w:pPr>
            <w:r w:rsidRPr="00741A93">
              <w:rPr>
                <w:rFonts w:ascii="宋体" w:hAnsi="宋体" w:hint="eastAsia"/>
                <w:b/>
                <w:sz w:val="18"/>
                <w:szCs w:val="18"/>
              </w:rPr>
              <w:t>典型案例</w:t>
            </w:r>
          </w:p>
        </w:tc>
      </w:tr>
      <w:tr w:rsidR="00F56C47" w14:paraId="3AFE4A02" w14:textId="77777777" w:rsidTr="009970D2">
        <w:trPr>
          <w:trHeight w:val="23"/>
        </w:trPr>
        <w:tc>
          <w:tcPr>
            <w:tcW w:w="1418" w:type="dxa"/>
            <w:vMerge w:val="restart"/>
            <w:tcBorders>
              <w:top w:val="single" w:sz="4" w:space="0" w:color="auto"/>
              <w:left w:val="nil"/>
              <w:right w:val="single" w:sz="4" w:space="0" w:color="auto"/>
            </w:tcBorders>
            <w:vAlign w:val="center"/>
            <w:hideMark/>
          </w:tcPr>
          <w:p w14:paraId="78428574" w14:textId="77777777" w:rsidR="00F56C47" w:rsidRPr="00741A93" w:rsidRDefault="00F56C47" w:rsidP="009970D2">
            <w:pPr>
              <w:rPr>
                <w:rFonts w:ascii="宋体" w:hAnsi="宋体"/>
                <w:sz w:val="18"/>
                <w:szCs w:val="18"/>
              </w:rPr>
            </w:pPr>
            <w:r w:rsidRPr="00741A93">
              <w:rPr>
                <w:rFonts w:ascii="宋体" w:hAnsi="宋体" w:cs="Segoe UI" w:hint="eastAsia"/>
                <w:color w:val="0F1115"/>
                <w:sz w:val="18"/>
                <w:szCs w:val="18"/>
              </w:rPr>
              <w:t>收购转化模式：存量商品房</w:t>
            </w:r>
            <w:proofErr w:type="gramStart"/>
            <w:r w:rsidRPr="00741A93">
              <w:rPr>
                <w:rFonts w:ascii="宋体" w:hAnsi="宋体" w:cs="Segoe UI" w:hint="eastAsia"/>
                <w:color w:val="0F1115"/>
                <w:sz w:val="18"/>
                <w:szCs w:val="18"/>
              </w:rPr>
              <w:t>变保障房</w:t>
            </w:r>
            <w:proofErr w:type="gramEnd"/>
          </w:p>
        </w:tc>
        <w:tc>
          <w:tcPr>
            <w:tcW w:w="6888" w:type="dxa"/>
            <w:tcBorders>
              <w:top w:val="single" w:sz="4" w:space="0" w:color="auto"/>
              <w:left w:val="single" w:sz="4" w:space="0" w:color="auto"/>
              <w:bottom w:val="single" w:sz="4" w:space="0" w:color="auto"/>
              <w:right w:val="nil"/>
            </w:tcBorders>
            <w:vAlign w:val="center"/>
          </w:tcPr>
          <w:p w14:paraId="2B06B298" w14:textId="47459989" w:rsidR="00F56C47" w:rsidRPr="00741A93" w:rsidRDefault="00F56C47" w:rsidP="00CB3D73">
            <w:pPr>
              <w:rPr>
                <w:rFonts w:ascii="宋体" w:hAnsi="宋体"/>
                <w:sz w:val="18"/>
                <w:szCs w:val="18"/>
              </w:rPr>
            </w:pPr>
            <w:r w:rsidRPr="00741A93">
              <w:rPr>
                <w:rFonts w:ascii="宋体" w:hAnsi="宋体" w:hint="eastAsia"/>
                <w:sz w:val="18"/>
                <w:szCs w:val="18"/>
              </w:rPr>
              <w:t>合肥市存量商品房转作保障性租赁住房：合肥市安居控股集团股份有限公司收购由龙湖地产开发并</w:t>
            </w:r>
            <w:proofErr w:type="gramStart"/>
            <w:r w:rsidRPr="00741A93">
              <w:rPr>
                <w:rFonts w:ascii="宋体" w:hAnsi="宋体" w:hint="eastAsia"/>
                <w:sz w:val="18"/>
                <w:szCs w:val="18"/>
              </w:rPr>
              <w:t>自持</w:t>
            </w:r>
            <w:proofErr w:type="gramEnd"/>
            <w:r w:rsidRPr="00741A93">
              <w:rPr>
                <w:rFonts w:ascii="宋体" w:hAnsi="宋体" w:hint="eastAsia"/>
                <w:sz w:val="18"/>
                <w:szCs w:val="18"/>
              </w:rPr>
              <w:t>出租的蜀山西</w:t>
            </w:r>
            <w:proofErr w:type="gramStart"/>
            <w:r w:rsidRPr="00741A93">
              <w:rPr>
                <w:rFonts w:ascii="宋体" w:hAnsi="宋体" w:hint="eastAsia"/>
                <w:sz w:val="18"/>
                <w:szCs w:val="18"/>
              </w:rPr>
              <w:t>宸</w:t>
            </w:r>
            <w:proofErr w:type="gramEnd"/>
            <w:r w:rsidRPr="00741A93">
              <w:rPr>
                <w:rFonts w:ascii="宋体" w:hAnsi="宋体" w:hint="eastAsia"/>
                <w:sz w:val="18"/>
                <w:szCs w:val="18"/>
              </w:rPr>
              <w:t>原著项目</w:t>
            </w:r>
            <w:r w:rsidRPr="00741A93">
              <w:rPr>
                <w:rFonts w:ascii="宋体" w:hAnsi="宋体"/>
                <w:sz w:val="18"/>
                <w:szCs w:val="18"/>
              </w:rPr>
              <w:t>138套住房</w:t>
            </w:r>
            <w:r w:rsidRPr="00741A93">
              <w:rPr>
                <w:rFonts w:ascii="宋体" w:hAnsi="宋体" w:hint="eastAsia"/>
                <w:sz w:val="18"/>
                <w:szCs w:val="18"/>
              </w:rPr>
              <w:t>；合肥蜀山高科园区发展有限公司跨区收购公园万象</w:t>
            </w:r>
            <w:r w:rsidRPr="00741A93">
              <w:rPr>
                <w:rFonts w:ascii="宋体" w:hAnsi="宋体"/>
                <w:sz w:val="18"/>
                <w:szCs w:val="18"/>
              </w:rPr>
              <w:t>854套原房地产开发企业</w:t>
            </w:r>
            <w:proofErr w:type="gramStart"/>
            <w:r w:rsidRPr="00741A93">
              <w:rPr>
                <w:rFonts w:ascii="宋体" w:hAnsi="宋体"/>
                <w:sz w:val="18"/>
                <w:szCs w:val="18"/>
              </w:rPr>
              <w:t>自持</w:t>
            </w:r>
            <w:proofErr w:type="gramEnd"/>
            <w:r w:rsidRPr="00741A93">
              <w:rPr>
                <w:rFonts w:ascii="宋体" w:hAnsi="宋体"/>
                <w:sz w:val="18"/>
                <w:szCs w:val="18"/>
              </w:rPr>
              <w:t>租赁住房。前述两个项目周边产业集聚，住房租赁需求旺盛，选址策略体现了职住平衡和精准对接产业需求的导向。</w:t>
            </w:r>
          </w:p>
        </w:tc>
      </w:tr>
      <w:tr w:rsidR="00F56C47" w14:paraId="0AF9080F" w14:textId="77777777" w:rsidTr="00C934DC">
        <w:trPr>
          <w:trHeight w:val="23"/>
        </w:trPr>
        <w:tc>
          <w:tcPr>
            <w:tcW w:w="1418" w:type="dxa"/>
            <w:vMerge/>
            <w:tcBorders>
              <w:left w:val="nil"/>
              <w:right w:val="single" w:sz="4" w:space="0" w:color="auto"/>
            </w:tcBorders>
            <w:vAlign w:val="center"/>
          </w:tcPr>
          <w:p w14:paraId="486A11EE" w14:textId="77777777" w:rsidR="00F56C47" w:rsidRPr="00741A93" w:rsidRDefault="00F56C47" w:rsidP="009970D2">
            <w:pPr>
              <w:rPr>
                <w:rFonts w:ascii="宋体" w:hAnsi="宋体" w:cs="Segoe UI"/>
                <w:color w:val="0F1115"/>
                <w:sz w:val="18"/>
                <w:szCs w:val="18"/>
              </w:rPr>
            </w:pPr>
          </w:p>
        </w:tc>
        <w:tc>
          <w:tcPr>
            <w:tcW w:w="6888" w:type="dxa"/>
            <w:tcBorders>
              <w:top w:val="single" w:sz="4" w:space="0" w:color="auto"/>
              <w:left w:val="single" w:sz="4" w:space="0" w:color="auto"/>
              <w:bottom w:val="single" w:sz="4" w:space="0" w:color="auto"/>
              <w:right w:val="nil"/>
            </w:tcBorders>
            <w:vAlign w:val="center"/>
          </w:tcPr>
          <w:p w14:paraId="283EC42F" w14:textId="0E95FC00" w:rsidR="00F56C47" w:rsidRPr="00741A93" w:rsidRDefault="00F56C47" w:rsidP="009970D2">
            <w:pPr>
              <w:rPr>
                <w:rFonts w:ascii="宋体" w:hAnsi="宋体" w:cs="Segoe UI"/>
                <w:color w:val="0F1115"/>
                <w:sz w:val="18"/>
                <w:szCs w:val="18"/>
              </w:rPr>
            </w:pPr>
            <w:r w:rsidRPr="00741A93">
              <w:rPr>
                <w:rFonts w:ascii="宋体" w:hAnsi="宋体" w:cs="Segoe UI" w:hint="eastAsia"/>
                <w:color w:val="0F1115"/>
                <w:sz w:val="18"/>
                <w:szCs w:val="18"/>
              </w:rPr>
              <w:t>杭州市安居集团收购万科河语光年府</w:t>
            </w:r>
            <w:r w:rsidRPr="00741A93">
              <w:rPr>
                <w:rFonts w:ascii="宋体" w:hAnsi="宋体" w:cs="Segoe UI"/>
                <w:color w:val="0F1115"/>
                <w:sz w:val="18"/>
                <w:szCs w:val="18"/>
              </w:rPr>
              <w:t>2幢房屋不动产权，转化为保障性租赁住房，</w:t>
            </w:r>
            <w:r w:rsidR="00DA76C1" w:rsidRPr="00741A93">
              <w:rPr>
                <w:rFonts w:ascii="宋体" w:hAnsi="宋体" w:cs="Segoe UI" w:hint="eastAsia"/>
                <w:color w:val="0F1115"/>
                <w:sz w:val="18"/>
                <w:szCs w:val="18"/>
              </w:rPr>
              <w:t>由专业运营公司</w:t>
            </w:r>
            <w:r w:rsidRPr="00741A93">
              <w:rPr>
                <w:rFonts w:ascii="宋体" w:hAnsi="宋体" w:cs="Segoe UI" w:hint="eastAsia"/>
                <w:color w:val="0F1115"/>
                <w:sz w:val="18"/>
                <w:szCs w:val="18"/>
              </w:rPr>
              <w:t>运营</w:t>
            </w:r>
            <w:r w:rsidR="00DA76C1" w:rsidRPr="00741A93">
              <w:rPr>
                <w:rFonts w:ascii="宋体" w:hAnsi="宋体" w:cs="Segoe UI" w:hint="eastAsia"/>
                <w:color w:val="0F1115"/>
                <w:sz w:val="18"/>
                <w:szCs w:val="18"/>
              </w:rPr>
              <w:t>，</w:t>
            </w:r>
            <w:r w:rsidRPr="00741A93">
              <w:rPr>
                <w:rFonts w:ascii="宋体" w:hAnsi="宋体" w:cs="Segoe UI" w:hint="eastAsia"/>
                <w:color w:val="0F1115"/>
                <w:sz w:val="18"/>
                <w:szCs w:val="18"/>
              </w:rPr>
              <w:t>定位为面向中高端白领的服务式公寓。此案例在收储定价阶段有所创新，第一轮采用“同地段重置价格为参考上限”，第二轮取消了收购价格上限，仅要求结合政策规定、房源品质、同地段租金收入等因素综合确定。</w:t>
            </w:r>
          </w:p>
        </w:tc>
      </w:tr>
      <w:tr w:rsidR="00F56C47" w14:paraId="7E61EBDA" w14:textId="77777777" w:rsidTr="009970D2">
        <w:trPr>
          <w:trHeight w:val="23"/>
        </w:trPr>
        <w:tc>
          <w:tcPr>
            <w:tcW w:w="1418" w:type="dxa"/>
            <w:vMerge/>
            <w:tcBorders>
              <w:left w:val="nil"/>
              <w:bottom w:val="single" w:sz="4" w:space="0" w:color="auto"/>
              <w:right w:val="single" w:sz="4" w:space="0" w:color="auto"/>
            </w:tcBorders>
            <w:vAlign w:val="center"/>
          </w:tcPr>
          <w:p w14:paraId="5533D9CC" w14:textId="77777777" w:rsidR="00F56C47" w:rsidRPr="00741A93" w:rsidRDefault="00F56C47" w:rsidP="009970D2">
            <w:pPr>
              <w:rPr>
                <w:rFonts w:ascii="宋体" w:hAnsi="宋体" w:cs="Segoe UI"/>
                <w:color w:val="0F1115"/>
                <w:sz w:val="18"/>
                <w:szCs w:val="18"/>
              </w:rPr>
            </w:pPr>
          </w:p>
        </w:tc>
        <w:tc>
          <w:tcPr>
            <w:tcW w:w="6888" w:type="dxa"/>
            <w:tcBorders>
              <w:top w:val="single" w:sz="4" w:space="0" w:color="auto"/>
              <w:left w:val="single" w:sz="4" w:space="0" w:color="auto"/>
              <w:bottom w:val="single" w:sz="4" w:space="0" w:color="auto"/>
              <w:right w:val="nil"/>
            </w:tcBorders>
            <w:vAlign w:val="center"/>
          </w:tcPr>
          <w:p w14:paraId="413737BC" w14:textId="015C7FE0" w:rsidR="00F56C47" w:rsidRPr="00741A93" w:rsidRDefault="00F56C47" w:rsidP="00F56C47">
            <w:pPr>
              <w:rPr>
                <w:rFonts w:ascii="宋体" w:hAnsi="宋体" w:cs="Segoe UI"/>
                <w:color w:val="0F1115"/>
                <w:sz w:val="18"/>
                <w:szCs w:val="18"/>
              </w:rPr>
            </w:pPr>
            <w:r w:rsidRPr="00741A93">
              <w:rPr>
                <w:rFonts w:ascii="宋体" w:hAnsi="宋体" w:cs="Segoe UI" w:hint="eastAsia"/>
                <w:color w:val="0F1115"/>
                <w:sz w:val="18"/>
                <w:szCs w:val="18"/>
              </w:rPr>
              <w:t>贺州市通过三轮需求摸底，完成</w:t>
            </w:r>
            <w:r w:rsidRPr="00741A93">
              <w:rPr>
                <w:rFonts w:ascii="宋体" w:hAnsi="宋体" w:cs="Segoe UI"/>
                <w:color w:val="0F1115"/>
                <w:sz w:val="18"/>
                <w:szCs w:val="18"/>
              </w:rPr>
              <w:t>6</w:t>
            </w:r>
            <w:r w:rsidR="00DA76C1" w:rsidRPr="00741A93">
              <w:rPr>
                <w:rFonts w:ascii="宋体" w:hAnsi="宋体" w:cs="Segoe UI"/>
                <w:color w:val="0F1115"/>
                <w:sz w:val="18"/>
                <w:szCs w:val="18"/>
              </w:rPr>
              <w:t>,</w:t>
            </w:r>
            <w:r w:rsidRPr="00741A93">
              <w:rPr>
                <w:rFonts w:ascii="宋体" w:hAnsi="宋体" w:cs="Segoe UI"/>
                <w:color w:val="0F1115"/>
                <w:sz w:val="18"/>
                <w:szCs w:val="18"/>
              </w:rPr>
              <w:t>231套存量商品房收购，</w:t>
            </w:r>
            <w:r w:rsidR="00DA76C1" w:rsidRPr="00741A93">
              <w:rPr>
                <w:rFonts w:ascii="宋体" w:hAnsi="宋体" w:cs="Segoe UI"/>
                <w:color w:val="0F1115"/>
                <w:sz w:val="18"/>
                <w:szCs w:val="18"/>
              </w:rPr>
              <w:t>其中</w:t>
            </w:r>
            <w:r w:rsidRPr="00741A93">
              <w:rPr>
                <w:rFonts w:ascii="宋体" w:hAnsi="宋体" w:cs="Segoe UI" w:hint="eastAsia"/>
                <w:color w:val="0F1115"/>
                <w:sz w:val="18"/>
                <w:szCs w:val="18"/>
              </w:rPr>
              <w:t>市本级国有企业已与</w:t>
            </w:r>
            <w:r w:rsidRPr="00741A93">
              <w:rPr>
                <w:rFonts w:ascii="宋体" w:hAnsi="宋体" w:cs="Segoe UI"/>
                <w:color w:val="0F1115"/>
                <w:sz w:val="18"/>
                <w:szCs w:val="18"/>
              </w:rPr>
              <w:t>6个小区签订收购协议，累计收购1</w:t>
            </w:r>
            <w:r w:rsidR="00DA76C1" w:rsidRPr="00741A93">
              <w:rPr>
                <w:rFonts w:ascii="宋体" w:hAnsi="宋体" w:cs="Segoe UI"/>
                <w:color w:val="0F1115"/>
                <w:sz w:val="18"/>
                <w:szCs w:val="18"/>
              </w:rPr>
              <w:t>,</w:t>
            </w:r>
            <w:r w:rsidRPr="00741A93">
              <w:rPr>
                <w:rFonts w:ascii="宋体" w:hAnsi="宋体" w:cs="Segoe UI"/>
                <w:color w:val="0F1115"/>
                <w:sz w:val="18"/>
                <w:szCs w:val="18"/>
              </w:rPr>
              <w:t>180套房源用于保租房建设。该市积极创新“租售并行”运营模式，部</w:t>
            </w:r>
            <w:proofErr w:type="gramStart"/>
            <w:r w:rsidRPr="00741A93">
              <w:rPr>
                <w:rFonts w:ascii="宋体" w:hAnsi="宋体" w:cs="Segoe UI"/>
                <w:color w:val="0F1115"/>
                <w:sz w:val="18"/>
                <w:szCs w:val="18"/>
              </w:rPr>
              <w:t>分配租型房源</w:t>
            </w:r>
            <w:proofErr w:type="gramEnd"/>
            <w:r w:rsidRPr="00741A93">
              <w:rPr>
                <w:rFonts w:ascii="宋体" w:hAnsi="宋体" w:cs="Segoe UI"/>
                <w:color w:val="0F1115"/>
                <w:sz w:val="18"/>
                <w:szCs w:val="18"/>
              </w:rPr>
              <w:t>可根据市场需求灵活转为配售型。租金标准严格控制在同地段同品质市场租赁住房评估租金的80%以内，同时根据不同租期制定多种</w:t>
            </w:r>
            <w:r w:rsidRPr="00741A93">
              <w:rPr>
                <w:rFonts w:ascii="宋体" w:hAnsi="宋体" w:cs="Segoe UI" w:hint="eastAsia"/>
                <w:color w:val="0F1115"/>
                <w:sz w:val="18"/>
                <w:szCs w:val="18"/>
              </w:rPr>
              <w:lastRenderedPageBreak/>
              <w:t>组合优惠政策。</w:t>
            </w:r>
          </w:p>
        </w:tc>
      </w:tr>
      <w:tr w:rsidR="00831C2B" w14:paraId="434D0A8C" w14:textId="77777777" w:rsidTr="009970D2">
        <w:trPr>
          <w:trHeight w:val="23"/>
        </w:trPr>
        <w:tc>
          <w:tcPr>
            <w:tcW w:w="1418" w:type="dxa"/>
            <w:vMerge w:val="restart"/>
            <w:tcBorders>
              <w:top w:val="single" w:sz="4" w:space="0" w:color="auto"/>
              <w:left w:val="nil"/>
              <w:right w:val="single" w:sz="4" w:space="0" w:color="auto"/>
            </w:tcBorders>
            <w:vAlign w:val="center"/>
          </w:tcPr>
          <w:p w14:paraId="0EB6D7C8" w14:textId="77777777" w:rsidR="00831C2B" w:rsidRPr="00741A93" w:rsidRDefault="00831C2B" w:rsidP="009970D2">
            <w:pPr>
              <w:rPr>
                <w:rFonts w:ascii="宋体" w:hAnsi="宋体" w:cs="Segoe UI"/>
                <w:color w:val="0F1115"/>
                <w:sz w:val="18"/>
                <w:szCs w:val="18"/>
              </w:rPr>
            </w:pPr>
            <w:r w:rsidRPr="00741A93">
              <w:rPr>
                <w:rFonts w:ascii="宋体" w:hAnsi="宋体" w:cs="Segoe UI" w:hint="eastAsia"/>
                <w:color w:val="0F1115"/>
                <w:sz w:val="18"/>
                <w:szCs w:val="18"/>
              </w:rPr>
              <w:lastRenderedPageBreak/>
              <w:t>存量改建模式：</w:t>
            </w:r>
            <w:proofErr w:type="gramStart"/>
            <w:r w:rsidRPr="00741A93">
              <w:rPr>
                <w:rFonts w:ascii="宋体" w:hAnsi="宋体" w:cs="Segoe UI" w:hint="eastAsia"/>
                <w:color w:val="0F1115"/>
                <w:sz w:val="18"/>
                <w:szCs w:val="18"/>
              </w:rPr>
              <w:t>非居用房</w:t>
            </w:r>
            <w:proofErr w:type="gramEnd"/>
            <w:r w:rsidRPr="00741A93">
              <w:rPr>
                <w:rFonts w:ascii="宋体" w:hAnsi="宋体" w:cs="Segoe UI" w:hint="eastAsia"/>
                <w:color w:val="0F1115"/>
                <w:sz w:val="18"/>
                <w:szCs w:val="18"/>
              </w:rPr>
              <w:t>变身保租房</w:t>
            </w:r>
          </w:p>
        </w:tc>
        <w:tc>
          <w:tcPr>
            <w:tcW w:w="6888" w:type="dxa"/>
            <w:tcBorders>
              <w:top w:val="single" w:sz="4" w:space="0" w:color="auto"/>
              <w:left w:val="single" w:sz="4" w:space="0" w:color="auto"/>
              <w:bottom w:val="single" w:sz="4" w:space="0" w:color="auto"/>
              <w:right w:val="nil"/>
            </w:tcBorders>
            <w:vAlign w:val="center"/>
          </w:tcPr>
          <w:p w14:paraId="1780CD34" w14:textId="77777777" w:rsidR="00831C2B" w:rsidRPr="00741A93" w:rsidRDefault="00831C2B" w:rsidP="009970D2">
            <w:pPr>
              <w:rPr>
                <w:rFonts w:ascii="宋体" w:hAnsi="宋体" w:cs="Segoe UI"/>
                <w:color w:val="0F1115"/>
                <w:sz w:val="18"/>
                <w:szCs w:val="18"/>
              </w:rPr>
            </w:pPr>
            <w:r w:rsidRPr="00741A93">
              <w:rPr>
                <w:rFonts w:ascii="宋体" w:hAnsi="宋体" w:cs="Segoe UI" w:hint="eastAsia"/>
                <w:color w:val="0F1115"/>
                <w:sz w:val="18"/>
                <w:szCs w:val="18"/>
              </w:rPr>
              <w:t>北京西城区教子胡同</w:t>
            </w:r>
            <w:r w:rsidRPr="00741A93">
              <w:rPr>
                <w:rFonts w:ascii="宋体" w:hAnsi="宋体" w:cs="Segoe UI"/>
                <w:color w:val="0F1115"/>
                <w:sz w:val="18"/>
                <w:szCs w:val="18"/>
              </w:rPr>
              <w:t>65号院原是老厂房，改建后成为首都核心区首个宿舍</w:t>
            </w:r>
            <w:proofErr w:type="gramStart"/>
            <w:r w:rsidRPr="00741A93">
              <w:rPr>
                <w:rFonts w:ascii="宋体" w:hAnsi="宋体" w:cs="Segoe UI"/>
                <w:color w:val="0F1115"/>
                <w:sz w:val="18"/>
                <w:szCs w:val="18"/>
              </w:rPr>
              <w:t>型保障</w:t>
            </w:r>
            <w:proofErr w:type="gramEnd"/>
            <w:r w:rsidRPr="00741A93">
              <w:rPr>
                <w:rFonts w:ascii="宋体" w:hAnsi="宋体" w:cs="Segoe UI"/>
                <w:color w:val="0F1115"/>
                <w:sz w:val="18"/>
                <w:szCs w:val="18"/>
              </w:rPr>
              <w:t>性租赁住房，主要覆盖酒店、服务企业、养老院等机构的工作人员。</w:t>
            </w:r>
          </w:p>
        </w:tc>
      </w:tr>
      <w:tr w:rsidR="00831C2B" w14:paraId="5EB9B46B" w14:textId="77777777" w:rsidTr="009970D2">
        <w:trPr>
          <w:trHeight w:val="23"/>
        </w:trPr>
        <w:tc>
          <w:tcPr>
            <w:tcW w:w="1418" w:type="dxa"/>
            <w:vMerge/>
            <w:tcBorders>
              <w:left w:val="nil"/>
              <w:bottom w:val="single" w:sz="4" w:space="0" w:color="auto"/>
              <w:right w:val="single" w:sz="4" w:space="0" w:color="auto"/>
            </w:tcBorders>
            <w:vAlign w:val="center"/>
          </w:tcPr>
          <w:p w14:paraId="7D9A81B6" w14:textId="77777777" w:rsidR="00831C2B" w:rsidRPr="00741A93" w:rsidRDefault="00831C2B" w:rsidP="009970D2">
            <w:pPr>
              <w:rPr>
                <w:rFonts w:ascii="宋体" w:hAnsi="宋体" w:cs="Segoe UI"/>
                <w:color w:val="0F1115"/>
                <w:sz w:val="18"/>
                <w:szCs w:val="18"/>
              </w:rPr>
            </w:pPr>
          </w:p>
        </w:tc>
        <w:tc>
          <w:tcPr>
            <w:tcW w:w="6888" w:type="dxa"/>
            <w:tcBorders>
              <w:top w:val="single" w:sz="4" w:space="0" w:color="auto"/>
              <w:left w:val="single" w:sz="4" w:space="0" w:color="auto"/>
              <w:bottom w:val="single" w:sz="4" w:space="0" w:color="auto"/>
              <w:right w:val="nil"/>
            </w:tcBorders>
            <w:vAlign w:val="center"/>
          </w:tcPr>
          <w:p w14:paraId="2B6F0FB1" w14:textId="77777777" w:rsidR="00831C2B" w:rsidRPr="00741A93" w:rsidRDefault="00831C2B" w:rsidP="009970D2">
            <w:pPr>
              <w:rPr>
                <w:rFonts w:ascii="宋体" w:hAnsi="宋体" w:cs="Segoe UI"/>
                <w:color w:val="0F1115"/>
                <w:sz w:val="18"/>
                <w:szCs w:val="18"/>
              </w:rPr>
            </w:pPr>
            <w:r w:rsidRPr="00741A93">
              <w:rPr>
                <w:rFonts w:ascii="宋体" w:hAnsi="宋体" w:cs="Segoe UI" w:hint="eastAsia"/>
                <w:color w:val="0F1115"/>
                <w:sz w:val="18"/>
                <w:szCs w:val="18"/>
              </w:rPr>
              <w:t>广州</w:t>
            </w:r>
            <w:r w:rsidRPr="00741A93">
              <w:rPr>
                <w:rFonts w:ascii="宋体" w:hAnsi="宋体" w:cs="Segoe UI"/>
                <w:color w:val="0F1115"/>
                <w:sz w:val="18"/>
                <w:szCs w:val="18"/>
              </w:rPr>
              <w:t>CCB</w:t>
            </w:r>
            <w:proofErr w:type="gramStart"/>
            <w:r w:rsidRPr="00741A93">
              <w:rPr>
                <w:rFonts w:ascii="宋体" w:hAnsi="宋体" w:cs="Segoe UI"/>
                <w:color w:val="0F1115"/>
                <w:sz w:val="18"/>
                <w:szCs w:val="18"/>
              </w:rPr>
              <w:t>建融家园</w:t>
            </w:r>
            <w:proofErr w:type="gramEnd"/>
            <w:r w:rsidRPr="00741A93">
              <w:rPr>
                <w:rFonts w:ascii="宋体" w:hAnsi="宋体" w:cs="Segoe UI"/>
                <w:color w:val="0F1115"/>
                <w:sz w:val="18"/>
                <w:szCs w:val="18"/>
              </w:rPr>
              <w:t>YOU+国际社区-</w:t>
            </w:r>
            <w:proofErr w:type="gramStart"/>
            <w:r w:rsidRPr="00741A93">
              <w:rPr>
                <w:rFonts w:ascii="宋体" w:hAnsi="宋体" w:cs="Segoe UI"/>
                <w:color w:val="0F1115"/>
                <w:sz w:val="18"/>
                <w:szCs w:val="18"/>
              </w:rPr>
              <w:t>继园东</w:t>
            </w:r>
            <w:proofErr w:type="gramEnd"/>
            <w:r w:rsidRPr="00741A93">
              <w:rPr>
                <w:rFonts w:ascii="宋体" w:hAnsi="宋体" w:cs="Segoe UI"/>
                <w:color w:val="0F1115"/>
                <w:sz w:val="18"/>
                <w:szCs w:val="18"/>
              </w:rPr>
              <w:t>社区原为广东一名学者的私家园林，再后来是一间归广州轻工工贸集团所有的印染厂，用途几经辗转，之后企业退出场地，楼宇闲置；</w:t>
            </w:r>
            <w:proofErr w:type="gramStart"/>
            <w:r w:rsidRPr="00741A93">
              <w:rPr>
                <w:rFonts w:ascii="宋体" w:hAnsi="宋体" w:cs="Segoe UI"/>
                <w:color w:val="0F1115"/>
                <w:sz w:val="18"/>
                <w:szCs w:val="18"/>
              </w:rPr>
              <w:t>2020年</w:t>
            </w:r>
            <w:r w:rsidRPr="00741A93">
              <w:rPr>
                <w:rFonts w:ascii="宋体" w:hAnsi="宋体" w:cs="Segoe UI" w:hint="eastAsia"/>
                <w:color w:val="0F1115"/>
                <w:sz w:val="18"/>
                <w:szCs w:val="18"/>
              </w:rPr>
              <w:t>继园东</w:t>
            </w:r>
            <w:proofErr w:type="gramEnd"/>
            <w:r w:rsidRPr="00741A93">
              <w:rPr>
                <w:rFonts w:ascii="宋体" w:hAnsi="宋体" w:cs="Segoe UI" w:hint="eastAsia"/>
                <w:color w:val="0F1115"/>
                <w:sz w:val="18"/>
                <w:szCs w:val="18"/>
              </w:rPr>
              <w:t>成为了“非住改租”项目试点之一，是广东省首个完善手续的非住宅改租赁住房项目。</w:t>
            </w:r>
          </w:p>
        </w:tc>
      </w:tr>
      <w:tr w:rsidR="00F56C47" w14:paraId="3923B5B1" w14:textId="77777777" w:rsidTr="00C93F6D">
        <w:trPr>
          <w:trHeight w:val="23"/>
        </w:trPr>
        <w:tc>
          <w:tcPr>
            <w:tcW w:w="1418" w:type="dxa"/>
            <w:vMerge w:val="restart"/>
            <w:tcBorders>
              <w:top w:val="single" w:sz="4" w:space="0" w:color="auto"/>
              <w:left w:val="nil"/>
              <w:right w:val="single" w:sz="4" w:space="0" w:color="auto"/>
            </w:tcBorders>
            <w:vAlign w:val="center"/>
          </w:tcPr>
          <w:p w14:paraId="154B52C7" w14:textId="77777777" w:rsidR="00F56C47" w:rsidRPr="00741A93" w:rsidRDefault="00F56C47" w:rsidP="009970D2">
            <w:pPr>
              <w:rPr>
                <w:rFonts w:ascii="宋体" w:hAnsi="宋体" w:cs="Segoe UI"/>
                <w:color w:val="0F1115"/>
                <w:sz w:val="18"/>
                <w:szCs w:val="18"/>
              </w:rPr>
            </w:pPr>
            <w:r w:rsidRPr="00741A93">
              <w:rPr>
                <w:rFonts w:ascii="宋体" w:hAnsi="宋体" w:cs="Segoe UI" w:hint="eastAsia"/>
                <w:color w:val="0F1115"/>
                <w:sz w:val="18"/>
                <w:szCs w:val="18"/>
              </w:rPr>
              <w:t>住房收购置换模式：二手房盘活与改善需求联动</w:t>
            </w:r>
          </w:p>
        </w:tc>
        <w:tc>
          <w:tcPr>
            <w:tcW w:w="6888" w:type="dxa"/>
            <w:tcBorders>
              <w:top w:val="single" w:sz="4" w:space="0" w:color="auto"/>
              <w:left w:val="single" w:sz="4" w:space="0" w:color="auto"/>
              <w:bottom w:val="single" w:sz="4" w:space="0" w:color="auto"/>
              <w:right w:val="nil"/>
            </w:tcBorders>
            <w:vAlign w:val="center"/>
          </w:tcPr>
          <w:p w14:paraId="72E43DCC" w14:textId="3479B8CC" w:rsidR="00F56C47" w:rsidRPr="00741A93" w:rsidRDefault="00F56C47" w:rsidP="004E5C25">
            <w:pPr>
              <w:rPr>
                <w:rFonts w:ascii="宋体" w:hAnsi="宋体" w:cs="Segoe UI"/>
                <w:color w:val="0F1115"/>
                <w:sz w:val="18"/>
                <w:szCs w:val="18"/>
              </w:rPr>
            </w:pPr>
            <w:r w:rsidRPr="00741A93">
              <w:rPr>
                <w:rFonts w:ascii="宋体" w:hAnsi="宋体" w:cs="Segoe UI"/>
                <w:color w:val="0F1115"/>
                <w:sz w:val="18"/>
                <w:szCs w:val="18"/>
              </w:rPr>
              <w:t>2026年3月，上海静安区完成了全市首例住房“收购置换”，该项目由政府引导、区属国企作为实施主体，市场化收购区内产权清晰、总价适宜的</w:t>
            </w:r>
            <w:proofErr w:type="gramStart"/>
            <w:r w:rsidRPr="00741A93">
              <w:rPr>
                <w:rFonts w:ascii="宋体" w:hAnsi="宋体" w:cs="Segoe UI"/>
                <w:color w:val="0F1115"/>
                <w:sz w:val="18"/>
                <w:szCs w:val="18"/>
              </w:rPr>
              <w:t>成套小</w:t>
            </w:r>
            <w:proofErr w:type="gramEnd"/>
            <w:r w:rsidRPr="00741A93">
              <w:rPr>
                <w:rFonts w:ascii="宋体" w:hAnsi="宋体" w:cs="Segoe UI"/>
                <w:color w:val="0F1115"/>
                <w:sz w:val="18"/>
                <w:szCs w:val="18"/>
              </w:rPr>
              <w:t>户型存量住房。签约居民在与静安区保障房公司完成旧房收购合同签订后，同步与新商品房签订了新房购买协议，实现了从旧房到新居的顺畅过渡，也标志着这一模式实现从房源收储、居民置换到保租房筹措的全流程落地。</w:t>
            </w:r>
          </w:p>
        </w:tc>
      </w:tr>
      <w:tr w:rsidR="00F56C47" w14:paraId="09CAE4F5" w14:textId="77777777" w:rsidTr="00C93F6D">
        <w:trPr>
          <w:trHeight w:val="23"/>
        </w:trPr>
        <w:tc>
          <w:tcPr>
            <w:tcW w:w="1418" w:type="dxa"/>
            <w:vMerge/>
            <w:tcBorders>
              <w:left w:val="nil"/>
              <w:right w:val="single" w:sz="4" w:space="0" w:color="auto"/>
            </w:tcBorders>
            <w:vAlign w:val="center"/>
          </w:tcPr>
          <w:p w14:paraId="29FE276F" w14:textId="77777777" w:rsidR="00F56C47" w:rsidRPr="00741A93" w:rsidRDefault="00F56C47" w:rsidP="009970D2">
            <w:pPr>
              <w:rPr>
                <w:rFonts w:ascii="宋体" w:hAnsi="宋体" w:cs="Segoe UI"/>
                <w:color w:val="0F1115"/>
                <w:sz w:val="18"/>
                <w:szCs w:val="18"/>
              </w:rPr>
            </w:pPr>
          </w:p>
        </w:tc>
        <w:tc>
          <w:tcPr>
            <w:tcW w:w="6888" w:type="dxa"/>
            <w:tcBorders>
              <w:top w:val="single" w:sz="4" w:space="0" w:color="auto"/>
              <w:left w:val="single" w:sz="4" w:space="0" w:color="auto"/>
              <w:bottom w:val="single" w:sz="4" w:space="0" w:color="auto"/>
              <w:right w:val="nil"/>
            </w:tcBorders>
            <w:vAlign w:val="center"/>
          </w:tcPr>
          <w:p w14:paraId="163BA8E4" w14:textId="2EFAF9FC" w:rsidR="00F56C47" w:rsidRPr="00741A93" w:rsidRDefault="00F56C47" w:rsidP="00F56C47">
            <w:pPr>
              <w:rPr>
                <w:rFonts w:ascii="宋体" w:hAnsi="宋体" w:cs="Segoe UI"/>
                <w:color w:val="0F1115"/>
                <w:sz w:val="18"/>
                <w:szCs w:val="18"/>
              </w:rPr>
            </w:pPr>
            <w:r w:rsidRPr="00741A93">
              <w:rPr>
                <w:rFonts w:ascii="宋体" w:hAnsi="宋体" w:cs="Segoe UI" w:hint="eastAsia"/>
                <w:color w:val="0F1115"/>
                <w:sz w:val="18"/>
                <w:szCs w:val="18"/>
              </w:rPr>
              <w:t>江苏太仓商品房“以旧换新”，由</w:t>
            </w:r>
            <w:r w:rsidR="0078267E" w:rsidRPr="00741A93">
              <w:rPr>
                <w:rFonts w:ascii="宋体" w:hAnsi="宋体" w:cs="Segoe UI"/>
                <w:color w:val="0F1115"/>
                <w:sz w:val="18"/>
                <w:szCs w:val="18"/>
              </w:rPr>
              <w:t>地方</w:t>
            </w:r>
            <w:r w:rsidR="0078267E" w:rsidRPr="00741A93">
              <w:rPr>
                <w:rFonts w:ascii="宋体" w:hAnsi="宋体" w:cs="Segoe UI" w:hint="eastAsia"/>
                <w:color w:val="0F1115"/>
                <w:sz w:val="18"/>
                <w:szCs w:val="18"/>
              </w:rPr>
              <w:t>国企</w:t>
            </w:r>
            <w:r w:rsidRPr="00741A93">
              <w:rPr>
                <w:rFonts w:ascii="宋体" w:hAnsi="宋体" w:cs="Segoe UI" w:hint="eastAsia"/>
                <w:color w:val="0F1115"/>
                <w:sz w:val="18"/>
                <w:szCs w:val="18"/>
              </w:rPr>
              <w:t>直接收购旧房，旧房款抵扣新房款，旧房改造为保障房、人才公寓；截至</w:t>
            </w:r>
            <w:r w:rsidRPr="00741A93">
              <w:rPr>
                <w:rFonts w:ascii="宋体" w:hAnsi="宋体" w:cs="Segoe UI"/>
                <w:color w:val="0F1115"/>
                <w:sz w:val="18"/>
                <w:szCs w:val="18"/>
              </w:rPr>
              <w:t>2026年1月末，太仓市通过“以旧换新”已累计成交新房495套、面积6.56万平方米；同时成功置换存量房581套、面积6.41万平方米。</w:t>
            </w:r>
          </w:p>
        </w:tc>
      </w:tr>
      <w:tr w:rsidR="00F56C47" w14:paraId="49FD0779" w14:textId="77777777" w:rsidTr="00C93F6D">
        <w:trPr>
          <w:trHeight w:val="23"/>
        </w:trPr>
        <w:tc>
          <w:tcPr>
            <w:tcW w:w="1418" w:type="dxa"/>
            <w:vMerge/>
            <w:tcBorders>
              <w:left w:val="nil"/>
              <w:bottom w:val="single" w:sz="4" w:space="0" w:color="auto"/>
              <w:right w:val="single" w:sz="4" w:space="0" w:color="auto"/>
            </w:tcBorders>
            <w:vAlign w:val="center"/>
          </w:tcPr>
          <w:p w14:paraId="47BE5256" w14:textId="77777777" w:rsidR="00F56C47" w:rsidRPr="00741A93" w:rsidRDefault="00F56C47" w:rsidP="009970D2">
            <w:pPr>
              <w:rPr>
                <w:rFonts w:ascii="宋体" w:hAnsi="宋体" w:cs="Segoe UI"/>
                <w:color w:val="0F1115"/>
                <w:sz w:val="18"/>
                <w:szCs w:val="18"/>
              </w:rPr>
            </w:pPr>
          </w:p>
        </w:tc>
        <w:tc>
          <w:tcPr>
            <w:tcW w:w="6888" w:type="dxa"/>
            <w:tcBorders>
              <w:top w:val="single" w:sz="4" w:space="0" w:color="auto"/>
              <w:left w:val="single" w:sz="4" w:space="0" w:color="auto"/>
              <w:bottom w:val="single" w:sz="4" w:space="0" w:color="auto"/>
              <w:right w:val="nil"/>
            </w:tcBorders>
            <w:vAlign w:val="center"/>
          </w:tcPr>
          <w:p w14:paraId="6B698415" w14:textId="3058593B" w:rsidR="00F56C47" w:rsidRPr="00741A93" w:rsidRDefault="00F56C47" w:rsidP="00F56C47">
            <w:pPr>
              <w:rPr>
                <w:rFonts w:ascii="宋体" w:hAnsi="宋体" w:cs="Segoe UI"/>
                <w:color w:val="0F1115"/>
                <w:sz w:val="18"/>
                <w:szCs w:val="18"/>
              </w:rPr>
            </w:pPr>
            <w:r w:rsidRPr="00741A93">
              <w:rPr>
                <w:rFonts w:ascii="宋体" w:hAnsi="宋体" w:cs="Segoe UI" w:hint="eastAsia"/>
                <w:color w:val="0F1115"/>
                <w:sz w:val="18"/>
                <w:szCs w:val="18"/>
              </w:rPr>
              <w:t>山东济南起步区“全款收旧房”打通跨区域置换，面向济南全市拥有合法产权住房的家庭，意向在起步区购买新房即可申请，收购旧房用于满足区域人才及新市民住房需求。</w:t>
            </w:r>
          </w:p>
        </w:tc>
      </w:tr>
      <w:tr w:rsidR="00831C2B" w14:paraId="22CEF1DC" w14:textId="77777777" w:rsidTr="009970D2">
        <w:trPr>
          <w:trHeight w:val="23"/>
        </w:trPr>
        <w:tc>
          <w:tcPr>
            <w:tcW w:w="8306" w:type="dxa"/>
            <w:gridSpan w:val="2"/>
            <w:tcBorders>
              <w:top w:val="single" w:sz="4" w:space="0" w:color="auto"/>
              <w:left w:val="nil"/>
              <w:bottom w:val="single" w:sz="12" w:space="0" w:color="auto"/>
              <w:right w:val="nil"/>
            </w:tcBorders>
            <w:hideMark/>
          </w:tcPr>
          <w:p w14:paraId="29259B98" w14:textId="77777777" w:rsidR="00831C2B" w:rsidRPr="00B3596E" w:rsidRDefault="00831C2B" w:rsidP="009970D2">
            <w:pPr>
              <w:rPr>
                <w:rFonts w:ascii="宋体" w:hAnsi="宋体"/>
                <w:szCs w:val="24"/>
              </w:rPr>
            </w:pPr>
            <w:r w:rsidRPr="00B3596E">
              <w:rPr>
                <w:rFonts w:ascii="宋体" w:hAnsi="宋体" w:hint="eastAsia"/>
                <w:sz w:val="15"/>
                <w:szCs w:val="24"/>
              </w:rPr>
              <w:t>资料来源：根据公开资料整理</w:t>
            </w:r>
          </w:p>
        </w:tc>
      </w:tr>
    </w:tbl>
    <w:p w14:paraId="6AF7BBFD" w14:textId="682F1E6F" w:rsidR="00625DA1" w:rsidRPr="00625DA1" w:rsidRDefault="00625DA1" w:rsidP="00625DA1">
      <w:pPr>
        <w:adjustRightInd w:val="0"/>
        <w:spacing w:beforeLines="50" w:before="156" w:afterLines="50" w:after="156" w:line="400" w:lineRule="exact"/>
        <w:outlineLvl w:val="0"/>
        <w:rPr>
          <w:rFonts w:ascii="黑体" w:eastAsia="黑体" w:hAnsi="黑体" w:cs="Times New Roman"/>
          <w:b/>
          <w:color w:val="C00000"/>
          <w:sz w:val="28"/>
          <w:szCs w:val="28"/>
        </w:rPr>
      </w:pPr>
      <w:r w:rsidRPr="00625DA1">
        <w:rPr>
          <w:rFonts w:ascii="黑体" w:eastAsia="黑体" w:hAnsi="黑体" w:cs="Times New Roman" w:hint="eastAsia"/>
          <w:b/>
          <w:color w:val="C00000"/>
          <w:sz w:val="28"/>
          <w:szCs w:val="28"/>
        </w:rPr>
        <w:t>二、</w:t>
      </w:r>
      <w:r w:rsidR="00F56C47" w:rsidRPr="00F56C47">
        <w:rPr>
          <w:rFonts w:ascii="黑体" w:eastAsia="黑体" w:hAnsi="黑体" w:cs="Times New Roman" w:hint="eastAsia"/>
          <w:b/>
          <w:color w:val="C00000"/>
          <w:sz w:val="28"/>
          <w:szCs w:val="28"/>
        </w:rPr>
        <w:t>金融工具创新：打通资本循环的关键支撑</w:t>
      </w:r>
    </w:p>
    <w:p w14:paraId="17DA3456" w14:textId="77777777" w:rsidR="00F56C47" w:rsidRPr="00F56C47" w:rsidRDefault="00F56C47" w:rsidP="00741A93">
      <w:pPr>
        <w:widowControl/>
        <w:spacing w:line="400" w:lineRule="exact"/>
        <w:ind w:firstLineChars="200" w:firstLine="480"/>
        <w:rPr>
          <w:rFonts w:ascii="仿宋" w:eastAsia="仿宋" w:hAnsi="仿宋"/>
          <w:sz w:val="24"/>
          <w:szCs w:val="24"/>
        </w:rPr>
      </w:pPr>
      <w:r w:rsidRPr="00F56C47">
        <w:rPr>
          <w:rFonts w:ascii="仿宋" w:eastAsia="仿宋" w:hAnsi="仿宋" w:hint="eastAsia"/>
          <w:sz w:val="24"/>
          <w:szCs w:val="24"/>
        </w:rPr>
        <w:t>存量资产盘活涉及大规模的收购、改建和运营资金投入，仅靠财政资金难以为继。金融工具的创新运用，成为保租房存量盘活的关键支撑。当前，我国已初步形成“再贷款—专项债—REITs”多层次金融支持体系。</w:t>
      </w:r>
    </w:p>
    <w:p w14:paraId="627F47B3" w14:textId="77777777" w:rsidR="00F56C47" w:rsidRPr="00FC1A8C" w:rsidRDefault="00F56C47" w:rsidP="00741A93">
      <w:pPr>
        <w:widowControl/>
        <w:spacing w:line="400" w:lineRule="exact"/>
        <w:ind w:firstLineChars="200" w:firstLine="482"/>
        <w:rPr>
          <w:rFonts w:ascii="仿宋" w:eastAsia="仿宋" w:hAnsi="仿宋"/>
          <w:b/>
          <w:sz w:val="24"/>
          <w:szCs w:val="24"/>
        </w:rPr>
      </w:pPr>
      <w:r w:rsidRPr="00FC1A8C">
        <w:rPr>
          <w:rFonts w:ascii="仿宋" w:eastAsia="仿宋" w:hAnsi="仿宋" w:hint="eastAsia"/>
          <w:b/>
          <w:sz w:val="24"/>
          <w:szCs w:val="24"/>
        </w:rPr>
        <w:t>（一）保障性住房再贷款与专项债组合</w:t>
      </w:r>
    </w:p>
    <w:p w14:paraId="230ECA99" w14:textId="52408241" w:rsidR="00F56C47" w:rsidRPr="00F56C47" w:rsidRDefault="00F56C47" w:rsidP="00741A93">
      <w:pPr>
        <w:widowControl/>
        <w:spacing w:line="400" w:lineRule="exact"/>
        <w:ind w:firstLineChars="200" w:firstLine="480"/>
        <w:rPr>
          <w:rFonts w:ascii="仿宋" w:eastAsia="仿宋" w:hAnsi="仿宋"/>
          <w:sz w:val="24"/>
          <w:szCs w:val="24"/>
        </w:rPr>
      </w:pPr>
      <w:r w:rsidRPr="00F56C47">
        <w:rPr>
          <w:rFonts w:ascii="仿宋" w:eastAsia="仿宋" w:hAnsi="仿宋" w:hint="eastAsia"/>
          <w:sz w:val="24"/>
          <w:szCs w:val="24"/>
        </w:rPr>
        <w:t>2024年5月，人民银行设立3</w:t>
      </w:r>
      <w:r w:rsidR="00CA3B60">
        <w:rPr>
          <w:rFonts w:ascii="仿宋" w:eastAsia="仿宋" w:hAnsi="仿宋"/>
          <w:sz w:val="24"/>
          <w:szCs w:val="24"/>
        </w:rPr>
        <w:t>,</w:t>
      </w:r>
      <w:r w:rsidRPr="00F56C47">
        <w:rPr>
          <w:rFonts w:ascii="仿宋" w:eastAsia="仿宋" w:hAnsi="仿宋" w:hint="eastAsia"/>
          <w:sz w:val="24"/>
          <w:szCs w:val="24"/>
        </w:rPr>
        <w:t>000亿元保障性住房再贷款，专项用于支持地方国有企业收购已建成存量商品房用作保障性住房。在这一政策框架下，各地积极探索差异化融资模式。</w:t>
      </w:r>
    </w:p>
    <w:p w14:paraId="097F127F" w14:textId="54A54C15" w:rsidR="00F56C47" w:rsidRPr="00F56C47" w:rsidRDefault="00C2628C" w:rsidP="00741A93">
      <w:pPr>
        <w:widowControl/>
        <w:spacing w:line="400" w:lineRule="exact"/>
        <w:ind w:firstLineChars="200" w:firstLine="480"/>
        <w:rPr>
          <w:rFonts w:ascii="仿宋" w:eastAsia="仿宋" w:hAnsi="仿宋"/>
          <w:sz w:val="24"/>
          <w:szCs w:val="24"/>
        </w:rPr>
      </w:pPr>
      <w:r w:rsidRPr="00C2628C">
        <w:rPr>
          <w:rFonts w:ascii="仿宋" w:eastAsia="仿宋" w:hAnsi="仿宋" w:hint="eastAsia"/>
          <w:sz w:val="24"/>
          <w:szCs w:val="24"/>
        </w:rPr>
        <w:t>青岛海发城市运营集团有限公司</w:t>
      </w:r>
      <w:r w:rsidR="00F56C47" w:rsidRPr="00F56C47">
        <w:rPr>
          <w:rFonts w:ascii="仿宋" w:eastAsia="仿宋" w:hAnsi="仿宋" w:hint="eastAsia"/>
          <w:sz w:val="24"/>
          <w:szCs w:val="24"/>
        </w:rPr>
        <w:t>在获得1.6亿元专项</w:t>
      </w:r>
      <w:proofErr w:type="gramStart"/>
      <w:r w:rsidR="00F56C47" w:rsidRPr="00F56C47">
        <w:rPr>
          <w:rFonts w:ascii="仿宋" w:eastAsia="仿宋" w:hAnsi="仿宋" w:hint="eastAsia"/>
          <w:sz w:val="24"/>
          <w:szCs w:val="24"/>
        </w:rPr>
        <w:t>债基础</w:t>
      </w:r>
      <w:proofErr w:type="gramEnd"/>
      <w:r w:rsidR="00F56C47" w:rsidRPr="00F56C47">
        <w:rPr>
          <w:rFonts w:ascii="仿宋" w:eastAsia="仿宋" w:hAnsi="仿宋" w:hint="eastAsia"/>
          <w:sz w:val="24"/>
          <w:szCs w:val="24"/>
        </w:rPr>
        <w:t>上，由国家开发银行牵头工商银行、交通银行发放银团贷款</w:t>
      </w:r>
      <w:r w:rsidRPr="00C2628C">
        <w:rPr>
          <w:rFonts w:ascii="仿宋" w:eastAsia="仿宋" w:hAnsi="仿宋" w:hint="eastAsia"/>
          <w:sz w:val="24"/>
          <w:szCs w:val="24"/>
        </w:rPr>
        <w:t>授</w:t>
      </w:r>
      <w:proofErr w:type="gramStart"/>
      <w:r w:rsidRPr="00C2628C">
        <w:rPr>
          <w:rFonts w:ascii="仿宋" w:eastAsia="仿宋" w:hAnsi="仿宋" w:hint="eastAsia"/>
          <w:sz w:val="24"/>
          <w:szCs w:val="24"/>
        </w:rPr>
        <w:t>信金额</w:t>
      </w:r>
      <w:proofErr w:type="gramEnd"/>
      <w:r w:rsidRPr="00C2628C">
        <w:rPr>
          <w:rFonts w:ascii="仿宋" w:eastAsia="仿宋" w:hAnsi="仿宋" w:hint="eastAsia"/>
          <w:sz w:val="24"/>
          <w:szCs w:val="24"/>
        </w:rPr>
        <w:t>8</w:t>
      </w:r>
      <w:r w:rsidR="002B7924">
        <w:rPr>
          <w:rFonts w:ascii="仿宋" w:eastAsia="仿宋" w:hAnsi="仿宋"/>
          <w:sz w:val="24"/>
          <w:szCs w:val="24"/>
        </w:rPr>
        <w:t>,</w:t>
      </w:r>
      <w:r w:rsidRPr="00C2628C">
        <w:rPr>
          <w:rFonts w:ascii="仿宋" w:eastAsia="仿宋" w:hAnsi="仿宋" w:hint="eastAsia"/>
          <w:sz w:val="24"/>
          <w:szCs w:val="24"/>
        </w:rPr>
        <w:t>900万元，首批到位贷款金额8</w:t>
      </w:r>
      <w:r w:rsidR="002B7924">
        <w:rPr>
          <w:rFonts w:ascii="仿宋" w:eastAsia="仿宋" w:hAnsi="仿宋"/>
          <w:sz w:val="24"/>
          <w:szCs w:val="24"/>
        </w:rPr>
        <w:t>,</w:t>
      </w:r>
      <w:r w:rsidRPr="00C2628C">
        <w:rPr>
          <w:rFonts w:ascii="仿宋" w:eastAsia="仿宋" w:hAnsi="仿宋" w:hint="eastAsia"/>
          <w:sz w:val="24"/>
          <w:szCs w:val="24"/>
        </w:rPr>
        <w:t>100万元，支持其收购已建成存量商品房用作保障性租赁住房</w:t>
      </w:r>
      <w:r w:rsidR="00F56C47" w:rsidRPr="00F56C47">
        <w:rPr>
          <w:rFonts w:ascii="仿宋" w:eastAsia="仿宋" w:hAnsi="仿宋" w:hint="eastAsia"/>
          <w:sz w:val="24"/>
          <w:szCs w:val="24"/>
        </w:rPr>
        <w:t>。</w:t>
      </w:r>
      <w:r w:rsidR="002B7924" w:rsidRPr="007F0DAF">
        <w:rPr>
          <w:rFonts w:ascii="仿宋" w:eastAsia="仿宋" w:hAnsi="仿宋" w:hint="eastAsia"/>
          <w:sz w:val="24"/>
          <w:szCs w:val="24"/>
        </w:rPr>
        <w:t>青岛“专项债+再贷款”支持保障性住房收购</w:t>
      </w:r>
      <w:r w:rsidR="00F56C47" w:rsidRPr="00F56C47">
        <w:rPr>
          <w:rFonts w:ascii="仿宋" w:eastAsia="仿宋" w:hAnsi="仿宋" w:hint="eastAsia"/>
          <w:sz w:val="24"/>
          <w:szCs w:val="24"/>
        </w:rPr>
        <w:t>这一模式</w:t>
      </w:r>
      <w:r w:rsidR="002B7924">
        <w:rPr>
          <w:rFonts w:ascii="仿宋" w:eastAsia="仿宋" w:hAnsi="仿宋" w:hint="eastAsia"/>
          <w:sz w:val="24"/>
          <w:szCs w:val="24"/>
        </w:rPr>
        <w:t>通过财政资金撬动、政策性金融跟进</w:t>
      </w:r>
      <w:r w:rsidR="00F56C47" w:rsidRPr="00F56C47">
        <w:rPr>
          <w:rFonts w:ascii="仿宋" w:eastAsia="仿宋" w:hAnsi="仿宋" w:hint="eastAsia"/>
          <w:sz w:val="24"/>
          <w:szCs w:val="24"/>
        </w:rPr>
        <w:t>，</w:t>
      </w:r>
      <w:r w:rsidR="00957716">
        <w:rPr>
          <w:rFonts w:ascii="仿宋" w:eastAsia="仿宋" w:hAnsi="仿宋" w:hint="eastAsia"/>
          <w:sz w:val="24"/>
          <w:szCs w:val="24"/>
        </w:rPr>
        <w:t>实现了政策性金融与民生工程</w:t>
      </w:r>
      <w:r w:rsidR="00957716" w:rsidRPr="00957716">
        <w:rPr>
          <w:rFonts w:ascii="仿宋" w:eastAsia="仿宋" w:hAnsi="仿宋" w:hint="eastAsia"/>
          <w:sz w:val="24"/>
          <w:szCs w:val="24"/>
        </w:rPr>
        <w:t>深度融合</w:t>
      </w:r>
      <w:r w:rsidR="00957716">
        <w:rPr>
          <w:rFonts w:ascii="仿宋" w:eastAsia="仿宋" w:hAnsi="仿宋" w:hint="eastAsia"/>
          <w:sz w:val="24"/>
          <w:szCs w:val="24"/>
        </w:rPr>
        <w:t>，</w:t>
      </w:r>
      <w:r w:rsidR="00F56C47" w:rsidRPr="00F56C47">
        <w:rPr>
          <w:rFonts w:ascii="仿宋" w:eastAsia="仿宋" w:hAnsi="仿宋" w:hint="eastAsia"/>
          <w:sz w:val="24"/>
          <w:szCs w:val="24"/>
        </w:rPr>
        <w:t>构建了覆盖项目全周期的资金支持体系。</w:t>
      </w:r>
    </w:p>
    <w:p w14:paraId="5FAA3C20" w14:textId="6A994333" w:rsidR="00F56C47" w:rsidRPr="00F56C47" w:rsidRDefault="002B7924" w:rsidP="00741A93">
      <w:pPr>
        <w:widowControl/>
        <w:spacing w:line="400" w:lineRule="exact"/>
        <w:ind w:firstLineChars="200" w:firstLine="480"/>
        <w:rPr>
          <w:rFonts w:ascii="仿宋" w:eastAsia="仿宋" w:hAnsi="仿宋"/>
          <w:sz w:val="24"/>
          <w:szCs w:val="24"/>
        </w:rPr>
      </w:pPr>
      <w:r w:rsidRPr="009F7C55">
        <w:rPr>
          <w:rFonts w:ascii="仿宋" w:eastAsia="仿宋" w:hAnsi="仿宋"/>
          <w:sz w:val="24"/>
          <w:szCs w:val="24"/>
        </w:rPr>
        <w:t>此外，</w:t>
      </w:r>
      <w:r w:rsidR="009F7C55" w:rsidRPr="009F7C55">
        <w:rPr>
          <w:rFonts w:ascii="仿宋" w:eastAsia="仿宋" w:hAnsi="仿宋"/>
          <w:sz w:val="24"/>
          <w:szCs w:val="24"/>
        </w:rPr>
        <w:t>工商银行</w:t>
      </w:r>
      <w:r w:rsidR="009F7C55" w:rsidRPr="009F7C55">
        <w:rPr>
          <w:rFonts w:ascii="仿宋" w:eastAsia="仿宋" w:hAnsi="仿宋" w:hint="eastAsia"/>
          <w:sz w:val="24"/>
          <w:szCs w:val="24"/>
        </w:rPr>
        <w:t>为</w:t>
      </w:r>
      <w:proofErr w:type="gramStart"/>
      <w:r w:rsidR="009F7C55" w:rsidRPr="009F7C55">
        <w:rPr>
          <w:rFonts w:ascii="仿宋" w:eastAsia="仿宋" w:hAnsi="仿宋" w:hint="eastAsia"/>
          <w:sz w:val="24"/>
          <w:szCs w:val="24"/>
        </w:rPr>
        <w:t>上海市首单国企</w:t>
      </w:r>
      <w:proofErr w:type="gramEnd"/>
      <w:r w:rsidR="009F7C55" w:rsidRPr="009F7C55">
        <w:rPr>
          <w:rFonts w:ascii="仿宋" w:eastAsia="仿宋" w:hAnsi="仿宋" w:hint="eastAsia"/>
          <w:sz w:val="24"/>
          <w:szCs w:val="24"/>
        </w:rPr>
        <w:t>收购存量商品房</w:t>
      </w:r>
      <w:proofErr w:type="gramStart"/>
      <w:r w:rsidR="009F7C55" w:rsidRPr="009F7C55">
        <w:rPr>
          <w:rFonts w:ascii="仿宋" w:eastAsia="仿宋" w:hAnsi="仿宋" w:hint="eastAsia"/>
          <w:sz w:val="24"/>
          <w:szCs w:val="24"/>
        </w:rPr>
        <w:t>转保障</w:t>
      </w:r>
      <w:proofErr w:type="gramEnd"/>
      <w:r w:rsidR="009F7C55" w:rsidRPr="009F7C55">
        <w:rPr>
          <w:rFonts w:ascii="仿宋" w:eastAsia="仿宋" w:hAnsi="仿宋" w:hint="eastAsia"/>
          <w:sz w:val="24"/>
          <w:szCs w:val="24"/>
        </w:rPr>
        <w:t>性租赁住房成功发放购置贷款逾6亿元</w:t>
      </w:r>
      <w:r w:rsidR="00F56C47" w:rsidRPr="009F7C55">
        <w:rPr>
          <w:rFonts w:ascii="仿宋" w:eastAsia="仿宋" w:hAnsi="仿宋" w:hint="eastAsia"/>
          <w:sz w:val="24"/>
          <w:szCs w:val="24"/>
        </w:rPr>
        <w:t>。滁州</w:t>
      </w:r>
      <w:r w:rsidR="009F7C55" w:rsidRPr="009F7C55">
        <w:rPr>
          <w:rFonts w:ascii="仿宋" w:eastAsia="仿宋" w:hAnsi="仿宋" w:hint="eastAsia"/>
          <w:sz w:val="24"/>
          <w:szCs w:val="24"/>
        </w:rPr>
        <w:t>落地全省首</w:t>
      </w:r>
      <w:proofErr w:type="gramStart"/>
      <w:r w:rsidR="009F7C55" w:rsidRPr="009F7C55">
        <w:rPr>
          <w:rFonts w:ascii="仿宋" w:eastAsia="仿宋" w:hAnsi="仿宋" w:hint="eastAsia"/>
          <w:sz w:val="24"/>
          <w:szCs w:val="24"/>
        </w:rPr>
        <w:t>单人才房再</w:t>
      </w:r>
      <w:proofErr w:type="gramEnd"/>
      <w:r w:rsidR="009F7C55" w:rsidRPr="009F7C55">
        <w:rPr>
          <w:rFonts w:ascii="仿宋" w:eastAsia="仿宋" w:hAnsi="仿宋" w:hint="eastAsia"/>
          <w:sz w:val="24"/>
          <w:szCs w:val="24"/>
        </w:rPr>
        <w:t>贷款</w:t>
      </w:r>
      <w:r w:rsidR="009F7C55">
        <w:rPr>
          <w:rFonts w:ascii="仿宋" w:eastAsia="仿宋" w:hAnsi="仿宋" w:hint="eastAsia"/>
          <w:sz w:val="24"/>
          <w:szCs w:val="24"/>
        </w:rPr>
        <w:t>，</w:t>
      </w:r>
      <w:r w:rsidR="009F7C55" w:rsidRPr="009F7C55">
        <w:rPr>
          <w:rFonts w:ascii="仿宋" w:eastAsia="仿宋" w:hAnsi="仿宋" w:hint="eastAsia"/>
          <w:sz w:val="24"/>
          <w:szCs w:val="24"/>
        </w:rPr>
        <w:t>浦发银行滁州分行向当</w:t>
      </w:r>
      <w:r w:rsidR="009F7C55" w:rsidRPr="009F7C55">
        <w:rPr>
          <w:rFonts w:ascii="仿宋" w:eastAsia="仿宋" w:hAnsi="仿宋" w:hint="eastAsia"/>
          <w:sz w:val="24"/>
          <w:szCs w:val="24"/>
        </w:rPr>
        <w:lastRenderedPageBreak/>
        <w:t>地收购主体授信2亿元，首批发放1.74亿元住房租赁团体购房贷款，期限30年，利率低至2.96%，专项用于收购336套存量商品房，将其转化为人才租赁住房。</w:t>
      </w:r>
    </w:p>
    <w:p w14:paraId="221104D4" w14:textId="77777777" w:rsidR="00F56C47" w:rsidRPr="00464938" w:rsidRDefault="00F56C47" w:rsidP="00741A93">
      <w:pPr>
        <w:widowControl/>
        <w:spacing w:line="400" w:lineRule="exact"/>
        <w:ind w:firstLineChars="200" w:firstLine="482"/>
        <w:rPr>
          <w:rFonts w:ascii="仿宋" w:eastAsia="仿宋" w:hAnsi="仿宋"/>
          <w:b/>
          <w:sz w:val="24"/>
          <w:szCs w:val="24"/>
        </w:rPr>
      </w:pPr>
      <w:r w:rsidRPr="00464938">
        <w:rPr>
          <w:rFonts w:ascii="仿宋" w:eastAsia="仿宋" w:hAnsi="仿宋" w:hint="eastAsia"/>
          <w:b/>
          <w:sz w:val="24"/>
          <w:szCs w:val="24"/>
        </w:rPr>
        <w:t>（二）REITs：存量资产盘活的核心金融工具</w:t>
      </w:r>
    </w:p>
    <w:p w14:paraId="648074BB" w14:textId="61FBE90C" w:rsidR="00F56C47" w:rsidRPr="00F56C47" w:rsidRDefault="00F56C47" w:rsidP="00741A93">
      <w:pPr>
        <w:widowControl/>
        <w:spacing w:line="400" w:lineRule="exact"/>
        <w:ind w:firstLineChars="200" w:firstLine="480"/>
        <w:rPr>
          <w:rFonts w:ascii="仿宋" w:eastAsia="仿宋" w:hAnsi="仿宋"/>
          <w:sz w:val="24"/>
          <w:szCs w:val="24"/>
        </w:rPr>
      </w:pPr>
      <w:r w:rsidRPr="00F56C47">
        <w:rPr>
          <w:rFonts w:ascii="仿宋" w:eastAsia="仿宋" w:hAnsi="仿宋" w:hint="eastAsia"/>
          <w:sz w:val="24"/>
          <w:szCs w:val="24"/>
        </w:rPr>
        <w:t>REITs被认为是盘活保租房存量资产的核心金融工具。其运作逻辑在于：将已建成运营的保租房项目通过证券</w:t>
      </w:r>
      <w:r w:rsidR="00D31E08">
        <w:rPr>
          <w:rFonts w:ascii="仿宋" w:eastAsia="仿宋" w:hAnsi="仿宋" w:hint="eastAsia"/>
          <w:sz w:val="24"/>
          <w:szCs w:val="24"/>
        </w:rPr>
        <w:t>化方式在资本市场发行上市，原始权益人（如地方国企）实现</w:t>
      </w:r>
      <w:r w:rsidRPr="00F56C47">
        <w:rPr>
          <w:rFonts w:ascii="仿宋" w:eastAsia="仿宋" w:hAnsi="仿宋" w:hint="eastAsia"/>
          <w:sz w:val="24"/>
          <w:szCs w:val="24"/>
        </w:rPr>
        <w:t>资金回笼，回收资金可用于新的保障房项目投资，形成“投资—建设—运营—退出—再投资”的</w:t>
      </w:r>
      <w:r w:rsidR="000132D9" w:rsidRPr="000132D9">
        <w:rPr>
          <w:rFonts w:ascii="仿宋" w:eastAsia="仿宋" w:hAnsi="仿宋" w:hint="eastAsia"/>
          <w:sz w:val="24"/>
          <w:szCs w:val="24"/>
        </w:rPr>
        <w:t>闭环，真正实现了“金融+实业”的良性循环</w:t>
      </w:r>
      <w:r w:rsidRPr="00F56C47">
        <w:rPr>
          <w:rFonts w:ascii="仿宋" w:eastAsia="仿宋" w:hAnsi="仿宋" w:hint="eastAsia"/>
          <w:sz w:val="24"/>
          <w:szCs w:val="24"/>
        </w:rPr>
        <w:t>。</w:t>
      </w:r>
    </w:p>
    <w:p w14:paraId="718F5F88" w14:textId="07CF99C9" w:rsidR="00AE7481" w:rsidRDefault="00FE3424"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根据预警通显示，</w:t>
      </w:r>
      <w:r w:rsidR="00F56C47" w:rsidRPr="00F56C47">
        <w:rPr>
          <w:rFonts w:ascii="仿宋" w:eastAsia="仿宋" w:hAnsi="仿宋" w:hint="eastAsia"/>
          <w:sz w:val="24"/>
          <w:szCs w:val="24"/>
        </w:rPr>
        <w:t>截至2025年末，已上市8只保租房</w:t>
      </w:r>
      <w:r>
        <w:rPr>
          <w:rFonts w:ascii="仿宋" w:eastAsia="仿宋" w:hAnsi="仿宋" w:hint="eastAsia"/>
          <w:sz w:val="24"/>
          <w:szCs w:val="24"/>
        </w:rPr>
        <w:t>/公租房</w:t>
      </w:r>
      <w:r w:rsidR="00F56C47" w:rsidRPr="00F56C47">
        <w:rPr>
          <w:rFonts w:ascii="仿宋" w:eastAsia="仿宋" w:hAnsi="仿宋" w:hint="eastAsia"/>
          <w:sz w:val="24"/>
          <w:szCs w:val="24"/>
        </w:rPr>
        <w:t>REITs</w:t>
      </w:r>
      <w:r>
        <w:rPr>
          <w:rFonts w:ascii="仿宋" w:eastAsia="仿宋" w:hAnsi="仿宋"/>
          <w:sz w:val="24"/>
          <w:szCs w:val="24"/>
        </w:rPr>
        <w:t>，成立时间均在</w:t>
      </w:r>
      <w:r>
        <w:rPr>
          <w:rFonts w:ascii="仿宋" w:eastAsia="仿宋" w:hAnsi="仿宋" w:hint="eastAsia"/>
          <w:sz w:val="24"/>
          <w:szCs w:val="24"/>
        </w:rPr>
        <w:t>2</w:t>
      </w:r>
      <w:r>
        <w:rPr>
          <w:rFonts w:ascii="仿宋" w:eastAsia="仿宋" w:hAnsi="仿宋"/>
          <w:sz w:val="24"/>
          <w:szCs w:val="24"/>
        </w:rPr>
        <w:t>022年以来，项目</w:t>
      </w:r>
      <w:r w:rsidR="00F56C47" w:rsidRPr="00F56C47">
        <w:rPr>
          <w:rFonts w:ascii="仿宋" w:eastAsia="仿宋" w:hAnsi="仿宋" w:hint="eastAsia"/>
          <w:sz w:val="24"/>
          <w:szCs w:val="24"/>
        </w:rPr>
        <w:t>表现良好，</w:t>
      </w:r>
      <w:r w:rsidR="00F85C3C">
        <w:rPr>
          <w:rFonts w:ascii="仿宋" w:eastAsia="仿宋" w:hAnsi="仿宋" w:hint="eastAsia"/>
          <w:sz w:val="24"/>
          <w:szCs w:val="24"/>
        </w:rPr>
        <w:t>8只产品</w:t>
      </w:r>
      <w:r>
        <w:rPr>
          <w:rFonts w:ascii="仿宋" w:eastAsia="仿宋" w:hAnsi="仿宋" w:hint="eastAsia"/>
          <w:sz w:val="24"/>
          <w:szCs w:val="24"/>
        </w:rPr>
        <w:t>的2</w:t>
      </w:r>
      <w:r>
        <w:rPr>
          <w:rFonts w:ascii="仿宋" w:eastAsia="仿宋" w:hAnsi="仿宋"/>
          <w:sz w:val="24"/>
          <w:szCs w:val="24"/>
        </w:rPr>
        <w:t>025年年度报告显示，</w:t>
      </w:r>
      <w:r w:rsidR="00F85C3C">
        <w:rPr>
          <w:rFonts w:ascii="仿宋" w:eastAsia="仿宋" w:hAnsi="仿宋" w:hint="eastAsia"/>
          <w:sz w:val="24"/>
          <w:szCs w:val="24"/>
        </w:rPr>
        <w:t>整体出租率均维持在9</w:t>
      </w:r>
      <w:r w:rsidR="00F85C3C">
        <w:rPr>
          <w:rFonts w:ascii="仿宋" w:eastAsia="仿宋" w:hAnsi="仿宋"/>
          <w:sz w:val="24"/>
          <w:szCs w:val="24"/>
        </w:rPr>
        <w:t>0%以上</w:t>
      </w:r>
      <w:r w:rsidR="0064509B">
        <w:rPr>
          <w:rFonts w:ascii="仿宋" w:eastAsia="仿宋" w:hAnsi="仿宋"/>
          <w:sz w:val="24"/>
          <w:szCs w:val="24"/>
        </w:rPr>
        <w:t>，募集规模合计</w:t>
      </w:r>
      <w:r w:rsidR="0064509B">
        <w:rPr>
          <w:rFonts w:ascii="仿宋" w:eastAsia="仿宋" w:hAnsi="仿宋" w:hint="eastAsia"/>
          <w:sz w:val="24"/>
          <w:szCs w:val="24"/>
        </w:rPr>
        <w:t>1</w:t>
      </w:r>
      <w:r w:rsidR="0064509B">
        <w:rPr>
          <w:rFonts w:ascii="仿宋" w:eastAsia="仿宋" w:hAnsi="仿宋"/>
          <w:sz w:val="24"/>
          <w:szCs w:val="24"/>
        </w:rPr>
        <w:t>21.47亿元</w:t>
      </w:r>
      <w:r w:rsidR="00F85C3C">
        <w:rPr>
          <w:rFonts w:ascii="仿宋" w:eastAsia="仿宋" w:hAnsi="仿宋"/>
          <w:sz w:val="24"/>
          <w:szCs w:val="24"/>
        </w:rPr>
        <w:t>。</w:t>
      </w:r>
      <w:r w:rsidR="00F56C47" w:rsidRPr="00F56C47">
        <w:rPr>
          <w:rFonts w:ascii="仿宋" w:eastAsia="仿宋" w:hAnsi="仿宋" w:hint="eastAsia"/>
          <w:sz w:val="24"/>
          <w:szCs w:val="24"/>
        </w:rPr>
        <w:t>在首发市场持续扩容的同时，扩</w:t>
      </w:r>
      <w:proofErr w:type="gramStart"/>
      <w:r w:rsidR="00F56C47" w:rsidRPr="00F56C47">
        <w:rPr>
          <w:rFonts w:ascii="仿宋" w:eastAsia="仿宋" w:hAnsi="仿宋" w:hint="eastAsia"/>
          <w:sz w:val="24"/>
          <w:szCs w:val="24"/>
        </w:rPr>
        <w:t>募机制</w:t>
      </w:r>
      <w:proofErr w:type="gramEnd"/>
      <w:r w:rsidR="00F56C47" w:rsidRPr="00F56C47">
        <w:rPr>
          <w:rFonts w:ascii="仿宋" w:eastAsia="仿宋" w:hAnsi="仿宋" w:hint="eastAsia"/>
          <w:sz w:val="24"/>
          <w:szCs w:val="24"/>
        </w:rPr>
        <w:t>也取得重大突破。2026年1月，</w:t>
      </w:r>
      <w:r w:rsidR="00E83B2E" w:rsidRPr="00E83B2E">
        <w:rPr>
          <w:rFonts w:ascii="仿宋" w:eastAsia="仿宋" w:hAnsi="仿宋" w:hint="eastAsia"/>
          <w:sz w:val="24"/>
          <w:szCs w:val="24"/>
        </w:rPr>
        <w:t>华夏</w:t>
      </w:r>
      <w:proofErr w:type="gramStart"/>
      <w:r w:rsidR="00E83B2E" w:rsidRPr="00E83B2E">
        <w:rPr>
          <w:rFonts w:ascii="仿宋" w:eastAsia="仿宋" w:hAnsi="仿宋" w:hint="eastAsia"/>
          <w:sz w:val="24"/>
          <w:szCs w:val="24"/>
        </w:rPr>
        <w:t>基金华</w:t>
      </w:r>
      <w:proofErr w:type="gramEnd"/>
      <w:r w:rsidR="00E83B2E" w:rsidRPr="00E83B2E">
        <w:rPr>
          <w:rFonts w:ascii="仿宋" w:eastAsia="仿宋" w:hAnsi="仿宋" w:hint="eastAsia"/>
          <w:sz w:val="24"/>
          <w:szCs w:val="24"/>
        </w:rPr>
        <w:t>润有巢</w:t>
      </w:r>
      <w:r w:rsidR="00E83B2E">
        <w:rPr>
          <w:rFonts w:ascii="仿宋" w:eastAsia="仿宋" w:hAnsi="仿宋" w:hint="eastAsia"/>
          <w:sz w:val="24"/>
          <w:szCs w:val="24"/>
        </w:rPr>
        <w:t>REIT</w:t>
      </w:r>
      <w:r w:rsidR="00F56C47" w:rsidRPr="00F56C47">
        <w:rPr>
          <w:rFonts w:ascii="仿宋" w:eastAsia="仿宋" w:hAnsi="仿宋" w:hint="eastAsia"/>
          <w:sz w:val="24"/>
          <w:szCs w:val="24"/>
        </w:rPr>
        <w:t>首次采用向</w:t>
      </w:r>
      <w:proofErr w:type="gramStart"/>
      <w:r w:rsidR="00F56C47" w:rsidRPr="00F56C47">
        <w:rPr>
          <w:rFonts w:ascii="仿宋" w:eastAsia="仿宋" w:hAnsi="仿宋" w:hint="eastAsia"/>
          <w:sz w:val="24"/>
          <w:szCs w:val="24"/>
        </w:rPr>
        <w:t>原基金</w:t>
      </w:r>
      <w:proofErr w:type="gramEnd"/>
      <w:r w:rsidR="00F56C47" w:rsidRPr="00F56C47">
        <w:rPr>
          <w:rFonts w:ascii="仿宋" w:eastAsia="仿宋" w:hAnsi="仿宋" w:hint="eastAsia"/>
          <w:sz w:val="24"/>
          <w:szCs w:val="24"/>
        </w:rPr>
        <w:t>份额持有人配售的方式募集逾11亿元资金，</w:t>
      </w:r>
      <w:r w:rsidR="008B1C3F" w:rsidRPr="008B1C3F">
        <w:rPr>
          <w:rFonts w:ascii="仿宋" w:eastAsia="仿宋" w:hAnsi="仿宋" w:hint="eastAsia"/>
          <w:sz w:val="24"/>
          <w:szCs w:val="24"/>
        </w:rPr>
        <w:t>用于收购上海闵行区有巢马</w:t>
      </w:r>
      <w:proofErr w:type="gramStart"/>
      <w:r w:rsidR="008B1C3F" w:rsidRPr="008B1C3F">
        <w:rPr>
          <w:rFonts w:ascii="仿宋" w:eastAsia="仿宋" w:hAnsi="仿宋" w:hint="eastAsia"/>
          <w:sz w:val="24"/>
          <w:szCs w:val="24"/>
        </w:rPr>
        <w:t>桥保障</w:t>
      </w:r>
      <w:proofErr w:type="gramEnd"/>
      <w:r w:rsidR="008B1C3F" w:rsidRPr="008B1C3F">
        <w:rPr>
          <w:rFonts w:ascii="仿宋" w:eastAsia="仿宋" w:hAnsi="仿宋" w:hint="eastAsia"/>
          <w:sz w:val="24"/>
          <w:szCs w:val="24"/>
        </w:rPr>
        <w:t>性租赁住房项目</w:t>
      </w:r>
      <w:r w:rsidR="00F56C47" w:rsidRPr="00F56C47">
        <w:rPr>
          <w:rFonts w:ascii="仿宋" w:eastAsia="仿宋" w:hAnsi="仿宋" w:hint="eastAsia"/>
          <w:sz w:val="24"/>
          <w:szCs w:val="24"/>
        </w:rPr>
        <w:t>，成为全市场首单向原持有人配售的扩募实践。交易完成后，基金底层资产实现对上海松江、闵行两大核心产业集聚区的完整布局</w:t>
      </w:r>
      <w:r w:rsidR="00481E73">
        <w:rPr>
          <w:rFonts w:ascii="仿宋" w:eastAsia="仿宋" w:hAnsi="仿宋"/>
          <w:sz w:val="24"/>
          <w:szCs w:val="24"/>
        </w:rPr>
        <w:t>，既</w:t>
      </w:r>
      <w:r w:rsidR="00F56C47" w:rsidRPr="00F56C47">
        <w:rPr>
          <w:rFonts w:ascii="仿宋" w:eastAsia="仿宋" w:hAnsi="仿宋" w:hint="eastAsia"/>
          <w:sz w:val="24"/>
          <w:szCs w:val="24"/>
        </w:rPr>
        <w:t>为存量REITs持有人提供了优先配置权，</w:t>
      </w:r>
      <w:r w:rsidR="00481E73">
        <w:rPr>
          <w:rFonts w:ascii="仿宋" w:eastAsia="仿宋" w:hAnsi="仿宋"/>
          <w:sz w:val="24"/>
          <w:szCs w:val="24"/>
        </w:rPr>
        <w:t>又</w:t>
      </w:r>
      <w:r w:rsidR="00F56C47" w:rsidRPr="00F56C47">
        <w:rPr>
          <w:rFonts w:ascii="仿宋" w:eastAsia="仿宋" w:hAnsi="仿宋" w:hint="eastAsia"/>
          <w:sz w:val="24"/>
          <w:szCs w:val="24"/>
        </w:rPr>
        <w:t>实现了存量资产与增量资金的有效对接。</w:t>
      </w:r>
    </w:p>
    <w:p w14:paraId="0ECD3A77" w14:textId="27068BAB" w:rsidR="00625DA1" w:rsidRPr="00625DA1" w:rsidRDefault="002212D2"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再如，</w:t>
      </w:r>
      <w:r w:rsidRPr="002212D2">
        <w:rPr>
          <w:rFonts w:ascii="仿宋" w:eastAsia="仿宋" w:hAnsi="仿宋" w:hint="eastAsia"/>
          <w:sz w:val="24"/>
          <w:szCs w:val="24"/>
        </w:rPr>
        <w:t>深圳市安居集团有限公司</w:t>
      </w:r>
      <w:r w:rsidR="00F56C47" w:rsidRPr="00F56C47">
        <w:rPr>
          <w:rFonts w:ascii="仿宋" w:eastAsia="仿宋" w:hAnsi="仿宋" w:hint="eastAsia"/>
          <w:sz w:val="24"/>
          <w:szCs w:val="24"/>
        </w:rPr>
        <w:t>在构建多层次REITs</w:t>
      </w:r>
      <w:r w:rsidR="0094285E">
        <w:rPr>
          <w:rFonts w:ascii="仿宋" w:eastAsia="仿宋" w:hAnsi="仿宋" w:hint="eastAsia"/>
          <w:sz w:val="24"/>
          <w:szCs w:val="24"/>
        </w:rPr>
        <w:t>体系方面走在行业前列，</w:t>
      </w:r>
      <w:r w:rsidR="003F055B" w:rsidRPr="003F055B">
        <w:rPr>
          <w:rFonts w:ascii="仿宋" w:eastAsia="仿宋" w:hAnsi="仿宋" w:hint="eastAsia"/>
          <w:sz w:val="24"/>
          <w:szCs w:val="24"/>
        </w:rPr>
        <w:t>红土创新深圳安居</w:t>
      </w:r>
      <w:r w:rsidR="003F055B">
        <w:rPr>
          <w:rFonts w:ascii="仿宋" w:eastAsia="仿宋" w:hAnsi="仿宋" w:hint="eastAsia"/>
          <w:sz w:val="24"/>
          <w:szCs w:val="24"/>
        </w:rPr>
        <w:t>REIT</w:t>
      </w:r>
      <w:r w:rsidR="0094285E" w:rsidRPr="0094285E">
        <w:rPr>
          <w:rFonts w:ascii="仿宋" w:eastAsia="仿宋" w:hAnsi="仿宋" w:hint="eastAsia"/>
          <w:sz w:val="24"/>
          <w:szCs w:val="24"/>
        </w:rPr>
        <w:t>作为首批保租房公募REITs于2022年8</w:t>
      </w:r>
      <w:r w:rsidR="001E7950">
        <w:rPr>
          <w:rFonts w:ascii="仿宋" w:eastAsia="仿宋" w:hAnsi="仿宋" w:hint="eastAsia"/>
          <w:sz w:val="24"/>
          <w:szCs w:val="24"/>
        </w:rPr>
        <w:t>月上市；</w:t>
      </w:r>
      <w:r w:rsidR="003F055B">
        <w:rPr>
          <w:rFonts w:ascii="仿宋" w:eastAsia="仿宋" w:hAnsi="仿宋" w:hint="eastAsia"/>
          <w:sz w:val="24"/>
          <w:szCs w:val="24"/>
        </w:rPr>
        <w:t>之后</w:t>
      </w:r>
      <w:r w:rsidR="001E7950">
        <w:rPr>
          <w:rFonts w:ascii="仿宋" w:eastAsia="仿宋" w:hAnsi="仿宋" w:hint="eastAsia"/>
          <w:sz w:val="24"/>
          <w:szCs w:val="24"/>
        </w:rPr>
        <w:t>该集团</w:t>
      </w:r>
      <w:r w:rsidR="003F055B">
        <w:rPr>
          <w:rFonts w:ascii="仿宋" w:eastAsia="仿宋" w:hAnsi="仿宋" w:hint="eastAsia"/>
          <w:sz w:val="24"/>
          <w:szCs w:val="24"/>
        </w:rPr>
        <w:t>在</w:t>
      </w:r>
      <w:r w:rsidR="0094285E" w:rsidRPr="0094285E">
        <w:rPr>
          <w:rFonts w:ascii="仿宋" w:eastAsia="仿宋" w:hAnsi="仿宋" w:hint="eastAsia"/>
          <w:sz w:val="24"/>
          <w:szCs w:val="24"/>
        </w:rPr>
        <w:t>2024</w:t>
      </w:r>
      <w:r w:rsidR="0043216A" w:rsidRPr="0043216A">
        <w:rPr>
          <w:rFonts w:ascii="仿宋" w:eastAsia="仿宋" w:hAnsi="仿宋" w:hint="eastAsia"/>
          <w:sz w:val="24"/>
          <w:szCs w:val="24"/>
        </w:rPr>
        <w:t>～</w:t>
      </w:r>
      <w:r w:rsidR="003F055B">
        <w:rPr>
          <w:rFonts w:ascii="仿宋" w:eastAsia="仿宋" w:hAnsi="仿宋"/>
          <w:sz w:val="24"/>
          <w:szCs w:val="24"/>
        </w:rPr>
        <w:t>2025年间又</w:t>
      </w:r>
      <w:r w:rsidR="0094285E" w:rsidRPr="0094285E">
        <w:rPr>
          <w:rFonts w:ascii="仿宋" w:eastAsia="仿宋" w:hAnsi="仿宋" w:hint="eastAsia"/>
          <w:sz w:val="24"/>
          <w:szCs w:val="24"/>
        </w:rPr>
        <w:t>发行50亿元租赁住房类REITs</w:t>
      </w:r>
      <w:proofErr w:type="gramStart"/>
      <w:r w:rsidR="003F055B">
        <w:rPr>
          <w:rFonts w:ascii="仿宋" w:eastAsia="仿宋" w:hAnsi="仿宋" w:hint="eastAsia"/>
          <w:sz w:val="24"/>
          <w:szCs w:val="24"/>
        </w:rPr>
        <w:t>储架中</w:t>
      </w:r>
      <w:proofErr w:type="gramEnd"/>
      <w:r w:rsidR="003F055B">
        <w:rPr>
          <w:rFonts w:ascii="仿宋" w:eastAsia="仿宋" w:hAnsi="仿宋" w:hint="eastAsia"/>
          <w:sz w:val="24"/>
          <w:szCs w:val="24"/>
        </w:rPr>
        <w:t>的四期</w:t>
      </w:r>
      <w:r w:rsidR="0094285E" w:rsidRPr="0094285E">
        <w:rPr>
          <w:rFonts w:ascii="仿宋" w:eastAsia="仿宋" w:hAnsi="仿宋" w:hint="eastAsia"/>
          <w:sz w:val="24"/>
          <w:szCs w:val="24"/>
        </w:rPr>
        <w:t>产品</w:t>
      </w:r>
      <w:r w:rsidR="001E7950">
        <w:rPr>
          <w:rFonts w:ascii="仿宋" w:eastAsia="仿宋" w:hAnsi="仿宋" w:hint="eastAsia"/>
          <w:sz w:val="24"/>
          <w:szCs w:val="24"/>
        </w:rPr>
        <w:t>，</w:t>
      </w:r>
      <w:r w:rsidR="003F055B">
        <w:rPr>
          <w:rFonts w:ascii="仿宋" w:eastAsia="仿宋" w:hAnsi="仿宋" w:hint="eastAsia"/>
          <w:sz w:val="24"/>
          <w:szCs w:val="24"/>
        </w:rPr>
        <w:t>金额合计4</w:t>
      </w:r>
      <w:r w:rsidR="003F055B">
        <w:rPr>
          <w:rFonts w:ascii="仿宋" w:eastAsia="仿宋" w:hAnsi="仿宋"/>
          <w:sz w:val="24"/>
          <w:szCs w:val="24"/>
        </w:rPr>
        <w:t>7.41亿元</w:t>
      </w:r>
      <w:r w:rsidR="001E7950">
        <w:rPr>
          <w:rFonts w:ascii="仿宋" w:eastAsia="仿宋" w:hAnsi="仿宋" w:hint="eastAsia"/>
          <w:sz w:val="24"/>
          <w:szCs w:val="24"/>
        </w:rPr>
        <w:t>。</w:t>
      </w:r>
      <w:r w:rsidR="00F56C47" w:rsidRPr="00F56C47">
        <w:rPr>
          <w:rFonts w:ascii="仿宋" w:eastAsia="仿宋" w:hAnsi="仿宋" w:hint="eastAsia"/>
          <w:sz w:val="24"/>
          <w:szCs w:val="24"/>
        </w:rPr>
        <w:t>该集团</w:t>
      </w:r>
      <w:r w:rsidR="00D31E08">
        <w:rPr>
          <w:rFonts w:ascii="仿宋" w:eastAsia="仿宋" w:hAnsi="仿宋" w:hint="eastAsia"/>
          <w:sz w:val="24"/>
          <w:szCs w:val="24"/>
        </w:rPr>
        <w:t>“</w:t>
      </w:r>
      <w:r w:rsidR="00D31E08" w:rsidRPr="00D31E08">
        <w:rPr>
          <w:rFonts w:ascii="仿宋" w:eastAsia="仿宋" w:hAnsi="仿宋" w:hint="eastAsia"/>
          <w:sz w:val="24"/>
          <w:szCs w:val="24"/>
        </w:rPr>
        <w:t>十四五</w:t>
      </w:r>
      <w:r w:rsidR="00D31E08">
        <w:rPr>
          <w:rFonts w:ascii="仿宋" w:eastAsia="仿宋" w:hAnsi="仿宋" w:hint="eastAsia"/>
          <w:sz w:val="24"/>
          <w:szCs w:val="24"/>
        </w:rPr>
        <w:t>”</w:t>
      </w:r>
      <w:r w:rsidR="00D31E08" w:rsidRPr="00D31E08">
        <w:rPr>
          <w:rFonts w:ascii="仿宋" w:eastAsia="仿宋" w:hAnsi="仿宋" w:hint="eastAsia"/>
          <w:sz w:val="24"/>
          <w:szCs w:val="24"/>
        </w:rPr>
        <w:t>期间累计建设筹集保障性住房约32万套，占全市同期总量三分之一</w:t>
      </w:r>
      <w:r w:rsidR="00D31E08">
        <w:rPr>
          <w:rFonts w:ascii="仿宋" w:eastAsia="仿宋" w:hAnsi="仿宋" w:hint="eastAsia"/>
          <w:sz w:val="24"/>
          <w:szCs w:val="24"/>
        </w:rPr>
        <w:t>，旨在</w:t>
      </w:r>
      <w:r w:rsidR="00D31E08" w:rsidRPr="00D31E08">
        <w:rPr>
          <w:rFonts w:ascii="仿宋" w:eastAsia="仿宋" w:hAnsi="仿宋" w:hint="eastAsia"/>
          <w:sz w:val="24"/>
          <w:szCs w:val="24"/>
        </w:rPr>
        <w:t>通过创新合作模式盘活存量资源，构建多层次REITs体系推动可持续发展。</w:t>
      </w:r>
      <w:r w:rsidR="00AE7481">
        <w:rPr>
          <w:rFonts w:ascii="仿宋" w:eastAsia="仿宋" w:hAnsi="仿宋"/>
          <w:sz w:val="24"/>
          <w:szCs w:val="24"/>
        </w:rPr>
        <w:t>总之，</w:t>
      </w:r>
      <w:r w:rsidR="00F56C47" w:rsidRPr="00F56C47">
        <w:rPr>
          <w:rFonts w:ascii="仿宋" w:eastAsia="仿宋" w:hAnsi="仿宋" w:hint="eastAsia"/>
          <w:sz w:val="24"/>
          <w:szCs w:val="24"/>
        </w:rPr>
        <w:t>保租房REITs</w:t>
      </w:r>
      <w:r w:rsidR="001E7950">
        <w:rPr>
          <w:rFonts w:ascii="仿宋" w:eastAsia="仿宋" w:hAnsi="仿宋" w:hint="eastAsia"/>
          <w:sz w:val="24"/>
          <w:szCs w:val="24"/>
        </w:rPr>
        <w:t>已成为盘活存量资产、服务民生需求的核心载体，推动保租房从单纯的民生工程向可盈利、可循环</w:t>
      </w:r>
      <w:r w:rsidR="00F56C47" w:rsidRPr="00F56C47">
        <w:rPr>
          <w:rFonts w:ascii="仿宋" w:eastAsia="仿宋" w:hAnsi="仿宋" w:hint="eastAsia"/>
          <w:sz w:val="24"/>
          <w:szCs w:val="24"/>
        </w:rPr>
        <w:t>的市场化业务转型。</w:t>
      </w:r>
    </w:p>
    <w:p w14:paraId="666AC376" w14:textId="4128F42A" w:rsidR="001E2E6B" w:rsidRDefault="00625DA1" w:rsidP="00027A32">
      <w:pPr>
        <w:adjustRightInd w:val="0"/>
        <w:spacing w:beforeLines="50" w:before="156" w:afterLines="50" w:after="156" w:line="400" w:lineRule="exact"/>
        <w:outlineLvl w:val="0"/>
        <w:rPr>
          <w:rFonts w:ascii="黑体" w:eastAsia="黑体" w:hAnsi="黑体" w:cs="Times New Roman"/>
          <w:b/>
          <w:color w:val="C00000"/>
          <w:sz w:val="28"/>
          <w:szCs w:val="28"/>
        </w:rPr>
      </w:pPr>
      <w:r w:rsidRPr="00625DA1">
        <w:rPr>
          <w:rFonts w:ascii="黑体" w:eastAsia="黑体" w:hAnsi="黑体" w:cs="Times New Roman" w:hint="eastAsia"/>
          <w:b/>
          <w:color w:val="C00000"/>
          <w:sz w:val="28"/>
          <w:szCs w:val="28"/>
        </w:rPr>
        <w:t>三、</w:t>
      </w:r>
      <w:r w:rsidR="00AE7481" w:rsidRPr="00AE7481">
        <w:rPr>
          <w:rFonts w:ascii="黑体" w:eastAsia="黑体" w:hAnsi="黑体" w:cs="Times New Roman" w:hint="eastAsia"/>
          <w:b/>
          <w:color w:val="C00000"/>
          <w:sz w:val="28"/>
          <w:szCs w:val="28"/>
        </w:rPr>
        <w:t>保障性租赁住房存量资产盘活</w:t>
      </w:r>
      <w:r w:rsidR="00AE7481">
        <w:rPr>
          <w:rFonts w:ascii="黑体" w:eastAsia="黑体" w:hAnsi="黑体" w:cs="Times New Roman" w:hint="eastAsia"/>
          <w:b/>
          <w:color w:val="C00000"/>
          <w:sz w:val="28"/>
          <w:szCs w:val="28"/>
        </w:rPr>
        <w:t>的建议</w:t>
      </w:r>
    </w:p>
    <w:p w14:paraId="7939613F" w14:textId="16C28511" w:rsidR="00625DA1" w:rsidRDefault="00163BC4" w:rsidP="00741A93">
      <w:pPr>
        <w:widowControl/>
        <w:spacing w:line="400" w:lineRule="exact"/>
        <w:ind w:firstLineChars="200" w:firstLine="480"/>
        <w:rPr>
          <w:rFonts w:ascii="仿宋" w:eastAsia="仿宋" w:hAnsi="仿宋"/>
          <w:sz w:val="24"/>
          <w:szCs w:val="24"/>
        </w:rPr>
      </w:pPr>
      <w:r w:rsidRPr="00163BC4">
        <w:rPr>
          <w:rFonts w:ascii="仿宋" w:eastAsia="仿宋" w:hAnsi="仿宋" w:hint="eastAsia"/>
          <w:sz w:val="24"/>
          <w:szCs w:val="24"/>
        </w:rPr>
        <w:t>尽管存量资产盘活已取得显著进</w:t>
      </w:r>
      <w:r w:rsidR="00C572CD">
        <w:rPr>
          <w:rFonts w:ascii="仿宋" w:eastAsia="仿宋" w:hAnsi="仿宋" w:hint="eastAsia"/>
          <w:sz w:val="24"/>
          <w:szCs w:val="24"/>
        </w:rPr>
        <w:t>展，但实践中仍面临一系列深层次</w:t>
      </w:r>
      <w:r w:rsidR="001045BA">
        <w:rPr>
          <w:rFonts w:ascii="仿宋" w:eastAsia="仿宋" w:hAnsi="仿宋" w:hint="eastAsia"/>
          <w:sz w:val="24"/>
          <w:szCs w:val="24"/>
        </w:rPr>
        <w:t>难题，制约着存量盘活的规模和效率，主要困难仍集中于项目</w:t>
      </w:r>
      <w:r w:rsidR="00CE73D8">
        <w:rPr>
          <w:rFonts w:ascii="仿宋" w:eastAsia="仿宋" w:hAnsi="仿宋"/>
          <w:sz w:val="24"/>
          <w:szCs w:val="24"/>
        </w:rPr>
        <w:t>建立及运营机制</w:t>
      </w:r>
      <w:r w:rsidR="001045BA">
        <w:rPr>
          <w:rFonts w:ascii="仿宋" w:eastAsia="仿宋" w:hAnsi="仿宋" w:hint="eastAsia"/>
          <w:sz w:val="24"/>
          <w:szCs w:val="24"/>
        </w:rPr>
        <w:t>、</w:t>
      </w:r>
      <w:r w:rsidR="00CE73D8">
        <w:rPr>
          <w:rFonts w:ascii="仿宋" w:eastAsia="仿宋" w:hAnsi="仿宋" w:hint="eastAsia"/>
          <w:sz w:val="24"/>
          <w:szCs w:val="24"/>
        </w:rPr>
        <w:t>项目收储定价、</w:t>
      </w:r>
      <w:r w:rsidR="00C7677F">
        <w:rPr>
          <w:rFonts w:ascii="仿宋" w:eastAsia="仿宋" w:hAnsi="仿宋" w:hint="eastAsia"/>
          <w:sz w:val="24"/>
          <w:szCs w:val="24"/>
        </w:rPr>
        <w:t>解决</w:t>
      </w:r>
      <w:r w:rsidR="00C572CD">
        <w:rPr>
          <w:rFonts w:ascii="仿宋" w:eastAsia="仿宋" w:hAnsi="仿宋" w:hint="eastAsia"/>
          <w:sz w:val="24"/>
          <w:szCs w:val="24"/>
        </w:rPr>
        <w:t>资金</w:t>
      </w:r>
      <w:r w:rsidR="00E36226">
        <w:rPr>
          <w:rFonts w:ascii="仿宋" w:eastAsia="仿宋" w:hAnsi="仿宋" w:hint="eastAsia"/>
          <w:sz w:val="24"/>
          <w:szCs w:val="24"/>
        </w:rPr>
        <w:t>需求</w:t>
      </w:r>
      <w:r w:rsidR="00CE73D8">
        <w:rPr>
          <w:rFonts w:ascii="仿宋" w:eastAsia="仿宋" w:hAnsi="仿宋"/>
          <w:sz w:val="24"/>
          <w:szCs w:val="24"/>
        </w:rPr>
        <w:t>以及后续</w:t>
      </w:r>
      <w:r w:rsidR="00C572CD">
        <w:rPr>
          <w:rFonts w:ascii="仿宋" w:eastAsia="仿宋" w:hAnsi="仿宋" w:hint="eastAsia"/>
          <w:sz w:val="24"/>
          <w:szCs w:val="24"/>
        </w:rPr>
        <w:t>运营能力等</w:t>
      </w:r>
      <w:r w:rsidR="001D2C17">
        <w:rPr>
          <w:rFonts w:ascii="仿宋" w:eastAsia="仿宋" w:hAnsi="仿宋" w:hint="eastAsia"/>
          <w:sz w:val="24"/>
          <w:szCs w:val="24"/>
        </w:rPr>
        <w:t>方面</w:t>
      </w:r>
      <w:r w:rsidR="00C572CD">
        <w:rPr>
          <w:rFonts w:ascii="仿宋" w:eastAsia="仿宋" w:hAnsi="仿宋" w:hint="eastAsia"/>
          <w:sz w:val="24"/>
          <w:szCs w:val="24"/>
        </w:rPr>
        <w:t>，结合已有的成功经验，总结出以下几方面</w:t>
      </w:r>
      <w:r w:rsidR="00C572CD" w:rsidRPr="00C572CD">
        <w:rPr>
          <w:rFonts w:ascii="仿宋" w:eastAsia="仿宋" w:hAnsi="仿宋" w:hint="eastAsia"/>
          <w:sz w:val="24"/>
          <w:szCs w:val="24"/>
        </w:rPr>
        <w:t>具有普适性的经验可</w:t>
      </w:r>
      <w:r w:rsidR="00C572CD">
        <w:rPr>
          <w:rFonts w:ascii="仿宋" w:eastAsia="仿宋" w:hAnsi="仿宋" w:hint="eastAsia"/>
          <w:sz w:val="24"/>
          <w:szCs w:val="24"/>
        </w:rPr>
        <w:t>供</w:t>
      </w:r>
      <w:r w:rsidR="00C572CD" w:rsidRPr="00C572CD">
        <w:rPr>
          <w:rFonts w:ascii="仿宋" w:eastAsia="仿宋" w:hAnsi="仿宋" w:hint="eastAsia"/>
          <w:sz w:val="24"/>
          <w:szCs w:val="24"/>
        </w:rPr>
        <w:t>借鉴。</w:t>
      </w:r>
    </w:p>
    <w:p w14:paraId="6C713F85" w14:textId="2D760241" w:rsidR="00C572CD" w:rsidRPr="004B02A6" w:rsidRDefault="00C572CD" w:rsidP="00741A93">
      <w:pPr>
        <w:widowControl/>
        <w:spacing w:line="400" w:lineRule="exact"/>
        <w:ind w:firstLineChars="200" w:firstLine="482"/>
        <w:rPr>
          <w:rFonts w:ascii="仿宋" w:eastAsia="仿宋" w:hAnsi="仿宋"/>
          <w:b/>
          <w:sz w:val="24"/>
          <w:szCs w:val="24"/>
        </w:rPr>
      </w:pPr>
      <w:r w:rsidRPr="004B02A6">
        <w:rPr>
          <w:rFonts w:ascii="仿宋" w:eastAsia="仿宋" w:hAnsi="仿宋"/>
          <w:b/>
          <w:sz w:val="24"/>
          <w:szCs w:val="24"/>
        </w:rPr>
        <w:t>（一）</w:t>
      </w:r>
      <w:r w:rsidRPr="004B02A6">
        <w:rPr>
          <w:rFonts w:ascii="仿宋" w:eastAsia="仿宋" w:hAnsi="仿宋" w:hint="eastAsia"/>
          <w:b/>
          <w:sz w:val="24"/>
          <w:szCs w:val="24"/>
        </w:rPr>
        <w:t>构建“政府引导、国企实施、市场运作”的三位一体机制</w:t>
      </w:r>
    </w:p>
    <w:p w14:paraId="23413368" w14:textId="0852F1FF" w:rsidR="00C572CD" w:rsidRDefault="00C572CD" w:rsidP="00741A93">
      <w:pPr>
        <w:widowControl/>
        <w:spacing w:line="400" w:lineRule="exact"/>
        <w:ind w:firstLineChars="200" w:firstLine="480"/>
        <w:rPr>
          <w:rFonts w:ascii="仿宋" w:eastAsia="仿宋" w:hAnsi="仿宋"/>
          <w:sz w:val="24"/>
          <w:szCs w:val="24"/>
        </w:rPr>
      </w:pPr>
      <w:r w:rsidRPr="00C572CD">
        <w:rPr>
          <w:rFonts w:ascii="仿宋" w:eastAsia="仿宋" w:hAnsi="仿宋" w:hint="eastAsia"/>
          <w:sz w:val="24"/>
          <w:szCs w:val="24"/>
        </w:rPr>
        <w:t>建立清晰的分工协同机制：政府负责顶层设计、政策供给和需求摸底，明确收购范围、定价原则、保障对象等核心规则；地</w:t>
      </w:r>
      <w:r>
        <w:rPr>
          <w:rFonts w:ascii="仿宋" w:eastAsia="仿宋" w:hAnsi="仿宋" w:hint="eastAsia"/>
          <w:sz w:val="24"/>
          <w:szCs w:val="24"/>
        </w:rPr>
        <w:t>方国企作为实施主体，承担资金统筹、资产收购、改造运营等具体职能</w:t>
      </w:r>
      <w:r w:rsidRPr="00C572CD">
        <w:rPr>
          <w:rFonts w:ascii="仿宋" w:eastAsia="仿宋" w:hAnsi="仿宋" w:hint="eastAsia"/>
          <w:sz w:val="24"/>
          <w:szCs w:val="24"/>
        </w:rPr>
        <w:t>；市场机制贯穿始终，在定价、融资、运</w:t>
      </w:r>
      <w:r w:rsidRPr="00C572CD">
        <w:rPr>
          <w:rFonts w:ascii="仿宋" w:eastAsia="仿宋" w:hAnsi="仿宋" w:hint="eastAsia"/>
          <w:sz w:val="24"/>
          <w:szCs w:val="24"/>
        </w:rPr>
        <w:lastRenderedPageBreak/>
        <w:t>营等环</w:t>
      </w:r>
      <w:r>
        <w:rPr>
          <w:rFonts w:ascii="仿宋" w:eastAsia="仿宋" w:hAnsi="仿宋" w:hint="eastAsia"/>
          <w:sz w:val="24"/>
          <w:szCs w:val="24"/>
        </w:rPr>
        <w:t>节引入市场化逻辑，确保项目具有可持续性，从而实现</w:t>
      </w:r>
      <w:r w:rsidRPr="00C572CD">
        <w:rPr>
          <w:rFonts w:ascii="仿宋" w:eastAsia="仿宋" w:hAnsi="仿宋"/>
          <w:sz w:val="24"/>
          <w:szCs w:val="24"/>
        </w:rPr>
        <w:t>公益目标与市场逻辑的平衡。</w:t>
      </w:r>
    </w:p>
    <w:p w14:paraId="711A7071" w14:textId="4B49A0FB" w:rsidR="00C572CD" w:rsidRPr="004B02A6" w:rsidRDefault="00C572CD" w:rsidP="00741A93">
      <w:pPr>
        <w:widowControl/>
        <w:spacing w:line="400" w:lineRule="exact"/>
        <w:ind w:firstLineChars="200" w:firstLine="482"/>
        <w:rPr>
          <w:rFonts w:ascii="仿宋" w:eastAsia="仿宋" w:hAnsi="仿宋"/>
          <w:b/>
          <w:sz w:val="24"/>
          <w:szCs w:val="24"/>
        </w:rPr>
      </w:pPr>
      <w:r w:rsidRPr="004B02A6">
        <w:rPr>
          <w:rFonts w:ascii="仿宋" w:eastAsia="仿宋" w:hAnsi="仿宋"/>
          <w:b/>
          <w:sz w:val="24"/>
          <w:szCs w:val="24"/>
        </w:rPr>
        <w:t>（二）</w:t>
      </w:r>
      <w:r w:rsidRPr="004B02A6">
        <w:rPr>
          <w:rFonts w:ascii="仿宋" w:eastAsia="仿宋" w:hAnsi="仿宋" w:hint="eastAsia"/>
          <w:b/>
          <w:sz w:val="24"/>
          <w:szCs w:val="24"/>
        </w:rPr>
        <w:t>建立“以需定购、精准匹配”的需求导向机制</w:t>
      </w:r>
    </w:p>
    <w:p w14:paraId="29EE54C1" w14:textId="3ABD2B05" w:rsidR="00C572CD" w:rsidRPr="00C572CD" w:rsidRDefault="00C572CD"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核心在于从供给驱动转向需求驱动，</w:t>
      </w:r>
      <w:r w:rsidR="0064509B">
        <w:rPr>
          <w:rFonts w:ascii="仿宋" w:eastAsia="仿宋" w:hAnsi="仿宋" w:hint="eastAsia"/>
          <w:sz w:val="24"/>
          <w:szCs w:val="24"/>
        </w:rPr>
        <w:t>并非</w:t>
      </w:r>
      <w:r>
        <w:rPr>
          <w:rFonts w:ascii="仿宋" w:eastAsia="仿宋" w:hAnsi="仿宋" w:hint="eastAsia"/>
          <w:sz w:val="24"/>
          <w:szCs w:val="24"/>
        </w:rPr>
        <w:t>为了盘活而盘活。</w:t>
      </w:r>
      <w:r w:rsidR="001045BA">
        <w:rPr>
          <w:rFonts w:ascii="仿宋" w:eastAsia="仿宋" w:hAnsi="仿宋" w:hint="eastAsia"/>
          <w:sz w:val="24"/>
          <w:szCs w:val="24"/>
        </w:rPr>
        <w:t>在收购前开展多轮、多层次</w:t>
      </w:r>
      <w:r w:rsidRPr="00C572CD">
        <w:rPr>
          <w:rFonts w:ascii="仿宋" w:eastAsia="仿宋" w:hAnsi="仿宋" w:hint="eastAsia"/>
          <w:sz w:val="24"/>
          <w:szCs w:val="24"/>
        </w:rPr>
        <w:t>的需求摸底，</w:t>
      </w:r>
      <w:r w:rsidR="00502AE0">
        <w:rPr>
          <w:rFonts w:ascii="仿宋" w:eastAsia="仿宋" w:hAnsi="仿宋" w:hint="eastAsia"/>
          <w:sz w:val="24"/>
          <w:szCs w:val="24"/>
        </w:rPr>
        <w:t>可</w:t>
      </w:r>
      <w:r w:rsidRPr="00C572CD">
        <w:rPr>
          <w:rFonts w:ascii="仿宋" w:eastAsia="仿宋" w:hAnsi="仿宋" w:hint="eastAsia"/>
          <w:sz w:val="24"/>
          <w:szCs w:val="24"/>
        </w:rPr>
        <w:t>精准测算不同区域、不同群体的保租房缺口，将收购规模与真实需求严格挂钩。同</w:t>
      </w:r>
      <w:r w:rsidR="00BA4952">
        <w:rPr>
          <w:rFonts w:ascii="仿宋" w:eastAsia="仿宋" w:hAnsi="仿宋" w:hint="eastAsia"/>
          <w:sz w:val="24"/>
          <w:szCs w:val="24"/>
        </w:rPr>
        <w:t>时，优先选择产业集聚区、交通枢纽沿线、配套成熟区域的房源，实</w:t>
      </w:r>
      <w:proofErr w:type="gramStart"/>
      <w:r w:rsidR="00BA4952">
        <w:rPr>
          <w:rFonts w:ascii="仿宋" w:eastAsia="仿宋" w:hAnsi="仿宋" w:hint="eastAsia"/>
          <w:sz w:val="24"/>
          <w:szCs w:val="24"/>
        </w:rPr>
        <w:t>现职住</w:t>
      </w:r>
      <w:proofErr w:type="gramEnd"/>
      <w:r w:rsidR="00BA4952">
        <w:rPr>
          <w:rFonts w:ascii="仿宋" w:eastAsia="仿宋" w:hAnsi="仿宋" w:hint="eastAsia"/>
          <w:sz w:val="24"/>
          <w:szCs w:val="24"/>
        </w:rPr>
        <w:t>平衡和供需匹配</w:t>
      </w:r>
      <w:r w:rsidRPr="00C572CD">
        <w:rPr>
          <w:rFonts w:ascii="仿宋" w:eastAsia="仿宋" w:hAnsi="仿宋" w:hint="eastAsia"/>
          <w:sz w:val="24"/>
          <w:szCs w:val="24"/>
        </w:rPr>
        <w:t>，从源头上避免空间错配。</w:t>
      </w:r>
    </w:p>
    <w:p w14:paraId="62B1A8C7" w14:textId="56A762CD" w:rsidR="00C572CD" w:rsidRPr="004B02A6" w:rsidRDefault="00C572CD" w:rsidP="00741A93">
      <w:pPr>
        <w:widowControl/>
        <w:spacing w:line="400" w:lineRule="exact"/>
        <w:ind w:firstLineChars="200" w:firstLine="482"/>
        <w:rPr>
          <w:rFonts w:ascii="仿宋" w:eastAsia="仿宋" w:hAnsi="仿宋"/>
          <w:b/>
          <w:sz w:val="24"/>
          <w:szCs w:val="24"/>
        </w:rPr>
      </w:pPr>
      <w:r w:rsidRPr="004B02A6">
        <w:rPr>
          <w:rFonts w:ascii="仿宋" w:eastAsia="仿宋" w:hAnsi="仿宋" w:hint="eastAsia"/>
          <w:b/>
          <w:sz w:val="24"/>
          <w:szCs w:val="24"/>
        </w:rPr>
        <w:t>（三）推行“差异化、市场化”的灵活定价策略</w:t>
      </w:r>
    </w:p>
    <w:p w14:paraId="60A07505" w14:textId="5AC25EBC" w:rsidR="00C572CD" w:rsidRDefault="00C572CD" w:rsidP="00741A93">
      <w:pPr>
        <w:widowControl/>
        <w:spacing w:line="400" w:lineRule="exact"/>
        <w:ind w:firstLineChars="200" w:firstLine="480"/>
        <w:rPr>
          <w:rFonts w:ascii="仿宋" w:eastAsia="仿宋" w:hAnsi="仿宋"/>
          <w:sz w:val="24"/>
          <w:szCs w:val="24"/>
        </w:rPr>
      </w:pPr>
      <w:r w:rsidRPr="00C572CD">
        <w:rPr>
          <w:rFonts w:ascii="仿宋" w:eastAsia="仿宋" w:hAnsi="仿宋" w:hint="eastAsia"/>
          <w:sz w:val="24"/>
          <w:szCs w:val="24"/>
        </w:rPr>
        <w:t>定价是存量收购的核心难点，也是决定项目能否顺利推进的关键变量。</w:t>
      </w:r>
      <w:r w:rsidR="001045BA">
        <w:rPr>
          <w:rFonts w:ascii="仿宋" w:eastAsia="仿宋" w:hAnsi="仿宋" w:hint="eastAsia"/>
          <w:sz w:val="24"/>
          <w:szCs w:val="24"/>
        </w:rPr>
        <w:t>目前不同城市和项目采取的定价策略有所不同，多采用重置成本法</w:t>
      </w:r>
      <w:r w:rsidR="00344813">
        <w:rPr>
          <w:rFonts w:ascii="仿宋" w:eastAsia="仿宋" w:hAnsi="仿宋" w:hint="eastAsia"/>
          <w:sz w:val="24"/>
          <w:szCs w:val="24"/>
        </w:rPr>
        <w:t>或市场比较法等</w:t>
      </w:r>
      <w:r w:rsidR="008D05DB">
        <w:rPr>
          <w:rFonts w:ascii="仿宋" w:eastAsia="仿宋" w:hAnsi="仿宋"/>
          <w:sz w:val="24"/>
          <w:szCs w:val="24"/>
        </w:rPr>
        <w:t>。合肥</w:t>
      </w:r>
      <w:proofErr w:type="gramStart"/>
      <w:r w:rsidR="008D05DB" w:rsidRPr="008D05DB">
        <w:rPr>
          <w:rFonts w:ascii="仿宋" w:eastAsia="仿宋" w:hAnsi="仿宋" w:hint="eastAsia"/>
          <w:sz w:val="24"/>
          <w:szCs w:val="24"/>
        </w:rPr>
        <w:t>蜀</w:t>
      </w:r>
      <w:proofErr w:type="gramEnd"/>
      <w:r w:rsidR="008D05DB" w:rsidRPr="008D05DB">
        <w:rPr>
          <w:rFonts w:ascii="仿宋" w:eastAsia="仿宋" w:hAnsi="仿宋" w:hint="eastAsia"/>
          <w:sz w:val="24"/>
          <w:szCs w:val="24"/>
        </w:rPr>
        <w:t>山西</w:t>
      </w:r>
      <w:proofErr w:type="gramStart"/>
      <w:r w:rsidR="008D05DB" w:rsidRPr="008D05DB">
        <w:rPr>
          <w:rFonts w:ascii="仿宋" w:eastAsia="仿宋" w:hAnsi="仿宋" w:hint="eastAsia"/>
          <w:sz w:val="24"/>
          <w:szCs w:val="24"/>
        </w:rPr>
        <w:t>宸</w:t>
      </w:r>
      <w:proofErr w:type="gramEnd"/>
      <w:r w:rsidR="008D05DB" w:rsidRPr="008D05DB">
        <w:rPr>
          <w:rFonts w:ascii="仿宋" w:eastAsia="仿宋" w:hAnsi="仿宋" w:hint="eastAsia"/>
          <w:sz w:val="24"/>
          <w:szCs w:val="24"/>
        </w:rPr>
        <w:t>原著项目</w:t>
      </w:r>
      <w:r w:rsidR="008D05DB">
        <w:rPr>
          <w:rFonts w:ascii="仿宋" w:eastAsia="仿宋" w:hAnsi="仿宋" w:hint="eastAsia"/>
          <w:sz w:val="24"/>
          <w:szCs w:val="24"/>
        </w:rPr>
        <w:t>以专业评估机构评估价为参考、</w:t>
      </w:r>
      <w:r w:rsidR="008D05DB" w:rsidRPr="008D05DB">
        <w:rPr>
          <w:rFonts w:ascii="仿宋" w:eastAsia="仿宋" w:hAnsi="仿宋" w:hint="eastAsia"/>
          <w:sz w:val="24"/>
          <w:szCs w:val="24"/>
        </w:rPr>
        <w:t>同时设置</w:t>
      </w:r>
      <w:r w:rsidR="008D05DB">
        <w:rPr>
          <w:rFonts w:ascii="仿宋" w:eastAsia="仿宋" w:hAnsi="仿宋" w:hint="eastAsia"/>
          <w:sz w:val="24"/>
          <w:szCs w:val="24"/>
        </w:rPr>
        <w:t>上限，</w:t>
      </w:r>
      <w:r w:rsidR="00A258CB" w:rsidRPr="00A258CB">
        <w:rPr>
          <w:rFonts w:ascii="仿宋" w:eastAsia="仿宋" w:hAnsi="仿宋" w:hint="eastAsia"/>
          <w:sz w:val="24"/>
          <w:szCs w:val="24"/>
        </w:rPr>
        <w:t>杭州市安居集团</w:t>
      </w:r>
      <w:r w:rsidR="00344813">
        <w:rPr>
          <w:rFonts w:ascii="仿宋" w:eastAsia="仿宋" w:hAnsi="仿宋" w:hint="eastAsia"/>
          <w:sz w:val="24"/>
          <w:szCs w:val="24"/>
        </w:rPr>
        <w:t>采取</w:t>
      </w:r>
      <w:r w:rsidR="00A258CB">
        <w:rPr>
          <w:rFonts w:ascii="仿宋" w:eastAsia="仿宋" w:hAnsi="仿宋" w:hint="eastAsia"/>
          <w:sz w:val="24"/>
          <w:szCs w:val="24"/>
        </w:rPr>
        <w:t>创新的定价策略</w:t>
      </w:r>
      <w:r w:rsidR="00AD1D33">
        <w:rPr>
          <w:rFonts w:ascii="仿宋" w:eastAsia="仿宋" w:hAnsi="仿宋"/>
          <w:sz w:val="24"/>
          <w:szCs w:val="24"/>
        </w:rPr>
        <w:t>、</w:t>
      </w:r>
      <w:r w:rsidR="00344813">
        <w:rPr>
          <w:rFonts w:ascii="仿宋" w:eastAsia="仿宋" w:hAnsi="仿宋" w:hint="eastAsia"/>
          <w:sz w:val="24"/>
          <w:szCs w:val="24"/>
        </w:rPr>
        <w:t>第二轮收储中取消了价格上限，</w:t>
      </w:r>
      <w:r w:rsidR="008D05DB" w:rsidRPr="008D05DB">
        <w:rPr>
          <w:rFonts w:ascii="仿宋" w:eastAsia="仿宋" w:hAnsi="仿宋" w:hint="eastAsia"/>
          <w:sz w:val="24"/>
          <w:szCs w:val="24"/>
        </w:rPr>
        <w:t>上海静安区</w:t>
      </w:r>
      <w:r w:rsidR="008D05DB">
        <w:rPr>
          <w:rFonts w:ascii="仿宋" w:eastAsia="仿宋" w:hAnsi="仿宋" w:hint="eastAsia"/>
          <w:sz w:val="24"/>
          <w:szCs w:val="24"/>
        </w:rPr>
        <w:t>收购置换中</w:t>
      </w:r>
      <w:proofErr w:type="gramStart"/>
      <w:r w:rsidR="008D05DB">
        <w:rPr>
          <w:rFonts w:ascii="仿宋" w:eastAsia="仿宋" w:hAnsi="仿宋" w:hint="eastAsia"/>
          <w:sz w:val="24"/>
          <w:szCs w:val="24"/>
        </w:rPr>
        <w:t>引入房票机制</w:t>
      </w:r>
      <w:proofErr w:type="gramEnd"/>
      <w:r w:rsidR="008D05DB">
        <w:rPr>
          <w:rFonts w:ascii="仿宋" w:eastAsia="仿宋" w:hAnsi="仿宋" w:hint="eastAsia"/>
          <w:sz w:val="24"/>
          <w:szCs w:val="24"/>
        </w:rPr>
        <w:t>、市场化置换，</w:t>
      </w:r>
      <w:r w:rsidRPr="00C572CD">
        <w:rPr>
          <w:rFonts w:ascii="仿宋" w:eastAsia="仿宋" w:hAnsi="仿宋" w:hint="eastAsia"/>
          <w:sz w:val="24"/>
          <w:szCs w:val="24"/>
        </w:rPr>
        <w:t>使收购价格更能反映资产的真实运营价值</w:t>
      </w:r>
      <w:r w:rsidR="00344813">
        <w:rPr>
          <w:rFonts w:ascii="仿宋" w:eastAsia="仿宋" w:hAnsi="仿宋" w:hint="eastAsia"/>
          <w:sz w:val="24"/>
          <w:szCs w:val="24"/>
        </w:rPr>
        <w:t>，</w:t>
      </w:r>
      <w:r w:rsidR="00AD1D33">
        <w:rPr>
          <w:rFonts w:ascii="仿宋" w:eastAsia="仿宋" w:hAnsi="仿宋"/>
          <w:sz w:val="24"/>
          <w:szCs w:val="24"/>
        </w:rPr>
        <w:t>这些</w:t>
      </w:r>
      <w:r w:rsidR="00344813">
        <w:rPr>
          <w:rFonts w:ascii="仿宋" w:eastAsia="仿宋" w:hAnsi="仿宋" w:hint="eastAsia"/>
          <w:sz w:val="24"/>
          <w:szCs w:val="24"/>
        </w:rPr>
        <w:t>经验值得借鉴，</w:t>
      </w:r>
      <w:r w:rsidR="0023274B">
        <w:rPr>
          <w:rFonts w:ascii="仿宋" w:eastAsia="仿宋" w:hAnsi="仿宋" w:hint="eastAsia"/>
          <w:sz w:val="24"/>
          <w:szCs w:val="24"/>
        </w:rPr>
        <w:t>建议</w:t>
      </w:r>
      <w:r w:rsidR="0023274B" w:rsidRPr="0023274B">
        <w:rPr>
          <w:rFonts w:ascii="仿宋" w:eastAsia="仿宋" w:hAnsi="仿宋" w:hint="eastAsia"/>
          <w:sz w:val="24"/>
          <w:szCs w:val="24"/>
        </w:rPr>
        <w:t>在全国层面建立存量商品房收购的定价指引</w:t>
      </w:r>
      <w:r w:rsidR="0023274B">
        <w:rPr>
          <w:rFonts w:ascii="仿宋" w:eastAsia="仿宋" w:hAnsi="仿宋" w:hint="eastAsia"/>
          <w:sz w:val="24"/>
          <w:szCs w:val="24"/>
        </w:rPr>
        <w:t>，</w:t>
      </w:r>
      <w:r w:rsidR="00543F6E">
        <w:rPr>
          <w:rFonts w:ascii="仿宋" w:eastAsia="仿宋" w:hAnsi="仿宋" w:hint="eastAsia"/>
          <w:sz w:val="24"/>
          <w:szCs w:val="24"/>
        </w:rPr>
        <w:t>推行</w:t>
      </w:r>
      <w:r w:rsidR="0023274B">
        <w:rPr>
          <w:rFonts w:ascii="仿宋" w:eastAsia="仿宋" w:hAnsi="仿宋" w:hint="eastAsia"/>
          <w:sz w:val="24"/>
          <w:szCs w:val="24"/>
        </w:rPr>
        <w:t>灵活定价</w:t>
      </w:r>
      <w:r w:rsidR="00543F6E">
        <w:rPr>
          <w:rFonts w:ascii="仿宋" w:eastAsia="仿宋" w:hAnsi="仿宋" w:hint="eastAsia"/>
          <w:sz w:val="24"/>
          <w:szCs w:val="24"/>
        </w:rPr>
        <w:t>策略</w:t>
      </w:r>
      <w:r w:rsidRPr="00C572CD">
        <w:rPr>
          <w:rFonts w:ascii="仿宋" w:eastAsia="仿宋" w:hAnsi="仿宋" w:hint="eastAsia"/>
          <w:sz w:val="24"/>
          <w:szCs w:val="24"/>
        </w:rPr>
        <w:t>。</w:t>
      </w:r>
    </w:p>
    <w:p w14:paraId="567F8914" w14:textId="61322404" w:rsidR="00A258CB" w:rsidRPr="004B02A6" w:rsidRDefault="00A258CB" w:rsidP="00741A93">
      <w:pPr>
        <w:widowControl/>
        <w:spacing w:line="400" w:lineRule="exact"/>
        <w:ind w:firstLineChars="200" w:firstLine="482"/>
        <w:rPr>
          <w:rFonts w:ascii="仿宋" w:eastAsia="仿宋" w:hAnsi="仿宋"/>
          <w:b/>
          <w:sz w:val="24"/>
          <w:szCs w:val="24"/>
        </w:rPr>
      </w:pPr>
      <w:r w:rsidRPr="004B02A6">
        <w:rPr>
          <w:rFonts w:ascii="仿宋" w:eastAsia="仿宋" w:hAnsi="仿宋" w:hint="eastAsia"/>
          <w:b/>
          <w:sz w:val="24"/>
          <w:szCs w:val="24"/>
        </w:rPr>
        <w:t>（四）创新“长短结合、多元组合”的融资支持体系</w:t>
      </w:r>
    </w:p>
    <w:p w14:paraId="57BB87EA" w14:textId="12B79270" w:rsidR="00A258CB" w:rsidRPr="00A258CB" w:rsidRDefault="00A258CB" w:rsidP="00741A93">
      <w:pPr>
        <w:widowControl/>
        <w:spacing w:line="400" w:lineRule="exact"/>
        <w:ind w:firstLineChars="200" w:firstLine="480"/>
        <w:rPr>
          <w:rFonts w:ascii="仿宋" w:eastAsia="仿宋" w:hAnsi="仿宋"/>
          <w:sz w:val="24"/>
          <w:szCs w:val="24"/>
        </w:rPr>
      </w:pPr>
      <w:r w:rsidRPr="00A258CB">
        <w:rPr>
          <w:rFonts w:ascii="仿宋" w:eastAsia="仿宋" w:hAnsi="仿宋" w:hint="eastAsia"/>
          <w:sz w:val="24"/>
          <w:szCs w:val="24"/>
        </w:rPr>
        <w:t>存量资产盘活资金需求大、回报周期长，依赖单一融资渠道难以为继。</w:t>
      </w:r>
      <w:r>
        <w:rPr>
          <w:rFonts w:ascii="仿宋" w:eastAsia="仿宋" w:hAnsi="仿宋" w:hint="eastAsia"/>
          <w:sz w:val="24"/>
          <w:szCs w:val="24"/>
        </w:rPr>
        <w:t>通过</w:t>
      </w:r>
      <w:r w:rsidRPr="00A258CB">
        <w:rPr>
          <w:rFonts w:ascii="仿宋" w:eastAsia="仿宋" w:hAnsi="仿宋" w:hint="eastAsia"/>
          <w:sz w:val="24"/>
          <w:szCs w:val="24"/>
        </w:rPr>
        <w:t>构建“专项债+再贷款+商业银团贷款+REITs”的多层次、全周期融资组合</w:t>
      </w:r>
      <w:r>
        <w:rPr>
          <w:rFonts w:ascii="仿宋" w:eastAsia="仿宋" w:hAnsi="仿宋" w:hint="eastAsia"/>
          <w:sz w:val="24"/>
          <w:szCs w:val="24"/>
        </w:rPr>
        <w:t>，</w:t>
      </w:r>
      <w:r w:rsidRPr="00A258CB">
        <w:rPr>
          <w:rFonts w:ascii="仿宋" w:eastAsia="仿宋" w:hAnsi="仿宋" w:hint="eastAsia"/>
          <w:sz w:val="24"/>
          <w:szCs w:val="24"/>
        </w:rPr>
        <w:t>用财政性资金解决项目资本金和启动资金，用政策性金融</w:t>
      </w:r>
      <w:r>
        <w:rPr>
          <w:rFonts w:ascii="仿宋" w:eastAsia="仿宋" w:hAnsi="仿宋" w:hint="eastAsia"/>
          <w:sz w:val="24"/>
          <w:szCs w:val="24"/>
        </w:rPr>
        <w:t>贷款</w:t>
      </w:r>
      <w:r w:rsidRPr="00A258CB">
        <w:rPr>
          <w:rFonts w:ascii="仿宋" w:eastAsia="仿宋" w:hAnsi="仿宋" w:hint="eastAsia"/>
          <w:sz w:val="24"/>
          <w:szCs w:val="24"/>
        </w:rPr>
        <w:t>覆盖中期的收购和改造支出，用商业贷款补充流动性需求，最终通过REITs</w:t>
      </w:r>
      <w:r w:rsidR="00DF6DC3">
        <w:rPr>
          <w:rFonts w:ascii="仿宋" w:eastAsia="仿宋" w:hAnsi="仿宋" w:hint="eastAsia"/>
          <w:sz w:val="24"/>
          <w:szCs w:val="24"/>
        </w:rPr>
        <w:t>实现资产退出和资金回笼，</w:t>
      </w:r>
      <w:r>
        <w:rPr>
          <w:rFonts w:ascii="仿宋" w:eastAsia="仿宋" w:hAnsi="仿宋"/>
          <w:sz w:val="24"/>
          <w:szCs w:val="24"/>
        </w:rPr>
        <w:t>精准匹配</w:t>
      </w:r>
      <w:r w:rsidRPr="00A258CB">
        <w:rPr>
          <w:rFonts w:ascii="仿宋" w:eastAsia="仿宋" w:hAnsi="仿宋" w:hint="eastAsia"/>
          <w:sz w:val="24"/>
          <w:szCs w:val="24"/>
        </w:rPr>
        <w:t>不同金融工具</w:t>
      </w:r>
      <w:r>
        <w:rPr>
          <w:rFonts w:ascii="仿宋" w:eastAsia="仿宋" w:hAnsi="仿宋" w:hint="eastAsia"/>
          <w:sz w:val="24"/>
          <w:szCs w:val="24"/>
        </w:rPr>
        <w:t>的</w:t>
      </w:r>
      <w:r w:rsidRPr="00A258CB">
        <w:rPr>
          <w:rFonts w:ascii="仿宋" w:eastAsia="仿宋" w:hAnsi="仿宋" w:hint="eastAsia"/>
          <w:sz w:val="24"/>
          <w:szCs w:val="24"/>
        </w:rPr>
        <w:t>时序和功能</w:t>
      </w:r>
      <w:r>
        <w:rPr>
          <w:rFonts w:ascii="仿宋" w:eastAsia="仿宋" w:hAnsi="仿宋" w:hint="eastAsia"/>
          <w:sz w:val="24"/>
          <w:szCs w:val="24"/>
        </w:rPr>
        <w:t>，实现良性循环</w:t>
      </w:r>
      <w:r w:rsidRPr="00A258CB">
        <w:rPr>
          <w:rFonts w:ascii="仿宋" w:eastAsia="仿宋" w:hAnsi="仿宋" w:hint="eastAsia"/>
          <w:sz w:val="24"/>
          <w:szCs w:val="24"/>
        </w:rPr>
        <w:t>。</w:t>
      </w:r>
    </w:p>
    <w:p w14:paraId="28AEDB2F" w14:textId="6A7E7815" w:rsidR="00A258CB" w:rsidRPr="004B02A6" w:rsidRDefault="00A258CB" w:rsidP="00741A93">
      <w:pPr>
        <w:widowControl/>
        <w:spacing w:line="400" w:lineRule="exact"/>
        <w:ind w:firstLineChars="200" w:firstLine="482"/>
        <w:rPr>
          <w:rFonts w:ascii="仿宋" w:eastAsia="仿宋" w:hAnsi="仿宋"/>
          <w:b/>
          <w:sz w:val="24"/>
          <w:szCs w:val="24"/>
        </w:rPr>
      </w:pPr>
      <w:r w:rsidRPr="004B02A6">
        <w:rPr>
          <w:rFonts w:ascii="仿宋" w:eastAsia="仿宋" w:hAnsi="仿宋" w:hint="eastAsia"/>
          <w:b/>
          <w:sz w:val="24"/>
          <w:szCs w:val="24"/>
        </w:rPr>
        <w:t>（五）建立“专业化运营、精细化管控”的运营管理体系</w:t>
      </w:r>
    </w:p>
    <w:p w14:paraId="571B5F4F" w14:textId="4B69035E" w:rsidR="00A258CB" w:rsidRDefault="00A258CB"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存量资产的长期价值取决于运营能力，</w:t>
      </w:r>
      <w:r w:rsidRPr="00A258CB">
        <w:rPr>
          <w:rFonts w:ascii="仿宋" w:eastAsia="仿宋" w:hAnsi="仿宋" w:hint="eastAsia"/>
          <w:sz w:val="24"/>
          <w:szCs w:val="24"/>
        </w:rPr>
        <w:t>引入专业化租赁运营机构，建立标准化的租户管理、社群服务等制度；通过增值服务（配套商业、停车位、共享空间等）提升综合收益，弥补租金管</w:t>
      </w:r>
      <w:proofErr w:type="gramStart"/>
      <w:r w:rsidRPr="00A258CB">
        <w:rPr>
          <w:rFonts w:ascii="仿宋" w:eastAsia="仿宋" w:hAnsi="仿宋" w:hint="eastAsia"/>
          <w:sz w:val="24"/>
          <w:szCs w:val="24"/>
        </w:rPr>
        <w:t>控带来</w:t>
      </w:r>
      <w:proofErr w:type="gramEnd"/>
      <w:r w:rsidRPr="00A258CB">
        <w:rPr>
          <w:rFonts w:ascii="仿宋" w:eastAsia="仿宋" w:hAnsi="仿宋" w:hint="eastAsia"/>
          <w:sz w:val="24"/>
          <w:szCs w:val="24"/>
        </w:rPr>
        <w:t>的盈利压力。</w:t>
      </w:r>
    </w:p>
    <w:p w14:paraId="16B3069E" w14:textId="678DA97F" w:rsidR="001826A9" w:rsidRPr="002619DE" w:rsidRDefault="001826A9" w:rsidP="00027A32">
      <w:pPr>
        <w:adjustRightInd w:val="0"/>
        <w:spacing w:beforeLines="50" w:before="156" w:afterLines="50" w:after="156" w:line="400" w:lineRule="exact"/>
        <w:outlineLvl w:val="0"/>
        <w:rPr>
          <w:rFonts w:ascii="黑体" w:eastAsia="黑体" w:hAnsi="黑体" w:cs="Times New Roman"/>
          <w:b/>
          <w:color w:val="C00000"/>
          <w:sz w:val="28"/>
          <w:szCs w:val="28"/>
        </w:rPr>
      </w:pPr>
      <w:r w:rsidRPr="002619DE">
        <w:rPr>
          <w:rFonts w:ascii="黑体" w:eastAsia="黑体" w:hAnsi="黑体" w:cs="Times New Roman" w:hint="eastAsia"/>
          <w:b/>
          <w:color w:val="C00000"/>
          <w:sz w:val="28"/>
          <w:szCs w:val="28"/>
        </w:rPr>
        <w:t>四、</w:t>
      </w:r>
      <w:r w:rsidR="00931530" w:rsidRPr="00931530">
        <w:rPr>
          <w:rFonts w:ascii="黑体" w:eastAsia="黑体" w:hAnsi="黑体" w:cs="Times New Roman" w:hint="eastAsia"/>
          <w:b/>
          <w:color w:val="C00000"/>
          <w:sz w:val="28"/>
          <w:szCs w:val="28"/>
        </w:rPr>
        <w:t>保障性租赁住房存量资产</w:t>
      </w:r>
      <w:r w:rsidR="00A90ECB">
        <w:rPr>
          <w:rFonts w:ascii="黑体" w:eastAsia="黑体" w:hAnsi="黑体" w:cs="Times New Roman" w:hint="eastAsia"/>
          <w:b/>
          <w:color w:val="C00000"/>
          <w:sz w:val="28"/>
          <w:szCs w:val="28"/>
        </w:rPr>
        <w:t>盘活</w:t>
      </w:r>
      <w:r w:rsidR="00931530" w:rsidRPr="00931530">
        <w:rPr>
          <w:rFonts w:ascii="黑体" w:eastAsia="黑体" w:hAnsi="黑体" w:cs="Times New Roman" w:hint="eastAsia"/>
          <w:b/>
          <w:color w:val="C00000"/>
          <w:sz w:val="28"/>
          <w:szCs w:val="28"/>
        </w:rPr>
        <w:t>的</w:t>
      </w:r>
      <w:r w:rsidRPr="002619DE">
        <w:rPr>
          <w:rFonts w:ascii="黑体" w:eastAsia="黑体" w:hAnsi="黑体" w:cs="Times New Roman" w:hint="eastAsia"/>
          <w:b/>
          <w:color w:val="C00000"/>
          <w:sz w:val="28"/>
          <w:szCs w:val="28"/>
        </w:rPr>
        <w:t>展望</w:t>
      </w:r>
    </w:p>
    <w:p w14:paraId="4D0D9278" w14:textId="77777777" w:rsidR="001D2C17" w:rsidRDefault="00DF6DC3"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保障性租赁住房存量资产的科学盘活，既是落实</w:t>
      </w:r>
      <w:r w:rsidR="00C572CD" w:rsidRPr="00C572CD">
        <w:rPr>
          <w:rFonts w:ascii="仿宋" w:eastAsia="仿宋" w:hAnsi="仿宋" w:hint="eastAsia"/>
          <w:sz w:val="24"/>
          <w:szCs w:val="24"/>
        </w:rPr>
        <w:t>民生目标的重要路径，也</w:t>
      </w:r>
      <w:r>
        <w:rPr>
          <w:rFonts w:ascii="仿宋" w:eastAsia="仿宋" w:hAnsi="仿宋" w:hint="eastAsia"/>
          <w:sz w:val="24"/>
          <w:szCs w:val="24"/>
        </w:rPr>
        <w:t>是推动房地产市场平稳健康发展的关键举措。</w:t>
      </w:r>
    </w:p>
    <w:p w14:paraId="2007CFFB" w14:textId="1CAB6DF5" w:rsidR="00625DA1" w:rsidRDefault="00DF6DC3" w:rsidP="00741A93">
      <w:pPr>
        <w:widowControl/>
        <w:spacing w:line="400" w:lineRule="exact"/>
        <w:ind w:firstLineChars="200" w:firstLine="480"/>
        <w:rPr>
          <w:rFonts w:ascii="仿宋" w:eastAsia="仿宋" w:hAnsi="仿宋"/>
          <w:sz w:val="24"/>
          <w:szCs w:val="24"/>
        </w:rPr>
      </w:pPr>
      <w:r>
        <w:rPr>
          <w:rFonts w:ascii="仿宋" w:eastAsia="仿宋" w:hAnsi="仿宋" w:hint="eastAsia"/>
          <w:sz w:val="24"/>
          <w:szCs w:val="24"/>
        </w:rPr>
        <w:t>从收存转保到住房收购置换，从</w:t>
      </w:r>
      <w:r w:rsidR="00C572CD" w:rsidRPr="00C572CD">
        <w:rPr>
          <w:rFonts w:ascii="仿宋" w:eastAsia="仿宋" w:hAnsi="仿宋" w:hint="eastAsia"/>
          <w:sz w:val="24"/>
          <w:szCs w:val="24"/>
        </w:rPr>
        <w:t>专项债</w:t>
      </w:r>
      <w:r w:rsidR="006F05D7">
        <w:rPr>
          <w:rFonts w:ascii="仿宋" w:eastAsia="仿宋" w:hAnsi="仿宋" w:hint="eastAsia"/>
          <w:sz w:val="24"/>
          <w:szCs w:val="24"/>
        </w:rPr>
        <w:t>、</w:t>
      </w:r>
      <w:r w:rsidR="00C572CD" w:rsidRPr="00C572CD">
        <w:rPr>
          <w:rFonts w:ascii="仿宋" w:eastAsia="仿宋" w:hAnsi="仿宋" w:hint="eastAsia"/>
          <w:sz w:val="24"/>
          <w:szCs w:val="24"/>
        </w:rPr>
        <w:t>再贷款</w:t>
      </w:r>
      <w:r>
        <w:rPr>
          <w:rFonts w:ascii="仿宋" w:eastAsia="仿宋" w:hAnsi="仿宋" w:hint="eastAsia"/>
          <w:sz w:val="24"/>
          <w:szCs w:val="24"/>
        </w:rPr>
        <w:t>到</w:t>
      </w:r>
      <w:r w:rsidR="00C572CD" w:rsidRPr="00C572CD">
        <w:rPr>
          <w:rFonts w:ascii="仿宋" w:eastAsia="仿宋" w:hAnsi="仿宋" w:hint="eastAsia"/>
          <w:sz w:val="24"/>
          <w:szCs w:val="24"/>
        </w:rPr>
        <w:t>REIT</w:t>
      </w:r>
      <w:r w:rsidR="00A258CB">
        <w:rPr>
          <w:rFonts w:ascii="仿宋" w:eastAsia="仿宋" w:hAnsi="仿宋"/>
          <w:sz w:val="24"/>
          <w:szCs w:val="24"/>
        </w:rPr>
        <w:t>s</w:t>
      </w:r>
      <w:r w:rsidR="005C6D03">
        <w:rPr>
          <w:rFonts w:ascii="仿宋" w:eastAsia="仿宋" w:hAnsi="仿宋"/>
          <w:sz w:val="24"/>
          <w:szCs w:val="24"/>
        </w:rPr>
        <w:t>退出</w:t>
      </w:r>
      <w:r w:rsidR="00A258CB">
        <w:rPr>
          <w:rFonts w:ascii="仿宋" w:eastAsia="仿宋" w:hAnsi="仿宋" w:hint="eastAsia"/>
          <w:sz w:val="24"/>
          <w:szCs w:val="24"/>
        </w:rPr>
        <w:t>，存量资产盘活的模式</w:t>
      </w:r>
      <w:r w:rsidR="00C572CD" w:rsidRPr="00C572CD">
        <w:rPr>
          <w:rFonts w:ascii="仿宋" w:eastAsia="仿宋" w:hAnsi="仿宋" w:hint="eastAsia"/>
          <w:sz w:val="24"/>
          <w:szCs w:val="24"/>
        </w:rPr>
        <w:t>正在不断丰富和完善。当前，我国保租房存量资产盘活已进入</w:t>
      </w:r>
      <w:r w:rsidR="006F05D7">
        <w:rPr>
          <w:rFonts w:ascii="仿宋" w:eastAsia="仿宋" w:hAnsi="仿宋" w:hint="eastAsia"/>
          <w:sz w:val="24"/>
          <w:szCs w:val="24"/>
        </w:rPr>
        <w:t>深化阶段，</w:t>
      </w:r>
      <w:r w:rsidR="001D2C17">
        <w:rPr>
          <w:rFonts w:ascii="仿宋" w:eastAsia="仿宋" w:hAnsi="仿宋" w:hint="eastAsia"/>
          <w:sz w:val="24"/>
          <w:szCs w:val="24"/>
        </w:rPr>
        <w:t>各地可在已有经验基础上，因地制宜、有所侧重。</w:t>
      </w:r>
      <w:r w:rsidR="00C572CD" w:rsidRPr="00C572CD">
        <w:rPr>
          <w:rFonts w:ascii="仿宋" w:eastAsia="仿宋" w:hAnsi="仿宋" w:hint="eastAsia"/>
          <w:sz w:val="24"/>
          <w:szCs w:val="24"/>
        </w:rPr>
        <w:t>通过</w:t>
      </w:r>
      <w:r w:rsidR="001D2C17">
        <w:rPr>
          <w:rFonts w:ascii="仿宋" w:eastAsia="仿宋" w:hAnsi="仿宋" w:hint="eastAsia"/>
          <w:sz w:val="24"/>
          <w:szCs w:val="24"/>
        </w:rPr>
        <w:t>机制保障</w:t>
      </w:r>
      <w:r w:rsidR="00C572CD" w:rsidRPr="00C572CD">
        <w:rPr>
          <w:rFonts w:ascii="仿宋" w:eastAsia="仿宋" w:hAnsi="仿宋" w:hint="eastAsia"/>
          <w:sz w:val="24"/>
          <w:szCs w:val="24"/>
        </w:rPr>
        <w:t>、</w:t>
      </w:r>
      <w:r w:rsidR="001D2C17">
        <w:rPr>
          <w:rFonts w:ascii="仿宋" w:eastAsia="仿宋" w:hAnsi="仿宋" w:hint="eastAsia"/>
          <w:sz w:val="24"/>
          <w:szCs w:val="24"/>
        </w:rPr>
        <w:t>灵活定价、</w:t>
      </w:r>
      <w:r w:rsidR="006F05D7">
        <w:rPr>
          <w:rFonts w:ascii="仿宋" w:eastAsia="仿宋" w:hAnsi="仿宋" w:hint="eastAsia"/>
          <w:sz w:val="24"/>
          <w:szCs w:val="24"/>
        </w:rPr>
        <w:t>融资支持</w:t>
      </w:r>
      <w:r w:rsidR="00C572CD" w:rsidRPr="00C572CD">
        <w:rPr>
          <w:rFonts w:ascii="仿宋" w:eastAsia="仿宋" w:hAnsi="仿宋" w:hint="eastAsia"/>
          <w:sz w:val="24"/>
          <w:szCs w:val="24"/>
        </w:rPr>
        <w:t>、专业运营</w:t>
      </w:r>
      <w:r w:rsidR="006F05D7">
        <w:rPr>
          <w:rFonts w:ascii="仿宋" w:eastAsia="仿宋" w:hAnsi="仿宋" w:hint="eastAsia"/>
          <w:sz w:val="24"/>
          <w:szCs w:val="24"/>
        </w:rPr>
        <w:t>等，</w:t>
      </w:r>
      <w:r w:rsidR="00931530">
        <w:rPr>
          <w:rFonts w:ascii="仿宋" w:eastAsia="仿宋" w:hAnsi="仿宋" w:hint="eastAsia"/>
          <w:sz w:val="24"/>
          <w:szCs w:val="24"/>
        </w:rPr>
        <w:t>有望</w:t>
      </w:r>
      <w:r w:rsidR="006F05D7">
        <w:rPr>
          <w:rFonts w:ascii="仿宋" w:eastAsia="仿宋" w:hAnsi="仿宋" w:hint="eastAsia"/>
          <w:sz w:val="24"/>
          <w:szCs w:val="24"/>
        </w:rPr>
        <w:t>推动保租房从单纯的</w:t>
      </w:r>
      <w:r w:rsidR="00C572CD" w:rsidRPr="00C572CD">
        <w:rPr>
          <w:rFonts w:ascii="仿宋" w:eastAsia="仿宋" w:hAnsi="仿宋" w:hint="eastAsia"/>
          <w:sz w:val="24"/>
          <w:szCs w:val="24"/>
        </w:rPr>
        <w:t>民生工程</w:t>
      </w:r>
      <w:r w:rsidR="006F05D7">
        <w:rPr>
          <w:rFonts w:ascii="仿宋" w:eastAsia="仿宋" w:hAnsi="仿宋" w:hint="eastAsia"/>
          <w:sz w:val="24"/>
          <w:szCs w:val="24"/>
        </w:rPr>
        <w:t>向可盈利、可循环</w:t>
      </w:r>
      <w:r w:rsidR="00C572CD" w:rsidRPr="00C572CD">
        <w:rPr>
          <w:rFonts w:ascii="仿宋" w:eastAsia="仿宋" w:hAnsi="仿宋" w:hint="eastAsia"/>
          <w:sz w:val="24"/>
          <w:szCs w:val="24"/>
        </w:rPr>
        <w:t>的市场化业务体系转型</w:t>
      </w:r>
      <w:r w:rsidR="001826A9">
        <w:rPr>
          <w:rFonts w:ascii="仿宋" w:eastAsia="仿宋" w:hAnsi="仿宋" w:hint="eastAsia"/>
          <w:sz w:val="24"/>
          <w:szCs w:val="24"/>
        </w:rPr>
        <w:t>。</w:t>
      </w:r>
      <w:r w:rsidR="00C572CD" w:rsidRPr="00C572CD">
        <w:rPr>
          <w:rFonts w:ascii="仿宋" w:eastAsia="仿宋" w:hAnsi="仿宋" w:hint="eastAsia"/>
          <w:sz w:val="24"/>
          <w:szCs w:val="24"/>
        </w:rPr>
        <w:t>真正实现“存量包袱”向“有效供给”的转变，让更多新市民和青年人在城市发展中找到安居之所。</w:t>
      </w:r>
    </w:p>
    <w:p w14:paraId="79FBA807" w14:textId="66C28861" w:rsidR="00F42B4F" w:rsidRDefault="00F46103" w:rsidP="00741A93">
      <w:pPr>
        <w:widowControl/>
        <w:rPr>
          <w:rFonts w:ascii="华文中宋" w:eastAsia="华文中宋" w:hAnsi="华文中宋" w:cs="Times New Roman"/>
          <w:color w:val="C00000"/>
          <w:sz w:val="40"/>
          <w:szCs w:val="40"/>
        </w:rPr>
      </w:pPr>
      <w:r>
        <w:rPr>
          <w:rFonts w:ascii="华文中宋" w:eastAsia="华文中宋" w:hAnsi="华文中宋" w:cs="Times New Roman" w:hint="eastAsia"/>
          <w:color w:val="C00000"/>
          <w:sz w:val="40"/>
          <w:szCs w:val="40"/>
        </w:rPr>
        <w:lastRenderedPageBreak/>
        <w:t>报告声明</w:t>
      </w:r>
    </w:p>
    <w:p w14:paraId="466A07A2" w14:textId="77777777" w:rsidR="00F42B4F" w:rsidRDefault="00F46103" w:rsidP="00027A32">
      <w:pPr>
        <w:snapToGrid w:val="0"/>
        <w:spacing w:afterLines="50" w:after="156" w:line="320" w:lineRule="exact"/>
        <w:ind w:rightChars="40" w:right="84" w:firstLineChars="200" w:firstLine="360"/>
        <w:rPr>
          <w:rFonts w:ascii="华文细黑" w:eastAsia="华文细黑" w:hAnsi="华文细黑"/>
          <w:color w:val="000000"/>
          <w:sz w:val="18"/>
          <w:szCs w:val="18"/>
        </w:rPr>
      </w:pPr>
      <w:r>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CB3ABB0" w14:textId="77777777" w:rsidR="00F42B4F" w:rsidRDefault="00F46103" w:rsidP="00AE10AF">
      <w:pPr>
        <w:snapToGrid w:val="0"/>
        <w:spacing w:afterLines="50" w:after="156" w:line="320" w:lineRule="exact"/>
        <w:ind w:rightChars="-50" w:right="-105" w:firstLineChars="200" w:firstLine="360"/>
        <w:rPr>
          <w:rFonts w:ascii="华文细黑" w:eastAsia="华文细黑" w:hAnsi="华文细黑"/>
          <w:color w:val="000000"/>
          <w:sz w:val="18"/>
          <w:szCs w:val="18"/>
        </w:rPr>
      </w:pPr>
      <w:r>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F42B4F">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D89E980" w16cex:dateUtc="2026-04-15T02:40:00Z"/>
  <w16cex:commentExtensible w16cex:durableId="2D89F1FD" w16cex:dateUtc="2026-04-15T03:16:00Z"/>
  <w16cex:commentExtensible w16cex:durableId="2D89F387" w16cex:dateUtc="2026-04-15T03:22:00Z"/>
  <w16cex:commentExtensible w16cex:durableId="2D89F3DF" w16cex:dateUtc="2026-04-15T03:24:00Z"/>
  <w16cex:commentExtensible w16cex:durableId="2D89F424" w16cex:dateUtc="2026-04-15T03:25:00Z"/>
  <w16cex:commentExtensible w16cex:durableId="2D89F46E" w16cex:dateUtc="2026-04-15T03:26:00Z"/>
  <w16cex:commentExtensible w16cex:durableId="2D89F4B5" w16cex:dateUtc="2026-04-15T03:27:00Z"/>
  <w16cex:commentExtensible w16cex:durableId="2D89F51F" w16cex:dateUtc="2026-04-15T0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72866ED" w16cid:durableId="2D89E980"/>
  <w16cid:commentId w16cid:paraId="035C28A6" w16cid:durableId="2D89F1FD"/>
  <w16cid:commentId w16cid:paraId="06CA63B4" w16cid:durableId="2D89F387"/>
  <w16cid:commentId w16cid:paraId="7184C9E3" w16cid:durableId="2D89F3DF"/>
  <w16cid:commentId w16cid:paraId="6042D1BB" w16cid:durableId="2D89F424"/>
  <w16cid:commentId w16cid:paraId="63C08BD1" w16cid:durableId="2D89F46E"/>
  <w16cid:commentId w16cid:paraId="6ECBC371" w16cid:durableId="2D89F4B5"/>
  <w16cid:commentId w16cid:paraId="6F3F5F52" w16cid:durableId="2D89F51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AC96F7" w14:textId="77777777" w:rsidR="00C36584" w:rsidRDefault="00C36584">
      <w:r>
        <w:separator/>
      </w:r>
    </w:p>
  </w:endnote>
  <w:endnote w:type="continuationSeparator" w:id="0">
    <w:p w14:paraId="6D18803F" w14:textId="77777777" w:rsidR="00C36584" w:rsidRDefault="00C36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8899A4" w14:textId="77777777" w:rsidR="00F42B4F" w:rsidRDefault="00F46103">
    <w:pPr>
      <w:pStyle w:val="a5"/>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CD30E5">
      <w:rPr>
        <w:b/>
        <w:bCs/>
        <w:noProof/>
      </w:rPr>
      <w:t>6</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CD30E5">
      <w:rPr>
        <w:b/>
        <w:bCs/>
        <w:noProof/>
      </w:rPr>
      <w:t>6</w:t>
    </w:r>
    <w:r>
      <w:rPr>
        <w:b/>
        <w:bCs/>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D7A51" w14:textId="77777777" w:rsidR="00F42B4F" w:rsidRDefault="00F46103">
    <w:pPr>
      <w:pStyle w:val="a5"/>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CD30E5">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D30E5">
      <w:rPr>
        <w:b/>
        <w:bCs/>
        <w:noProof/>
      </w:rPr>
      <w:t>6</w:t>
    </w:r>
    <w:r>
      <w:rPr>
        <w:b/>
        <w:bCs/>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FB3F0B" w14:textId="77777777" w:rsidR="00C36584" w:rsidRDefault="00C36584">
      <w:r>
        <w:separator/>
      </w:r>
    </w:p>
  </w:footnote>
  <w:footnote w:type="continuationSeparator" w:id="0">
    <w:p w14:paraId="784BCF50" w14:textId="77777777" w:rsidR="00C36584" w:rsidRDefault="00C365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49C07" w14:textId="77777777" w:rsidR="00F42B4F" w:rsidRDefault="000C4120">
    <w:pPr>
      <w:pStyle w:val="a5"/>
      <w:spacing w:line="480" w:lineRule="exact"/>
    </w:pPr>
    <w:r>
      <w:rPr>
        <w:noProof/>
      </w:rPr>
      <w:drawing>
        <wp:inline distT="0" distB="0" distL="0" distR="0" wp14:anchorId="03223760" wp14:editId="52B306DC">
          <wp:extent cx="1790700" cy="238125"/>
          <wp:effectExtent l="0" t="0" r="0" b="9525"/>
          <wp:docPr id="10" name="图片 10"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90700" cy="238125"/>
                  </a:xfrm>
                  <a:prstGeom prst="rect">
                    <a:avLst/>
                  </a:prstGeom>
                  <a:noFill/>
                  <a:ln>
                    <a:noFill/>
                  </a:ln>
                </pic:spPr>
              </pic:pic>
            </a:graphicData>
          </a:graphic>
        </wp:inline>
      </w:drawing>
    </w:r>
    <w:r w:rsidR="00F46103">
      <w:rPr>
        <w:rFonts w:ascii="黑体" w:eastAsia="黑体" w:hAnsi="黑体" w:hint="eastAsia"/>
        <w:b/>
        <w:color w:val="808080"/>
        <w:position w:val="6"/>
      </w:rPr>
      <w:t xml:space="preserve">                       </w:t>
    </w:r>
    <w:r w:rsidR="00F46103">
      <w:rPr>
        <w:rFonts w:ascii="黑体" w:eastAsia="黑体" w:hAnsi="黑体"/>
        <w:b/>
        <w:color w:val="808080"/>
        <w:position w:val="6"/>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56CCB7" w14:textId="77777777" w:rsidR="00F42B4F" w:rsidRDefault="00F46103">
    <w:pPr>
      <w:pStyle w:val="a4"/>
      <w:pBdr>
        <w:bottom w:val="none" w:sz="0" w:space="0" w:color="auto"/>
      </w:pBdr>
    </w:pPr>
    <w:r>
      <w:rPr>
        <w:rFonts w:ascii="黑体" w:eastAsia="黑体" w:hAnsi="黑体" w:hint="eastAsia"/>
        <w:noProof/>
        <w:color w:val="C01920"/>
        <w:sz w:val="22"/>
      </w:rPr>
      <mc:AlternateContent>
        <mc:Choice Requires="wps">
          <w:drawing>
            <wp:anchor distT="0" distB="0" distL="0" distR="0" simplePos="0" relativeHeight="3" behindDoc="0" locked="0" layoutInCell="1" allowOverlap="1" wp14:anchorId="391B0D7A" wp14:editId="5DE0CCD9">
              <wp:simplePos x="0" y="0"/>
              <wp:positionH relativeFrom="column">
                <wp:posOffset>3724274</wp:posOffset>
              </wp:positionH>
              <wp:positionV relativeFrom="paragraph">
                <wp:posOffset>-316865</wp:posOffset>
              </wp:positionV>
              <wp:extent cx="2475230" cy="274955"/>
              <wp:effectExtent l="0" t="0" r="0" b="0"/>
              <wp:wrapNone/>
              <wp:docPr id="4098"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75230" cy="274955"/>
                      </a:xfrm>
                      <a:prstGeom prst="rect">
                        <a:avLst/>
                      </a:prstGeom>
                      <a:ln>
                        <a:noFill/>
                      </a:ln>
                    </wps:spPr>
                    <wps:txbx>
                      <w:txbxContent>
                        <w:p w14:paraId="6FA4B4AC" w14:textId="77777777" w:rsidR="00F42B4F" w:rsidRDefault="00F42B4F">
                          <w:pPr>
                            <w:jc w:val="right"/>
                            <w:rPr>
                              <w:rFonts w:ascii="黑体" w:eastAsia="黑体" w:hAnsi="黑体"/>
                              <w:color w:val="C01920"/>
                              <w:sz w:val="22"/>
                            </w:rPr>
                          </w:pPr>
                        </w:p>
                      </w:txbxContent>
                    </wps:txbx>
                    <wps:bodyPr vert="horz" wrap="square" lIns="91440" tIns="45720" rIns="91440" bIns="45720" anchor="t">
                      <a:prstTxWarp prst="textNoShape">
                        <a:avLst/>
                      </a:prstTxWarp>
                      <a:noAutofit/>
                    </wps:bodyPr>
                  </wps:wsp>
                </a:graphicData>
              </a:graphic>
              <wp14:sizeRelH relativeFrom="margin">
                <wp14:pctWidth>40000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391B0D7A" id="文本框 16" o:spid="_x0000_s1026" style="position:absolute;left:0;text-align:left;margin-left:293.25pt;margin-top:-24.95pt;width:194.9pt;height:21.65pt;z-index:3;visibility:visible;mso-wrap-style:square;mso-width-percent:400;mso-height-percent:0;mso-wrap-distance-left:0;mso-wrap-distance-top:0;mso-wrap-distance-right:0;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" filled="f" stroked="f">
              <v:path arrowok="t"/>
              <v:textbox>
                <w:txbxContent>
                  <w:p w14:paraId="6FA4B4AC" w14:textId="77777777" w:rsidR="00F42B4F" w:rsidRDefault="00F42B4F">
                    <w:pPr>
                      <w:jc w:val="right"/>
                      <w:rPr>
                        <w:rFonts w:ascii="黑体" w:eastAsia="黑体" w:hAnsi="黑体"/>
                        <w:color w:val="C01920"/>
                        <w:sz w:val="22"/>
                      </w:rPr>
                    </w:pPr>
                  </w:p>
                </w:txbxContent>
              </v:textbox>
            </v:rect>
          </w:pict>
        </mc:Fallback>
      </mc:AlternateContent>
    </w:r>
    <w:r>
      <w:rPr>
        <w:noProof/>
      </w:rPr>
      <mc:AlternateContent>
        <mc:Choice Requires="wpg">
          <w:drawing>
            <wp:anchor distT="0" distB="0" distL="0" distR="0" simplePos="0" relativeHeight="2" behindDoc="0" locked="0" layoutInCell="1" allowOverlap="1" wp14:anchorId="141F7E45" wp14:editId="173BE3F4">
              <wp:simplePos x="0" y="0"/>
              <wp:positionH relativeFrom="column">
                <wp:posOffset>-1133475</wp:posOffset>
              </wp:positionH>
              <wp:positionV relativeFrom="paragraph">
                <wp:posOffset>-390525</wp:posOffset>
              </wp:positionV>
              <wp:extent cx="7097404" cy="675005"/>
              <wp:effectExtent l="0" t="0" r="8255" b="0"/>
              <wp:wrapNone/>
              <wp:docPr id="4099" name="组合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97404" cy="675005"/>
                        <a:chOff x="0" y="0"/>
                        <a:chExt cx="7097405" cy="675005"/>
                      </a:xfrm>
                    </wpg:grpSpPr>
                    <pic:pic xmlns:pic="http://schemas.openxmlformats.org/drawingml/2006/picture">
                      <pic:nvPicPr>
                        <pic:cNvPr id="1" name="Image"/>
                        <pic:cNvPicPr/>
                      </pic:nvPicPr>
                      <pic:blipFill>
                        <a:blip r:embed="rId1" cstate="print"/>
                        <a:srcRect/>
                        <a:stretch/>
                      </pic:blipFill>
                      <pic:spPr>
                        <a:xfrm>
                          <a:off x="887105" y="0"/>
                          <a:ext cx="6210300" cy="675005"/>
                        </a:xfrm>
                        <a:prstGeom prst="rect">
                          <a:avLst/>
                        </a:prstGeom>
                      </pic:spPr>
                    </pic:pic>
                    <pic:pic xmlns:pic="http://schemas.openxmlformats.org/drawingml/2006/picture">
                      <pic:nvPicPr>
                        <pic:cNvPr id="2" name="Image"/>
                        <pic:cNvPicPr/>
                      </pic:nvPicPr>
                      <pic:blipFill>
                        <a:blip r:embed="rId1" cstate="print"/>
                        <a:srcRect r="16718"/>
                        <a:stretch/>
                      </pic:blipFill>
                      <pic:spPr>
                        <a:xfrm>
                          <a:off x="0" y="0"/>
                          <a:ext cx="5172075" cy="675005"/>
                        </a:xfrm>
                        <a:prstGeom prst="rect">
                          <a:avLst/>
                        </a:prstGeom>
                        <a:ln>
                          <a:noFill/>
                        </a:ln>
                      </pic:spPr>
                    </pic:pic>
                    <pic:pic xmlns:pic="http://schemas.openxmlformats.org/drawingml/2006/picture">
                      <pic:nvPicPr>
                        <pic:cNvPr id="3" name="Image"/>
                        <pic:cNvPicPr/>
                      </pic:nvPicPr>
                      <pic:blipFill>
                        <a:blip r:embed="rId1" cstate="print"/>
                        <a:srcRect r="16718"/>
                        <a:stretch/>
                      </pic:blipFill>
                      <pic:spPr>
                        <a:xfrm>
                          <a:off x="238836" y="0"/>
                          <a:ext cx="5172075" cy="675005"/>
                        </a:xfrm>
                        <a:prstGeom prst="rect">
                          <a:avLst/>
                        </a:prstGeom>
                        <a:ln>
                          <a:noFill/>
                        </a:ln>
                      </pic:spPr>
                    </pic:pic>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sCustomData="http://www.wps.cn/officeDocument/2013/wpsCustomData">
          <w:pict>
            <v:group id="4099" filled="f" stroked="f" style="position:absolute;margin-left:-89.25pt;margin-top:-30.75pt;width:558.85pt;height:53.15pt;z-index:2;mso-position-horizontal-relative:text;mso-position-vertical-relative:text;mso-width-relative:page;mso-height-relative:page;mso-wrap-distance-left:0.0pt;mso-wrap-distance-right:0.0pt;visibility:visible;" coordsize="7097405,675005">
              <v:shape id="4100" type="#_x0000_t75" filled="f" stroked="f" style="position:absolute;left:887105;top:0;width:6210300;height:675005;z-index:2;mso-position-horizontal-relative:page;mso-position-vertical-relative:page;mso-width-relative:page;mso-height-relative:page;visibility:visible;">
                <v:imagedata r:id="rId2" embosscolor="white" o:title=""/>
                <v:fill/>
              </v:shape>
              <v:shape id="4101" type="#_x0000_t75" filled="f" stroked="f" style="position:absolute;left:0;top:0;width:5172075;height:675005;z-index:3;mso-position-horizontal-relative:page;mso-position-vertical-relative:page;mso-width-relative:page;mso-height-relative:page;visibility:visible;">
                <v:imagedata r:id="rId2" cropright="10956f" embosscolor="white" o:title=""/>
                <v:stroke on="f"/>
                <v:fill rotate="true"/>
              </v:shape>
              <v:shape id="4102" type="#_x0000_t75" filled="f" stroked="f" style="position:absolute;left:238836;top:0;width:5172075;height:675005;z-index:4;mso-position-horizontal-relative:page;mso-position-vertical-relative:page;mso-width-relative:page;mso-height-relative:page;visibility:visible;">
                <v:imagedata r:id="rId2" cropright="10956f" embosscolor="white" o:title=""/>
                <v:stroke on="f"/>
                <v:fill rotate="true"/>
              </v:shape>
              <v:fill/>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2"/>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0000003"/>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0000004"/>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000000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0000006"/>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0000007"/>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0000008"/>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0000009"/>
    <w:multiLevelType w:val="multilevel"/>
    <w:tmpl w:val="88B4C9FC"/>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9" w15:restartNumberingAfterBreak="0">
    <w:nsid w:val="0000000A"/>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000000B"/>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0000000C"/>
    <w:multiLevelType w:val="multilevel"/>
    <w:tmpl w:val="0F86DE16"/>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2" w15:restartNumberingAfterBreak="0">
    <w:nsid w:val="0000000D"/>
    <w:multiLevelType w:val="multilevel"/>
    <w:tmpl w:val="EEB63F48"/>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3" w15:restartNumberingAfterBreak="0">
    <w:nsid w:val="0000000E"/>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0000000F"/>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00000010"/>
    <w:multiLevelType w:val="multilevel"/>
    <w:tmpl w:val="A04C028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6" w15:restartNumberingAfterBreak="0">
    <w:nsid w:val="00000011"/>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00000012"/>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00000013"/>
    <w:multiLevelType w:val="multilevel"/>
    <w:tmpl w:val="ABF2F78C"/>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19" w15:restartNumberingAfterBreak="0">
    <w:nsid w:val="00000014"/>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00000015"/>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00000016"/>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00000017"/>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00000018"/>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00000019"/>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0000001A"/>
    <w:multiLevelType w:val="multilevel"/>
    <w:tmpl w:val="84923D96"/>
    <w:lvl w:ilvl="0">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6" w15:restartNumberingAfterBreak="0">
    <w:nsid w:val="0000001B"/>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0000001C"/>
    <w:multiLevelType w:val="multilevel"/>
    <w:tmpl w:val="5854F3C4"/>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28" w15:restartNumberingAfterBreak="0">
    <w:nsid w:val="0000001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0000001E"/>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0000001F"/>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00000020"/>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00000021"/>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00000022"/>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00000023"/>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00000024"/>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00000025"/>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00000026"/>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8" w15:restartNumberingAfterBreak="0">
    <w:nsid w:val="67376672"/>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4"/>
  </w:num>
  <w:num w:numId="2">
    <w:abstractNumId w:val="6"/>
  </w:num>
  <w:num w:numId="3">
    <w:abstractNumId w:val="22"/>
  </w:num>
  <w:num w:numId="4">
    <w:abstractNumId w:val="33"/>
  </w:num>
  <w:num w:numId="5">
    <w:abstractNumId w:val="23"/>
  </w:num>
  <w:num w:numId="6">
    <w:abstractNumId w:val="10"/>
  </w:num>
  <w:num w:numId="7">
    <w:abstractNumId w:val="0"/>
  </w:num>
  <w:num w:numId="8">
    <w:abstractNumId w:val="2"/>
  </w:num>
  <w:num w:numId="9">
    <w:abstractNumId w:val="34"/>
  </w:num>
  <w:num w:numId="10">
    <w:abstractNumId w:val="20"/>
  </w:num>
  <w:num w:numId="11">
    <w:abstractNumId w:val="4"/>
  </w:num>
  <w:num w:numId="12">
    <w:abstractNumId w:val="7"/>
  </w:num>
  <w:num w:numId="13">
    <w:abstractNumId w:val="24"/>
  </w:num>
  <w:num w:numId="14">
    <w:abstractNumId w:val="17"/>
  </w:num>
  <w:num w:numId="15">
    <w:abstractNumId w:val="30"/>
  </w:num>
  <w:num w:numId="16">
    <w:abstractNumId w:val="26"/>
  </w:num>
  <w:num w:numId="17">
    <w:abstractNumId w:val="1"/>
  </w:num>
  <w:num w:numId="18">
    <w:abstractNumId w:val="38"/>
  </w:num>
  <w:num w:numId="19">
    <w:abstractNumId w:val="5"/>
  </w:num>
  <w:num w:numId="20">
    <w:abstractNumId w:val="16"/>
  </w:num>
  <w:num w:numId="21">
    <w:abstractNumId w:val="9"/>
  </w:num>
  <w:num w:numId="22">
    <w:abstractNumId w:val="19"/>
  </w:num>
  <w:num w:numId="23">
    <w:abstractNumId w:val="31"/>
  </w:num>
  <w:num w:numId="24">
    <w:abstractNumId w:val="37"/>
  </w:num>
  <w:num w:numId="25">
    <w:abstractNumId w:val="28"/>
  </w:num>
  <w:num w:numId="26">
    <w:abstractNumId w:val="3"/>
  </w:num>
  <w:num w:numId="27">
    <w:abstractNumId w:val="36"/>
  </w:num>
  <w:num w:numId="28">
    <w:abstractNumId w:val="13"/>
  </w:num>
  <w:num w:numId="29">
    <w:abstractNumId w:val="29"/>
  </w:num>
  <w:num w:numId="30">
    <w:abstractNumId w:val="21"/>
  </w:num>
  <w:num w:numId="31">
    <w:abstractNumId w:val="35"/>
  </w:num>
  <w:num w:numId="32">
    <w:abstractNumId w:val="32"/>
  </w:num>
  <w:num w:numId="33">
    <w:abstractNumId w:val="27"/>
  </w:num>
  <w:num w:numId="34">
    <w:abstractNumId w:val="15"/>
  </w:num>
  <w:num w:numId="35">
    <w:abstractNumId w:val="11"/>
  </w:num>
  <w:num w:numId="36">
    <w:abstractNumId w:val="8"/>
  </w:num>
  <w:num w:numId="37">
    <w:abstractNumId w:val="12"/>
  </w:num>
  <w:num w:numId="38">
    <w:abstractNumId w:val="25"/>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B4F"/>
    <w:rsid w:val="00005E53"/>
    <w:rsid w:val="000132D9"/>
    <w:rsid w:val="00027A32"/>
    <w:rsid w:val="00057038"/>
    <w:rsid w:val="000873C1"/>
    <w:rsid w:val="00091F39"/>
    <w:rsid w:val="000933B5"/>
    <w:rsid w:val="000C4120"/>
    <w:rsid w:val="001045BA"/>
    <w:rsid w:val="001100B1"/>
    <w:rsid w:val="00115353"/>
    <w:rsid w:val="00121CCC"/>
    <w:rsid w:val="00145FC4"/>
    <w:rsid w:val="00163BC4"/>
    <w:rsid w:val="00182634"/>
    <w:rsid w:val="001826A9"/>
    <w:rsid w:val="001A46A2"/>
    <w:rsid w:val="001D2C17"/>
    <w:rsid w:val="001D57F3"/>
    <w:rsid w:val="001E2E6B"/>
    <w:rsid w:val="001E7950"/>
    <w:rsid w:val="002115A7"/>
    <w:rsid w:val="002212D2"/>
    <w:rsid w:val="0023274B"/>
    <w:rsid w:val="002619DE"/>
    <w:rsid w:val="00264E42"/>
    <w:rsid w:val="00280DC0"/>
    <w:rsid w:val="00281CB3"/>
    <w:rsid w:val="002A3979"/>
    <w:rsid w:val="002B68FA"/>
    <w:rsid w:val="002B7924"/>
    <w:rsid w:val="002C677B"/>
    <w:rsid w:val="002E569D"/>
    <w:rsid w:val="002E63EF"/>
    <w:rsid w:val="002F7080"/>
    <w:rsid w:val="00320918"/>
    <w:rsid w:val="00331DAB"/>
    <w:rsid w:val="00333A5A"/>
    <w:rsid w:val="00336FE9"/>
    <w:rsid w:val="00344813"/>
    <w:rsid w:val="00361342"/>
    <w:rsid w:val="0038666B"/>
    <w:rsid w:val="00386F17"/>
    <w:rsid w:val="003D1EC6"/>
    <w:rsid w:val="003E761E"/>
    <w:rsid w:val="003F055B"/>
    <w:rsid w:val="00407CD7"/>
    <w:rsid w:val="00413152"/>
    <w:rsid w:val="00425FB0"/>
    <w:rsid w:val="004276BD"/>
    <w:rsid w:val="0043216A"/>
    <w:rsid w:val="004339E2"/>
    <w:rsid w:val="00457F37"/>
    <w:rsid w:val="004624EF"/>
    <w:rsid w:val="00464938"/>
    <w:rsid w:val="004753FE"/>
    <w:rsid w:val="00481E73"/>
    <w:rsid w:val="00497161"/>
    <w:rsid w:val="004B02A6"/>
    <w:rsid w:val="004B68D5"/>
    <w:rsid w:val="004E5C25"/>
    <w:rsid w:val="004F4782"/>
    <w:rsid w:val="00502AE0"/>
    <w:rsid w:val="00515C29"/>
    <w:rsid w:val="00543F6E"/>
    <w:rsid w:val="00571B7E"/>
    <w:rsid w:val="005B6BBB"/>
    <w:rsid w:val="005C6D03"/>
    <w:rsid w:val="005F6EFB"/>
    <w:rsid w:val="00606B05"/>
    <w:rsid w:val="00620CE9"/>
    <w:rsid w:val="00625DA1"/>
    <w:rsid w:val="0064509B"/>
    <w:rsid w:val="006464DD"/>
    <w:rsid w:val="006610FF"/>
    <w:rsid w:val="0066721E"/>
    <w:rsid w:val="00667A6F"/>
    <w:rsid w:val="00667E95"/>
    <w:rsid w:val="00693F52"/>
    <w:rsid w:val="006D4E9A"/>
    <w:rsid w:val="006F05D7"/>
    <w:rsid w:val="007400C0"/>
    <w:rsid w:val="00741A93"/>
    <w:rsid w:val="00756861"/>
    <w:rsid w:val="0077125A"/>
    <w:rsid w:val="0078267E"/>
    <w:rsid w:val="0078780C"/>
    <w:rsid w:val="007A03E5"/>
    <w:rsid w:val="007B6534"/>
    <w:rsid w:val="007B71DD"/>
    <w:rsid w:val="007D4954"/>
    <w:rsid w:val="007F0DAF"/>
    <w:rsid w:val="007F35F3"/>
    <w:rsid w:val="007F4FCE"/>
    <w:rsid w:val="00831C2B"/>
    <w:rsid w:val="00874C67"/>
    <w:rsid w:val="00892ABD"/>
    <w:rsid w:val="008B1C3F"/>
    <w:rsid w:val="008D05DB"/>
    <w:rsid w:val="008E6079"/>
    <w:rsid w:val="00922A66"/>
    <w:rsid w:val="00931530"/>
    <w:rsid w:val="0094285E"/>
    <w:rsid w:val="00945DB3"/>
    <w:rsid w:val="00951EF7"/>
    <w:rsid w:val="00957716"/>
    <w:rsid w:val="0096346A"/>
    <w:rsid w:val="009A6881"/>
    <w:rsid w:val="009F7C55"/>
    <w:rsid w:val="00A0293F"/>
    <w:rsid w:val="00A22FA3"/>
    <w:rsid w:val="00A238BA"/>
    <w:rsid w:val="00A258CB"/>
    <w:rsid w:val="00A26254"/>
    <w:rsid w:val="00A2696E"/>
    <w:rsid w:val="00A5485B"/>
    <w:rsid w:val="00A704D1"/>
    <w:rsid w:val="00A812F8"/>
    <w:rsid w:val="00A90ECB"/>
    <w:rsid w:val="00AC3E1B"/>
    <w:rsid w:val="00AC525E"/>
    <w:rsid w:val="00AD1D33"/>
    <w:rsid w:val="00AD6E6D"/>
    <w:rsid w:val="00AE10AF"/>
    <w:rsid w:val="00AE6149"/>
    <w:rsid w:val="00AE7481"/>
    <w:rsid w:val="00B02BCD"/>
    <w:rsid w:val="00B23642"/>
    <w:rsid w:val="00B3596E"/>
    <w:rsid w:val="00B36F04"/>
    <w:rsid w:val="00B979BD"/>
    <w:rsid w:val="00BA0F81"/>
    <w:rsid w:val="00BA4952"/>
    <w:rsid w:val="00BB5065"/>
    <w:rsid w:val="00BC2890"/>
    <w:rsid w:val="00BF4EFA"/>
    <w:rsid w:val="00C2628C"/>
    <w:rsid w:val="00C26BC6"/>
    <w:rsid w:val="00C36584"/>
    <w:rsid w:val="00C572CD"/>
    <w:rsid w:val="00C57A72"/>
    <w:rsid w:val="00C7677F"/>
    <w:rsid w:val="00CA3B60"/>
    <w:rsid w:val="00CB3D73"/>
    <w:rsid w:val="00CB77F8"/>
    <w:rsid w:val="00CC061D"/>
    <w:rsid w:val="00CD30E5"/>
    <w:rsid w:val="00CD3EC2"/>
    <w:rsid w:val="00CD48A4"/>
    <w:rsid w:val="00CE5158"/>
    <w:rsid w:val="00CE73D8"/>
    <w:rsid w:val="00CF0839"/>
    <w:rsid w:val="00D20B0E"/>
    <w:rsid w:val="00D20B4A"/>
    <w:rsid w:val="00D31E08"/>
    <w:rsid w:val="00D51B7D"/>
    <w:rsid w:val="00D53AEE"/>
    <w:rsid w:val="00D61054"/>
    <w:rsid w:val="00D73CED"/>
    <w:rsid w:val="00D85067"/>
    <w:rsid w:val="00D865C8"/>
    <w:rsid w:val="00DA7352"/>
    <w:rsid w:val="00DA76C1"/>
    <w:rsid w:val="00DC29EF"/>
    <w:rsid w:val="00DC7669"/>
    <w:rsid w:val="00DF6DC3"/>
    <w:rsid w:val="00E00DFF"/>
    <w:rsid w:val="00E275AB"/>
    <w:rsid w:val="00E3593A"/>
    <w:rsid w:val="00E36226"/>
    <w:rsid w:val="00E421B9"/>
    <w:rsid w:val="00E553AD"/>
    <w:rsid w:val="00E61E7F"/>
    <w:rsid w:val="00E62798"/>
    <w:rsid w:val="00E83B2E"/>
    <w:rsid w:val="00E9756B"/>
    <w:rsid w:val="00ED1EB1"/>
    <w:rsid w:val="00ED5A2E"/>
    <w:rsid w:val="00EE7469"/>
    <w:rsid w:val="00EF7B86"/>
    <w:rsid w:val="00F04DC4"/>
    <w:rsid w:val="00F32830"/>
    <w:rsid w:val="00F42B4F"/>
    <w:rsid w:val="00F45CE7"/>
    <w:rsid w:val="00F46103"/>
    <w:rsid w:val="00F56C47"/>
    <w:rsid w:val="00F85C3C"/>
    <w:rsid w:val="00FB2E4C"/>
    <w:rsid w:val="00FC1A8C"/>
    <w:rsid w:val="00FD2F32"/>
    <w:rsid w:val="00FE3424"/>
    <w:rsid w:val="00FE3C33"/>
    <w:rsid w:val="00FF0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D1CA76"/>
  <w15:docId w15:val="{696097C2-C160-4F64-B925-8F0CF12C3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 w:type="paragraph" w:styleId="a4">
    <w:name w:val="header"/>
    <w:basedOn w:val="a"/>
    <w:link w:val="Char"/>
    <w:uiPriority w:val="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Pr>
      <w:sz w:val="18"/>
      <w:szCs w:val="18"/>
    </w:rPr>
  </w:style>
  <w:style w:type="paragraph" w:styleId="a5">
    <w:name w:val="footer"/>
    <w:basedOn w:val="a"/>
    <w:link w:val="Char0"/>
    <w:uiPriority w:val="99"/>
    <w:pPr>
      <w:tabs>
        <w:tab w:val="center" w:pos="4153"/>
        <w:tab w:val="right" w:pos="8306"/>
      </w:tabs>
      <w:snapToGrid w:val="0"/>
      <w:jc w:val="left"/>
    </w:pPr>
    <w:rPr>
      <w:sz w:val="18"/>
      <w:szCs w:val="18"/>
    </w:rPr>
  </w:style>
  <w:style w:type="character" w:customStyle="1" w:styleId="Char0">
    <w:name w:val="页脚 Char"/>
    <w:basedOn w:val="a0"/>
    <w:link w:val="a5"/>
    <w:uiPriority w:val="99"/>
    <w:rPr>
      <w:sz w:val="18"/>
      <w:szCs w:val="18"/>
    </w:rPr>
  </w:style>
  <w:style w:type="character" w:styleId="a6">
    <w:name w:val="Hyperlink"/>
    <w:basedOn w:val="a0"/>
    <w:uiPriority w:val="99"/>
    <w:rPr>
      <w:color w:val="0563C1"/>
      <w:u w:val="single"/>
    </w:rPr>
  </w:style>
  <w:style w:type="table" w:styleId="a7">
    <w:name w:val="Table Grid"/>
    <w:basedOn w:val="a1"/>
    <w:uiPriority w:val="39"/>
    <w:qFormat/>
    <w:rPr>
      <w:rFonts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Pr>
      <w:b/>
      <w:bCs/>
      <w:kern w:val="44"/>
      <w:sz w:val="44"/>
      <w:szCs w:val="44"/>
    </w:rPr>
  </w:style>
  <w:style w:type="paragraph" w:styleId="TOC">
    <w:name w:val="TOC Heading"/>
    <w:basedOn w:val="1"/>
    <w:next w:val="a"/>
    <w:uiPriority w:val="39"/>
    <w:qFormat/>
    <w:pPr>
      <w:widowControl/>
      <w:spacing w:before="240" w:after="0" w:line="259" w:lineRule="auto"/>
      <w:jc w:val="left"/>
      <w:outlineLvl w:val="9"/>
    </w:pPr>
    <w:rPr>
      <w:rFonts w:ascii="Calibri Light" w:hAnsi="Calibri Light"/>
      <w:b w:val="0"/>
      <w:bCs w:val="0"/>
      <w:color w:val="2E74B5"/>
      <w:kern w:val="0"/>
      <w:sz w:val="32"/>
      <w:szCs w:val="32"/>
    </w:rPr>
  </w:style>
  <w:style w:type="paragraph" w:styleId="10">
    <w:name w:val="toc 1"/>
    <w:basedOn w:val="a"/>
    <w:next w:val="a"/>
    <w:uiPriority w:val="39"/>
    <w:rPr>
      <w:rFonts w:cs="Times New Roman"/>
    </w:rPr>
  </w:style>
  <w:style w:type="character" w:customStyle="1" w:styleId="1Char0">
    <w:name w:val="报告标题1 Char"/>
    <w:link w:val="11"/>
    <w:qFormat/>
    <w:rPr>
      <w:rFonts w:ascii="Times New Roman" w:eastAsia="黑体" w:hAnsi="Times New Roman"/>
      <w:b/>
      <w:color w:val="000000"/>
      <w:kern w:val="40"/>
      <w:sz w:val="32"/>
      <w:szCs w:val="32"/>
    </w:rPr>
  </w:style>
  <w:style w:type="paragraph" w:customStyle="1" w:styleId="11">
    <w:name w:val="报告标题1"/>
    <w:basedOn w:val="1"/>
    <w:link w:val="1Char0"/>
    <w:qFormat/>
    <w:pPr>
      <w:spacing w:before="0" w:after="0" w:line="240" w:lineRule="auto"/>
      <w:ind w:left="2160" w:right="-34"/>
    </w:pPr>
    <w:rPr>
      <w:rFonts w:ascii="Times New Roman" w:eastAsia="黑体" w:hAnsi="Times New Roman"/>
      <w:bCs w:val="0"/>
      <w:color w:val="000000"/>
      <w:kern w:val="40"/>
      <w:sz w:val="32"/>
      <w:szCs w:val="32"/>
    </w:rPr>
  </w:style>
  <w:style w:type="paragraph" w:styleId="20">
    <w:name w:val="toc 2"/>
    <w:basedOn w:val="a"/>
    <w:next w:val="a"/>
    <w:uiPriority w:val="39"/>
    <w:pPr>
      <w:widowControl/>
      <w:spacing w:after="100" w:line="259" w:lineRule="auto"/>
      <w:ind w:left="220"/>
      <w:jc w:val="left"/>
    </w:pPr>
    <w:rPr>
      <w:rFonts w:cs="Times New Roman"/>
      <w:kern w:val="0"/>
      <w:sz w:val="22"/>
    </w:rPr>
  </w:style>
  <w:style w:type="paragraph" w:styleId="3">
    <w:name w:val="toc 3"/>
    <w:basedOn w:val="a"/>
    <w:next w:val="a"/>
    <w:uiPriority w:val="39"/>
    <w:pPr>
      <w:widowControl/>
      <w:spacing w:after="100" w:line="259" w:lineRule="auto"/>
      <w:ind w:left="440"/>
      <w:jc w:val="left"/>
    </w:pPr>
    <w:rPr>
      <w:rFonts w:cs="Times New Roman"/>
      <w:kern w:val="0"/>
      <w:sz w:val="22"/>
    </w:rPr>
  </w:style>
  <w:style w:type="paragraph" w:styleId="a8">
    <w:name w:val="footnote text"/>
    <w:basedOn w:val="a"/>
    <w:link w:val="Char1"/>
    <w:uiPriority w:val="99"/>
    <w:pPr>
      <w:snapToGrid w:val="0"/>
      <w:jc w:val="left"/>
    </w:pPr>
    <w:rPr>
      <w:sz w:val="18"/>
      <w:szCs w:val="18"/>
    </w:rPr>
  </w:style>
  <w:style w:type="character" w:customStyle="1" w:styleId="Char1">
    <w:name w:val="脚注文本 Char"/>
    <w:basedOn w:val="a0"/>
    <w:link w:val="a8"/>
    <w:uiPriority w:val="99"/>
    <w:rPr>
      <w:sz w:val="18"/>
      <w:szCs w:val="18"/>
    </w:rPr>
  </w:style>
  <w:style w:type="character" w:styleId="a9">
    <w:name w:val="footnote reference"/>
    <w:basedOn w:val="a0"/>
    <w:uiPriority w:val="99"/>
    <w:qFormat/>
    <w:rPr>
      <w:vertAlign w:val="superscript"/>
    </w:rPr>
  </w:style>
  <w:style w:type="character" w:styleId="aa">
    <w:name w:val="annotation reference"/>
    <w:basedOn w:val="a0"/>
    <w:uiPriority w:val="99"/>
    <w:rPr>
      <w:sz w:val="21"/>
      <w:szCs w:val="21"/>
    </w:rPr>
  </w:style>
  <w:style w:type="paragraph" w:styleId="ab">
    <w:name w:val="annotation text"/>
    <w:basedOn w:val="a"/>
    <w:link w:val="Char2"/>
    <w:uiPriority w:val="99"/>
    <w:pPr>
      <w:jc w:val="left"/>
    </w:pPr>
  </w:style>
  <w:style w:type="character" w:customStyle="1" w:styleId="Char2">
    <w:name w:val="批注文字 Char"/>
    <w:basedOn w:val="a0"/>
    <w:link w:val="ab"/>
    <w:uiPriority w:val="99"/>
  </w:style>
  <w:style w:type="paragraph" w:styleId="ac">
    <w:name w:val="annotation subject"/>
    <w:basedOn w:val="ab"/>
    <w:next w:val="ab"/>
    <w:link w:val="Char3"/>
    <w:uiPriority w:val="99"/>
    <w:rPr>
      <w:b/>
      <w:bCs/>
    </w:rPr>
  </w:style>
  <w:style w:type="character" w:customStyle="1" w:styleId="Char3">
    <w:name w:val="批注主题 Char"/>
    <w:basedOn w:val="Char2"/>
    <w:link w:val="ac"/>
    <w:uiPriority w:val="99"/>
    <w:rPr>
      <w:b/>
      <w:bCs/>
    </w:rPr>
  </w:style>
  <w:style w:type="paragraph" w:styleId="ad">
    <w:name w:val="Balloon Text"/>
    <w:basedOn w:val="a"/>
    <w:link w:val="Char4"/>
    <w:uiPriority w:val="99"/>
    <w:rPr>
      <w:sz w:val="18"/>
      <w:szCs w:val="18"/>
    </w:rPr>
  </w:style>
  <w:style w:type="character" w:customStyle="1" w:styleId="Char4">
    <w:name w:val="批注框文本 Char"/>
    <w:basedOn w:val="a0"/>
    <w:link w:val="ad"/>
    <w:uiPriority w:val="99"/>
    <w:rPr>
      <w:sz w:val="18"/>
      <w:szCs w:val="18"/>
    </w:rPr>
  </w:style>
  <w:style w:type="character" w:customStyle="1" w:styleId="fontstyle01">
    <w:name w:val="fontstyle01"/>
    <w:basedOn w:val="a0"/>
    <w:rPr>
      <w:rFonts w:ascii="B3+SimSun" w:hAnsi="B3+SimSun" w:hint="default"/>
      <w:b w:val="0"/>
      <w:bCs w:val="0"/>
      <w:i w:val="0"/>
      <w:iCs w:val="0"/>
      <w:color w:val="000000"/>
      <w:sz w:val="16"/>
      <w:szCs w:val="16"/>
    </w:rPr>
  </w:style>
  <w:style w:type="character" w:styleId="ae">
    <w:name w:val="Strong"/>
    <w:basedOn w:val="a0"/>
    <w:uiPriority w:val="22"/>
    <w:qFormat/>
    <w:rPr>
      <w:b/>
      <w:bCs/>
    </w:rPr>
  </w:style>
  <w:style w:type="character" w:styleId="af">
    <w:name w:val="FollowedHyperlink"/>
    <w:basedOn w:val="a0"/>
    <w:uiPriority w:val="99"/>
    <w:rPr>
      <w:color w:val="954F72"/>
      <w:u w:val="single"/>
    </w:rPr>
  </w:style>
  <w:style w:type="paragraph" w:styleId="af0">
    <w:name w:val="Normal (Web)"/>
    <w:basedOn w:val="a"/>
    <w:uiPriority w:val="99"/>
    <w:rPr>
      <w:rFonts w:ascii="Times New Roman" w:hAnsi="Times New Roman" w:cs="Times New Roman"/>
      <w:sz w:val="24"/>
      <w:szCs w:val="24"/>
    </w:rPr>
  </w:style>
  <w:style w:type="paragraph" w:styleId="af1">
    <w:name w:val="Revision"/>
    <w:uiPriority w:val="99"/>
  </w:style>
  <w:style w:type="paragraph" w:customStyle="1" w:styleId="af2">
    <w:name w:val="a"/>
    <w:basedOn w:val="a"/>
    <w:qFormat/>
    <w:pPr>
      <w:widowControl/>
      <w:spacing w:before="100" w:beforeAutospacing="1" w:after="100" w:afterAutospacing="1"/>
      <w:jc w:val="left"/>
    </w:pPr>
    <w:rPr>
      <w:rFonts w:ascii="宋体" w:hAnsi="宋体" w:cs="Times New Roman"/>
      <w:kern w:val="0"/>
      <w:sz w:val="24"/>
      <w:szCs w:val="24"/>
    </w:rPr>
  </w:style>
  <w:style w:type="character" w:customStyle="1" w:styleId="2Char">
    <w:name w:val="标题 2 Char"/>
    <w:basedOn w:val="a0"/>
    <w:link w:val="2"/>
    <w:uiPriority w:val="9"/>
    <w:rPr>
      <w:rFonts w:ascii="Calibri Light" w:eastAsia="宋体" w:hAnsi="Calibri Light" w:cs="宋体"/>
      <w:b/>
      <w:bCs/>
      <w:sz w:val="32"/>
      <w:szCs w:val="32"/>
    </w:rPr>
  </w:style>
  <w:style w:type="character" w:customStyle="1" w:styleId="ds-markdown-cite">
    <w:name w:val="ds-markdown-cit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6128312">
      <w:bodyDiv w:val="1"/>
      <w:marLeft w:val="0"/>
      <w:marRight w:val="0"/>
      <w:marTop w:val="0"/>
      <w:marBottom w:val="0"/>
      <w:divBdr>
        <w:top w:val="none" w:sz="0" w:space="0" w:color="auto"/>
        <w:left w:val="none" w:sz="0" w:space="0" w:color="auto"/>
        <w:bottom w:val="none" w:sz="0" w:space="0" w:color="auto"/>
        <w:right w:val="none" w:sz="0" w:space="0" w:color="auto"/>
      </w:divBdr>
    </w:div>
    <w:div w:id="20733863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0.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01338D-352B-416B-8750-867FD8BBB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6</Pages>
  <Words>840</Words>
  <Characters>4789</Characters>
  <Application>Microsoft Office Word</Application>
  <DocSecurity>0</DocSecurity>
  <Lines>39</Lines>
  <Paragraphs>11</Paragraphs>
  <ScaleCrop>false</ScaleCrop>
  <Company>Microsoft</Company>
  <LinksUpToDate>false</LinksUpToDate>
  <CharactersWithSpaces>5618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韩熙良</dc:creator>
  <cp:lastModifiedBy>DG</cp:lastModifiedBy>
  <cp:revision>11</cp:revision>
  <cp:lastPrinted>2026-04-19T09:29:00Z</cp:lastPrinted>
  <dcterms:created xsi:type="dcterms:W3CDTF">2026-04-18T14:52:00Z</dcterms:created>
  <dcterms:modified xsi:type="dcterms:W3CDTF">2026-04-19T09:32:00Z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2d5151ff861443f7b95f78e6d2338c3c_23</vt:lpwstr>
  </property>
</Properties>
</file>